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0FE7F" w14:textId="77777777" w:rsidR="00823184" w:rsidRDefault="00942D49">
      <w:pPr>
        <w:jc w:val="center"/>
      </w:pPr>
      <w:r>
        <w:rPr>
          <w:b/>
          <w:sz w:val="36"/>
        </w:rPr>
        <w:t>Assessing the Resource-Performance Trade-off of Large Language Models using Data Envelopment Analysis</w:t>
      </w:r>
    </w:p>
    <w:p w14:paraId="62403204" w14:textId="77777777" w:rsidR="00823184" w:rsidRDefault="00942D49">
      <w:pPr>
        <w:jc w:val="center"/>
      </w:pPr>
      <w:r>
        <w:rPr>
          <w:i/>
        </w:rPr>
        <w:t>Paper Template (Initial Structure)</w:t>
      </w:r>
    </w:p>
    <w:p w14:paraId="53CBA23D" w14:textId="77777777" w:rsidR="00823184" w:rsidRDefault="00823184"/>
    <w:p w14:paraId="461BCF62" w14:textId="6F527CC3" w:rsidR="00823184" w:rsidRDefault="00942D49">
      <w:r>
        <w:rPr>
          <w:b/>
        </w:rPr>
        <w:t xml:space="preserve">Author(s): </w:t>
      </w:r>
      <w:r w:rsidR="00185253">
        <w:t xml:space="preserve">Andreas </w:t>
      </w:r>
      <w:proofErr w:type="spellStart"/>
      <w:r w:rsidR="00185253">
        <w:t>Papathanasiou</w:t>
      </w:r>
      <w:proofErr w:type="spellEnd"/>
      <w:r>
        <w:t xml:space="preserve">, </w:t>
      </w:r>
      <w:r w:rsidR="00185253">
        <w:t>andreaspapathanasiou68@gmail.com</w:t>
      </w:r>
    </w:p>
    <w:p w14:paraId="33EFB88C" w14:textId="77777777" w:rsidR="00823184" w:rsidRDefault="00942D49">
      <w:r>
        <w:rPr>
          <w:b/>
        </w:rPr>
        <w:t xml:space="preserve">Corresponding author: </w:t>
      </w:r>
      <w:r>
        <w:t>[Full Name], [Email]</w:t>
      </w:r>
    </w:p>
    <w:p w14:paraId="0E879373" w14:textId="77777777" w:rsidR="00823184" w:rsidRDefault="00823184"/>
    <w:p w14:paraId="4B1534FD" w14:textId="77777777" w:rsidR="00185253" w:rsidRDefault="00185253">
      <w:pPr>
        <w:pStyle w:val="Heading1"/>
        <w:sectPr w:rsidR="00185253" w:rsidSect="00185253">
          <w:pgSz w:w="12240" w:h="15840"/>
          <w:pgMar w:top="1440" w:right="1440" w:bottom="1440" w:left="1440" w:header="720" w:footer="720" w:gutter="0"/>
          <w:cols w:space="720"/>
          <w:docGrid w:linePitch="360"/>
        </w:sectPr>
      </w:pPr>
    </w:p>
    <w:p w14:paraId="02306C49" w14:textId="7B1761F0" w:rsidR="00823184" w:rsidRDefault="00942D49">
      <w:pPr>
        <w:pStyle w:val="Heading1"/>
      </w:pPr>
      <w:r>
        <w:t>Abstract</w:t>
      </w:r>
    </w:p>
    <w:p w14:paraId="540DFEA4" w14:textId="77777777" w:rsidR="00942D49" w:rsidRPr="00942D49" w:rsidRDefault="00942D49" w:rsidP="00942D49">
      <w:pPr>
        <w:pStyle w:val="NormalWeb"/>
        <w:rPr>
          <w:lang w:val="en-US"/>
        </w:rPr>
      </w:pPr>
      <w:r w:rsidRPr="00942D49">
        <w:rPr>
          <w:lang w:val="en-US"/>
        </w:rPr>
        <w:t xml:space="preserve">Large Language Models (LLMs) are commonly compared using multiple criteria that reflect both practical deployment constraints and measured capability. However, single-metric rankings (e.g., accuracy-only or price-only) fail to capture the trade-offs between cost, responsiveness, and performance across heterogeneous evaluation axes. This paper proposes a Data Envelopment Analysis (DEA) framework to quantify the relative efficiency of LLMs by modeling each model as a decision-making unit (DMU) that transforms resources into capability. We adopt an input-oriented DEA specification where inputs capture deployment “resources”—(i) blended price per million tokens and (ii) median time to first answer—while outputs capture multi-dimensional “benefits” through Intelligence Index, Coding Index, Math Index, and MMLU-Pro performance. Under this formulation, an LLM is deemed efficient if no other model (or convex combination of models) can achieve at least the same output profile with lower cost and/or lower latency. The resulting efficiency scores identify a frontier set of models that jointly optimize economic and latency constraints for a given capability level, while highlighting models </w:t>
      </w:r>
      <w:r w:rsidRPr="00942D49">
        <w:rPr>
          <w:lang w:val="en-US"/>
        </w:rPr>
        <w:t>that appear strong on raw benchmarks but are relatively inefficient once resource consumption is accounted for. Overall, the proposed DEA-based evaluation provides an interpretable, multi-criteria tool for API-oriented model selection and for analyzing the cost–latency–capability trade-off in modern LLM ecosystems.</w:t>
      </w:r>
    </w:p>
    <w:p w14:paraId="11B8E57D" w14:textId="77777777" w:rsidR="00823184" w:rsidRDefault="00942D49">
      <w:pPr>
        <w:pStyle w:val="Heading1"/>
      </w:pPr>
      <w:r>
        <w:t>1. Introduction</w:t>
      </w:r>
    </w:p>
    <w:p w14:paraId="7D48AF8B" w14:textId="77777777" w:rsidR="00823184" w:rsidRDefault="00942D49">
      <w:r>
        <w:rPr>
          <w:i/>
        </w:rPr>
        <w:t>[Motivate the problem: LLMs are evaluated a</w:t>
      </w:r>
      <w:r>
        <w:rPr>
          <w:i/>
        </w:rPr>
        <w:t>cross many dimensions (quality, cost, latency). Explain why single-score ranking is insufficient. State the research question(s), contributions, and an outline of the paper.]</w:t>
      </w:r>
    </w:p>
    <w:p w14:paraId="6883751C" w14:textId="77777777" w:rsidR="00823184" w:rsidRDefault="00942D49">
      <w:pPr>
        <w:pStyle w:val="Heading1"/>
      </w:pPr>
      <w:r>
        <w:t>2. Background</w:t>
      </w:r>
    </w:p>
    <w:p w14:paraId="163098B4" w14:textId="77777777" w:rsidR="00823184" w:rsidRDefault="00942D49">
      <w:pPr>
        <w:pStyle w:val="Heading2"/>
      </w:pPr>
      <w:r>
        <w:t>2.1 Large Language Model evaluation metrics</w:t>
      </w:r>
    </w:p>
    <w:p w14:paraId="615EE996" w14:textId="77777777" w:rsidR="00823184" w:rsidRDefault="00942D49">
      <w:r>
        <w:rPr>
          <w:i/>
        </w:rPr>
        <w:t>[Describe the evaluatio</w:t>
      </w:r>
      <w:r>
        <w:rPr>
          <w:i/>
        </w:rPr>
        <w:t>n landscape: benchmark indices (e.g., intelligence/coding/math), and operational metrics (price per token, latency, throughput).]</w:t>
      </w:r>
    </w:p>
    <w:p w14:paraId="1134022D" w14:textId="77777777" w:rsidR="00823184" w:rsidRDefault="00942D49">
      <w:pPr>
        <w:pStyle w:val="Heading2"/>
      </w:pPr>
      <w:r>
        <w:lastRenderedPageBreak/>
        <w:t>2.2 Data Envelopment Analysis (DEA)</w:t>
      </w:r>
    </w:p>
    <w:p w14:paraId="1344344B" w14:textId="77777777" w:rsidR="00823184" w:rsidRDefault="00942D49">
      <w:r>
        <w:rPr>
          <w:i/>
        </w:rPr>
        <w:t>[Introduce DEA concepts: decision making units (DMUs), inputs, outputs, efficiency frontie</w:t>
      </w:r>
      <w:r>
        <w:rPr>
          <w:i/>
        </w:rPr>
        <w:t>r, and why DEA suits multi-input/multi-output comparisons.]</w:t>
      </w:r>
    </w:p>
    <w:p w14:paraId="3A96E0B6" w14:textId="77777777" w:rsidR="00823184" w:rsidRDefault="00942D49">
      <w:pPr>
        <w:pStyle w:val="Heading1"/>
      </w:pPr>
      <w:r>
        <w:t>3. Related Work</w:t>
      </w:r>
    </w:p>
    <w:p w14:paraId="49377A30" w14:textId="77777777" w:rsidR="00823184" w:rsidRDefault="00942D49">
      <w:r>
        <w:rPr>
          <w:i/>
        </w:rPr>
        <w:t>[Summarize prior work that applies DEA or multi-criteria efficiency methods to NLP/LLMs; and broader work on LLM cost-performance evaluation. Clarify how your paper differs.]</w:t>
      </w:r>
    </w:p>
    <w:p w14:paraId="6DFAB262" w14:textId="77777777" w:rsidR="00185253" w:rsidRDefault="00185253">
      <w:pPr>
        <w:pStyle w:val="Heading1"/>
        <w:sectPr w:rsidR="00185253" w:rsidSect="00185253">
          <w:type w:val="continuous"/>
          <w:pgSz w:w="12240" w:h="15840"/>
          <w:pgMar w:top="1440" w:right="1440" w:bottom="1440" w:left="1440" w:header="720" w:footer="720" w:gutter="0"/>
          <w:cols w:num="2" w:space="720"/>
          <w:docGrid w:linePitch="360"/>
        </w:sectPr>
      </w:pPr>
    </w:p>
    <w:p w14:paraId="705755A2" w14:textId="079EB10B" w:rsidR="00823184" w:rsidRDefault="00942D49">
      <w:pPr>
        <w:pStyle w:val="Heading1"/>
      </w:pPr>
      <w:r>
        <w:t>4. Da</w:t>
      </w:r>
      <w:r>
        <w:t>ta and Metrics</w:t>
      </w:r>
    </w:p>
    <w:p w14:paraId="617D0BA8" w14:textId="77777777" w:rsidR="00823184" w:rsidRDefault="00942D49">
      <w:pPr>
        <w:pStyle w:val="Heading2"/>
      </w:pPr>
      <w:r>
        <w:t>4.1 Dataset and inclusion criteria</w:t>
      </w:r>
    </w:p>
    <w:p w14:paraId="153503C6" w14:textId="77777777" w:rsidR="00823184" w:rsidRDefault="00942D49">
      <w:r>
        <w:rPr>
          <w:i/>
        </w:rPr>
        <w:t>[Describe where the data comes from (e.g., Artificial Analysis JSON export), the extraction date, and which models are included/excluded and why.]</w:t>
      </w:r>
    </w:p>
    <w:p w14:paraId="2DDE914E" w14:textId="77777777" w:rsidR="00823184" w:rsidRDefault="00942D49">
      <w:pPr>
        <w:pStyle w:val="Heading2"/>
      </w:pPr>
      <w:r>
        <w:t>4.2 Inputs and outputs</w:t>
      </w:r>
    </w:p>
    <w:p w14:paraId="4E793706" w14:textId="77777777" w:rsidR="00823184" w:rsidRDefault="00942D49">
      <w:r>
        <w:rPr>
          <w:i/>
        </w:rPr>
        <w:t>[Define the chosen inputs (resources</w:t>
      </w:r>
      <w:r>
        <w:rPr>
          <w:i/>
        </w:rPr>
        <w:t>) and outputs (benefits). Ensure all values are non-negative. Justify each choice.]</w:t>
      </w:r>
    </w:p>
    <w:p w14:paraId="1B40CB48" w14:textId="77777777" w:rsidR="00823184" w:rsidRDefault="00942D49">
      <w:pPr>
        <w:pStyle w:val="Heading3"/>
      </w:pPr>
      <w:r>
        <w:t>Table 1. Candidate inputs/outputs and definitions</w:t>
      </w:r>
    </w:p>
    <w:tbl>
      <w:tblPr>
        <w:tblStyle w:val="TableGrid"/>
        <w:tblW w:w="0" w:type="auto"/>
        <w:jc w:val="center"/>
        <w:tblLook w:val="04A0" w:firstRow="1" w:lastRow="0" w:firstColumn="1" w:lastColumn="0" w:noHBand="0" w:noVBand="1"/>
      </w:tblPr>
      <w:tblGrid>
        <w:gridCol w:w="3338"/>
        <w:gridCol w:w="1723"/>
        <w:gridCol w:w="2382"/>
        <w:gridCol w:w="2133"/>
      </w:tblGrid>
      <w:tr w:rsidR="00823184" w14:paraId="62B57B54" w14:textId="77777777">
        <w:trPr>
          <w:cantSplit/>
          <w:jc w:val="center"/>
        </w:trPr>
        <w:tc>
          <w:tcPr>
            <w:tcW w:w="2448" w:type="dxa"/>
            <w:vAlign w:val="center"/>
          </w:tcPr>
          <w:p w14:paraId="1FC3446D" w14:textId="77777777" w:rsidR="00823184" w:rsidRDefault="00942D49">
            <w:r>
              <w:rPr>
                <w:b/>
                <w:sz w:val="20"/>
              </w:rPr>
              <w:t>Metric</w:t>
            </w:r>
          </w:p>
        </w:tc>
        <w:tc>
          <w:tcPr>
            <w:tcW w:w="1872" w:type="dxa"/>
            <w:vAlign w:val="center"/>
          </w:tcPr>
          <w:p w14:paraId="2124D713" w14:textId="77777777" w:rsidR="00823184" w:rsidRDefault="00942D49">
            <w:r>
              <w:rPr>
                <w:b/>
                <w:sz w:val="20"/>
              </w:rPr>
              <w:t>Type (Input/Output)</w:t>
            </w:r>
          </w:p>
        </w:tc>
        <w:tc>
          <w:tcPr>
            <w:tcW w:w="3168" w:type="dxa"/>
            <w:vAlign w:val="center"/>
          </w:tcPr>
          <w:p w14:paraId="1D5BC6B3" w14:textId="77777777" w:rsidR="00823184" w:rsidRDefault="00942D49">
            <w:r>
              <w:rPr>
                <w:b/>
                <w:sz w:val="20"/>
              </w:rPr>
              <w:t>Definition / Unit</w:t>
            </w:r>
          </w:p>
        </w:tc>
        <w:tc>
          <w:tcPr>
            <w:tcW w:w="2592" w:type="dxa"/>
            <w:vAlign w:val="center"/>
          </w:tcPr>
          <w:p w14:paraId="64E28FDA" w14:textId="77777777" w:rsidR="00823184" w:rsidRDefault="00942D49">
            <w:r>
              <w:rPr>
                <w:b/>
                <w:sz w:val="20"/>
              </w:rPr>
              <w:t>Notes / Source</w:t>
            </w:r>
          </w:p>
        </w:tc>
      </w:tr>
      <w:tr w:rsidR="00823184" w14:paraId="5434314B" w14:textId="77777777">
        <w:trPr>
          <w:cantSplit/>
          <w:jc w:val="center"/>
        </w:trPr>
        <w:tc>
          <w:tcPr>
            <w:tcW w:w="2448" w:type="dxa"/>
            <w:vAlign w:val="center"/>
          </w:tcPr>
          <w:p w14:paraId="67493D40" w14:textId="77777777" w:rsidR="00823184" w:rsidRDefault="00942D49">
            <w:r>
              <w:rPr>
                <w:sz w:val="20"/>
              </w:rPr>
              <w:t>price_1m_blended_3_to_1</w:t>
            </w:r>
          </w:p>
        </w:tc>
        <w:tc>
          <w:tcPr>
            <w:tcW w:w="1872" w:type="dxa"/>
            <w:vAlign w:val="center"/>
          </w:tcPr>
          <w:p w14:paraId="7FBFA420" w14:textId="77777777" w:rsidR="00823184" w:rsidRDefault="00942D49">
            <w:r>
              <w:rPr>
                <w:sz w:val="20"/>
              </w:rPr>
              <w:t>Input</w:t>
            </w:r>
          </w:p>
        </w:tc>
        <w:tc>
          <w:tcPr>
            <w:tcW w:w="3168" w:type="dxa"/>
            <w:vAlign w:val="center"/>
          </w:tcPr>
          <w:p w14:paraId="760864B2" w14:textId="77777777" w:rsidR="00823184" w:rsidRDefault="00942D49">
            <w:r>
              <w:rPr>
                <w:sz w:val="20"/>
              </w:rPr>
              <w:t xml:space="preserve">Blended USD cost per 1M </w:t>
            </w:r>
            <w:r>
              <w:rPr>
                <w:sz w:val="20"/>
              </w:rPr>
              <w:t>tokens (3:1 input:output weighting).</w:t>
            </w:r>
          </w:p>
        </w:tc>
        <w:tc>
          <w:tcPr>
            <w:tcW w:w="2592" w:type="dxa"/>
            <w:vAlign w:val="center"/>
          </w:tcPr>
          <w:p w14:paraId="3B0BF148" w14:textId="77777777" w:rsidR="00823184" w:rsidRDefault="00942D49">
            <w:r>
              <w:rPr>
                <w:sz w:val="20"/>
              </w:rPr>
              <w:t>Pricing snapshot from provider aggregation (e.g., Artificial Analysis).</w:t>
            </w:r>
          </w:p>
        </w:tc>
      </w:tr>
      <w:tr w:rsidR="00823184" w14:paraId="41DA0A98" w14:textId="77777777">
        <w:trPr>
          <w:cantSplit/>
          <w:jc w:val="center"/>
        </w:trPr>
        <w:tc>
          <w:tcPr>
            <w:tcW w:w="2448" w:type="dxa"/>
            <w:vAlign w:val="center"/>
          </w:tcPr>
          <w:p w14:paraId="7153F7CA" w14:textId="77777777" w:rsidR="00823184" w:rsidRDefault="00942D49">
            <w:r>
              <w:rPr>
                <w:sz w:val="20"/>
              </w:rPr>
              <w:t>median_time_to_first_token_seconds</w:t>
            </w:r>
          </w:p>
        </w:tc>
        <w:tc>
          <w:tcPr>
            <w:tcW w:w="1872" w:type="dxa"/>
            <w:vAlign w:val="center"/>
          </w:tcPr>
          <w:p w14:paraId="3D55EFA7" w14:textId="77777777" w:rsidR="00823184" w:rsidRDefault="00942D49">
            <w:r>
              <w:rPr>
                <w:sz w:val="20"/>
              </w:rPr>
              <w:t>Input</w:t>
            </w:r>
          </w:p>
        </w:tc>
        <w:tc>
          <w:tcPr>
            <w:tcW w:w="3168" w:type="dxa"/>
            <w:vAlign w:val="center"/>
          </w:tcPr>
          <w:p w14:paraId="24D7A978" w14:textId="77777777" w:rsidR="00823184" w:rsidRDefault="00942D49">
            <w:r>
              <w:rPr>
                <w:sz w:val="20"/>
              </w:rPr>
              <w:t>Median time to first token (seconds).</w:t>
            </w:r>
          </w:p>
        </w:tc>
        <w:tc>
          <w:tcPr>
            <w:tcW w:w="2592" w:type="dxa"/>
            <w:vAlign w:val="center"/>
          </w:tcPr>
          <w:p w14:paraId="008D253B" w14:textId="77777777" w:rsidR="00823184" w:rsidRDefault="00942D49">
            <w:r>
              <w:rPr>
                <w:sz w:val="20"/>
              </w:rPr>
              <w:t>Latency; provider/region dependent.</w:t>
            </w:r>
          </w:p>
        </w:tc>
      </w:tr>
      <w:tr w:rsidR="00823184" w14:paraId="316E7066" w14:textId="77777777">
        <w:trPr>
          <w:cantSplit/>
          <w:jc w:val="center"/>
        </w:trPr>
        <w:tc>
          <w:tcPr>
            <w:tcW w:w="2448" w:type="dxa"/>
            <w:vAlign w:val="center"/>
          </w:tcPr>
          <w:p w14:paraId="64D551F8" w14:textId="77777777" w:rsidR="00823184" w:rsidRDefault="00942D49">
            <w:r>
              <w:rPr>
                <w:sz w:val="20"/>
              </w:rPr>
              <w:t>median_time_to_first_answer_se</w:t>
            </w:r>
            <w:r>
              <w:rPr>
                <w:sz w:val="20"/>
              </w:rPr>
              <w:t>conds</w:t>
            </w:r>
          </w:p>
        </w:tc>
        <w:tc>
          <w:tcPr>
            <w:tcW w:w="1872" w:type="dxa"/>
            <w:vAlign w:val="center"/>
          </w:tcPr>
          <w:p w14:paraId="66B679D9" w14:textId="77777777" w:rsidR="00823184" w:rsidRDefault="00942D49">
            <w:r>
              <w:rPr>
                <w:sz w:val="20"/>
              </w:rPr>
              <w:t>Input</w:t>
            </w:r>
          </w:p>
        </w:tc>
        <w:tc>
          <w:tcPr>
            <w:tcW w:w="3168" w:type="dxa"/>
            <w:vAlign w:val="center"/>
          </w:tcPr>
          <w:p w14:paraId="016D631C" w14:textId="77777777" w:rsidR="00823184" w:rsidRDefault="00942D49">
            <w:r>
              <w:rPr>
                <w:sz w:val="20"/>
              </w:rPr>
              <w:t>Median time to first complete answer (seconds).</w:t>
            </w:r>
          </w:p>
        </w:tc>
        <w:tc>
          <w:tcPr>
            <w:tcW w:w="2592" w:type="dxa"/>
            <w:vAlign w:val="center"/>
          </w:tcPr>
          <w:p w14:paraId="5C7FE484" w14:textId="77777777" w:rsidR="00823184" w:rsidRDefault="00942D49">
            <w:r>
              <w:rPr>
                <w:sz w:val="20"/>
              </w:rPr>
              <w:t>Completion latency; depends on response length.</w:t>
            </w:r>
          </w:p>
        </w:tc>
      </w:tr>
      <w:tr w:rsidR="00823184" w14:paraId="5004CFE9" w14:textId="77777777">
        <w:trPr>
          <w:cantSplit/>
          <w:jc w:val="center"/>
        </w:trPr>
        <w:tc>
          <w:tcPr>
            <w:tcW w:w="2448" w:type="dxa"/>
            <w:vAlign w:val="center"/>
          </w:tcPr>
          <w:p w14:paraId="74DAD331" w14:textId="77777777" w:rsidR="00823184" w:rsidRDefault="00942D49">
            <w:r>
              <w:rPr>
                <w:sz w:val="20"/>
              </w:rPr>
              <w:t>intelligence_index</w:t>
            </w:r>
          </w:p>
        </w:tc>
        <w:tc>
          <w:tcPr>
            <w:tcW w:w="1872" w:type="dxa"/>
            <w:vAlign w:val="center"/>
          </w:tcPr>
          <w:p w14:paraId="09E4EC59" w14:textId="77777777" w:rsidR="00823184" w:rsidRDefault="00942D49">
            <w:r>
              <w:rPr>
                <w:sz w:val="20"/>
              </w:rPr>
              <w:t>Output</w:t>
            </w:r>
          </w:p>
        </w:tc>
        <w:tc>
          <w:tcPr>
            <w:tcW w:w="3168" w:type="dxa"/>
            <w:vAlign w:val="center"/>
          </w:tcPr>
          <w:p w14:paraId="2E4BDB63" w14:textId="77777777" w:rsidR="00823184" w:rsidRDefault="00942D49">
            <w:r>
              <w:rPr>
                <w:sz w:val="20"/>
              </w:rPr>
              <w:t>Composite quality index (unitless).</w:t>
            </w:r>
          </w:p>
        </w:tc>
        <w:tc>
          <w:tcPr>
            <w:tcW w:w="2592" w:type="dxa"/>
            <w:vAlign w:val="center"/>
          </w:tcPr>
          <w:p w14:paraId="2F2C42A0" w14:textId="77777777" w:rsidR="00823184" w:rsidRDefault="00942D49">
            <w:r>
              <w:rPr>
                <w:sz w:val="20"/>
              </w:rPr>
              <w:t>Benchmark-derived index; specify version/date.</w:t>
            </w:r>
          </w:p>
        </w:tc>
      </w:tr>
      <w:tr w:rsidR="00823184" w14:paraId="0854D23E" w14:textId="77777777">
        <w:trPr>
          <w:cantSplit/>
          <w:jc w:val="center"/>
        </w:trPr>
        <w:tc>
          <w:tcPr>
            <w:tcW w:w="2448" w:type="dxa"/>
            <w:vAlign w:val="center"/>
          </w:tcPr>
          <w:p w14:paraId="63A90B0A" w14:textId="77777777" w:rsidR="00823184" w:rsidRDefault="00942D49">
            <w:r>
              <w:rPr>
                <w:sz w:val="20"/>
              </w:rPr>
              <w:t>coding_index</w:t>
            </w:r>
          </w:p>
        </w:tc>
        <w:tc>
          <w:tcPr>
            <w:tcW w:w="1872" w:type="dxa"/>
            <w:vAlign w:val="center"/>
          </w:tcPr>
          <w:p w14:paraId="67195FF6" w14:textId="77777777" w:rsidR="00823184" w:rsidRDefault="00942D49">
            <w:r>
              <w:rPr>
                <w:sz w:val="20"/>
              </w:rPr>
              <w:t>Output</w:t>
            </w:r>
          </w:p>
        </w:tc>
        <w:tc>
          <w:tcPr>
            <w:tcW w:w="3168" w:type="dxa"/>
            <w:vAlign w:val="center"/>
          </w:tcPr>
          <w:p w14:paraId="53835EB2" w14:textId="77777777" w:rsidR="00823184" w:rsidRDefault="00942D49">
            <w:r>
              <w:rPr>
                <w:sz w:val="20"/>
              </w:rPr>
              <w:t>Composite coding capability index (unitless).</w:t>
            </w:r>
          </w:p>
        </w:tc>
        <w:tc>
          <w:tcPr>
            <w:tcW w:w="2592" w:type="dxa"/>
            <w:vAlign w:val="center"/>
          </w:tcPr>
          <w:p w14:paraId="71D4B5F1" w14:textId="77777777" w:rsidR="00823184" w:rsidRDefault="00942D49">
            <w:r>
              <w:rPr>
                <w:sz w:val="20"/>
              </w:rPr>
              <w:t>Benchmark-derived index; specify version/date.</w:t>
            </w:r>
          </w:p>
        </w:tc>
      </w:tr>
      <w:tr w:rsidR="00823184" w14:paraId="14FC444F" w14:textId="77777777">
        <w:trPr>
          <w:cantSplit/>
          <w:jc w:val="center"/>
        </w:trPr>
        <w:tc>
          <w:tcPr>
            <w:tcW w:w="2448" w:type="dxa"/>
            <w:vAlign w:val="center"/>
          </w:tcPr>
          <w:p w14:paraId="39125962" w14:textId="77777777" w:rsidR="00823184" w:rsidRDefault="00942D49">
            <w:r>
              <w:rPr>
                <w:sz w:val="20"/>
              </w:rPr>
              <w:t>math_index</w:t>
            </w:r>
          </w:p>
        </w:tc>
        <w:tc>
          <w:tcPr>
            <w:tcW w:w="1872" w:type="dxa"/>
            <w:vAlign w:val="center"/>
          </w:tcPr>
          <w:p w14:paraId="0FFBDBAC" w14:textId="77777777" w:rsidR="00823184" w:rsidRDefault="00942D49">
            <w:r>
              <w:rPr>
                <w:sz w:val="20"/>
              </w:rPr>
              <w:t>Output</w:t>
            </w:r>
          </w:p>
        </w:tc>
        <w:tc>
          <w:tcPr>
            <w:tcW w:w="3168" w:type="dxa"/>
            <w:vAlign w:val="center"/>
          </w:tcPr>
          <w:p w14:paraId="4C270B82" w14:textId="77777777" w:rsidR="00823184" w:rsidRDefault="00942D49">
            <w:r>
              <w:rPr>
                <w:sz w:val="20"/>
              </w:rPr>
              <w:t>Composite math capability index (unitless).</w:t>
            </w:r>
          </w:p>
        </w:tc>
        <w:tc>
          <w:tcPr>
            <w:tcW w:w="2592" w:type="dxa"/>
            <w:vAlign w:val="center"/>
          </w:tcPr>
          <w:p w14:paraId="10F152A5" w14:textId="77777777" w:rsidR="00823184" w:rsidRDefault="00942D49">
            <w:r>
              <w:rPr>
                <w:sz w:val="20"/>
              </w:rPr>
              <w:t>Benchmark-derived index; specify version/date.</w:t>
            </w:r>
          </w:p>
        </w:tc>
      </w:tr>
      <w:tr w:rsidR="00823184" w14:paraId="7DFCCAF8" w14:textId="77777777">
        <w:trPr>
          <w:cantSplit/>
          <w:jc w:val="center"/>
        </w:trPr>
        <w:tc>
          <w:tcPr>
            <w:tcW w:w="2448" w:type="dxa"/>
            <w:vAlign w:val="center"/>
          </w:tcPr>
          <w:p w14:paraId="2CD53F4D" w14:textId="77777777" w:rsidR="00823184" w:rsidRDefault="00942D49">
            <w:r>
              <w:rPr>
                <w:sz w:val="20"/>
              </w:rPr>
              <w:t>mmlu_pro (optional)</w:t>
            </w:r>
          </w:p>
        </w:tc>
        <w:tc>
          <w:tcPr>
            <w:tcW w:w="1872" w:type="dxa"/>
            <w:vAlign w:val="center"/>
          </w:tcPr>
          <w:p w14:paraId="0BEA3415" w14:textId="77777777" w:rsidR="00823184" w:rsidRDefault="00942D49">
            <w:r>
              <w:rPr>
                <w:sz w:val="20"/>
              </w:rPr>
              <w:t>Output</w:t>
            </w:r>
          </w:p>
        </w:tc>
        <w:tc>
          <w:tcPr>
            <w:tcW w:w="3168" w:type="dxa"/>
            <w:vAlign w:val="center"/>
          </w:tcPr>
          <w:p w14:paraId="32DCCB91" w14:textId="77777777" w:rsidR="00823184" w:rsidRDefault="00942D49">
            <w:r>
              <w:rPr>
                <w:sz w:val="20"/>
              </w:rPr>
              <w:t>MMLU-Pro score (% or norm</w:t>
            </w:r>
            <w:r>
              <w:rPr>
                <w:sz w:val="20"/>
              </w:rPr>
              <w:t>alized).</w:t>
            </w:r>
          </w:p>
        </w:tc>
        <w:tc>
          <w:tcPr>
            <w:tcW w:w="2592" w:type="dxa"/>
            <w:vAlign w:val="center"/>
          </w:tcPr>
          <w:p w14:paraId="5B7A4D85" w14:textId="77777777" w:rsidR="00823184" w:rsidRDefault="00942D49">
            <w:r>
              <w:rPr>
                <w:sz w:val="20"/>
              </w:rPr>
              <w:t>Include only if available across all models.</w:t>
            </w:r>
          </w:p>
        </w:tc>
      </w:tr>
      <w:tr w:rsidR="00823184" w14:paraId="1F04B3FC" w14:textId="77777777">
        <w:trPr>
          <w:cantSplit/>
          <w:jc w:val="center"/>
        </w:trPr>
        <w:tc>
          <w:tcPr>
            <w:tcW w:w="2448" w:type="dxa"/>
            <w:vAlign w:val="center"/>
          </w:tcPr>
          <w:p w14:paraId="66037C42" w14:textId="77777777" w:rsidR="00823184" w:rsidRDefault="00942D49">
            <w:r>
              <w:rPr>
                <w:sz w:val="20"/>
              </w:rPr>
              <w:t>hle (optional)</w:t>
            </w:r>
          </w:p>
        </w:tc>
        <w:tc>
          <w:tcPr>
            <w:tcW w:w="1872" w:type="dxa"/>
            <w:vAlign w:val="center"/>
          </w:tcPr>
          <w:p w14:paraId="2EC2ED09" w14:textId="77777777" w:rsidR="00823184" w:rsidRDefault="00942D49">
            <w:r>
              <w:rPr>
                <w:sz w:val="20"/>
              </w:rPr>
              <w:t>Output</w:t>
            </w:r>
          </w:p>
        </w:tc>
        <w:tc>
          <w:tcPr>
            <w:tcW w:w="3168" w:type="dxa"/>
            <w:vAlign w:val="center"/>
          </w:tcPr>
          <w:p w14:paraId="070C2BD1" w14:textId="77777777" w:rsidR="00823184" w:rsidRDefault="00942D49">
            <w:r>
              <w:rPr>
                <w:sz w:val="20"/>
              </w:rPr>
              <w:t>Humanity’s Last Exam score (% or normalized).</w:t>
            </w:r>
          </w:p>
        </w:tc>
        <w:tc>
          <w:tcPr>
            <w:tcW w:w="2592" w:type="dxa"/>
            <w:vAlign w:val="center"/>
          </w:tcPr>
          <w:p w14:paraId="78F9B794" w14:textId="77777777" w:rsidR="00823184" w:rsidRDefault="00942D49">
            <w:r>
              <w:rPr>
                <w:sz w:val="20"/>
              </w:rPr>
              <w:t>Include only if available across all models.</w:t>
            </w:r>
          </w:p>
        </w:tc>
      </w:tr>
    </w:tbl>
    <w:p w14:paraId="127990E8" w14:textId="77777777" w:rsidR="00823184" w:rsidRDefault="00823184"/>
    <w:p w14:paraId="5CB8DD43" w14:textId="77777777" w:rsidR="00823184" w:rsidRDefault="00942D49">
      <w:pPr>
        <w:pStyle w:val="Heading2"/>
      </w:pPr>
      <w:r>
        <w:lastRenderedPageBreak/>
        <w:t>4.3 Preprocessing and normalization</w:t>
      </w:r>
    </w:p>
    <w:p w14:paraId="3B0D2A08" w14:textId="77777777" w:rsidR="00823184" w:rsidRDefault="00942D49">
      <w:r>
        <w:rPr>
          <w:i/>
        </w:rPr>
        <w:t xml:space="preserve">[Explain preprocessing steps: handling </w:t>
      </w:r>
      <w:r>
        <w:rPr>
          <w:i/>
        </w:rPr>
        <w:t>missing values, filtering to a homogeneous set (e.g., reasoning models), unit conversions, and optional log transforms. Discuss the DMU-to-metric ratio to avoid too many efficient units.]</w:t>
      </w:r>
    </w:p>
    <w:p w14:paraId="031254D2" w14:textId="77777777" w:rsidR="00823184" w:rsidRDefault="00942D49">
      <w:pPr>
        <w:pStyle w:val="Heading1"/>
      </w:pPr>
      <w:r>
        <w:t>5. Methodology</w:t>
      </w:r>
    </w:p>
    <w:p w14:paraId="714C9C95" w14:textId="77777777" w:rsidR="00823184" w:rsidRDefault="00942D49">
      <w:pPr>
        <w:pStyle w:val="Heading2"/>
      </w:pPr>
      <w:r>
        <w:t>5.1 Decision Making Units (DMUs)</w:t>
      </w:r>
    </w:p>
    <w:p w14:paraId="231FE4FD" w14:textId="77777777" w:rsidR="00823184" w:rsidRDefault="00942D49">
      <w:r>
        <w:rPr>
          <w:i/>
        </w:rPr>
        <w:t>[Define each model a</w:t>
      </w:r>
      <w:r>
        <w:rPr>
          <w:i/>
        </w:rPr>
        <w:t>s a DMU. Describe the evaluation perspective: minimize resources for a given level of performance (input-oriented), or maximize performance given resources (output-oriented).]</w:t>
      </w:r>
    </w:p>
    <w:p w14:paraId="19A074D6" w14:textId="77777777" w:rsidR="00823184" w:rsidRDefault="00942D49">
      <w:pPr>
        <w:pStyle w:val="Heading2"/>
      </w:pPr>
      <w:r>
        <w:t>5.2 DEA models: CCR and BCC</w:t>
      </w:r>
    </w:p>
    <w:p w14:paraId="3BAEEEB0" w14:textId="77777777" w:rsidR="00823184" w:rsidRDefault="00942D49">
      <w:r>
        <w:rPr>
          <w:i/>
        </w:rPr>
        <w:t>[Present the linear programs for CCR (CRS) and BCC (</w:t>
      </w:r>
      <w:r>
        <w:rPr>
          <w:i/>
        </w:rPr>
        <w:t>VRS). Define technical efficiency (TE), pure technical efficiency (PTE), and scale efficiency (SE = TE/PTE).]</w:t>
      </w:r>
    </w:p>
    <w:p w14:paraId="4107B193" w14:textId="77777777" w:rsidR="00823184" w:rsidRDefault="00942D49">
      <w:pPr>
        <w:pStyle w:val="Heading2"/>
      </w:pPr>
      <w:r>
        <w:t>5.3 Model orientation and interpretation</w:t>
      </w:r>
    </w:p>
    <w:p w14:paraId="5F3433DC" w14:textId="77777777" w:rsidR="00823184" w:rsidRDefault="00942D49">
      <w:r>
        <w:rPr>
          <w:i/>
        </w:rPr>
        <w:t>[Justify input- vs output-orientation. Explain what an efficiency score means for an LLM in practical ter</w:t>
      </w:r>
      <w:r>
        <w:rPr>
          <w:i/>
        </w:rPr>
        <w:t>ms (cost/latency reduction targets, or performance improvement targets).]</w:t>
      </w:r>
    </w:p>
    <w:p w14:paraId="70B6687E" w14:textId="77777777" w:rsidR="00823184" w:rsidRDefault="00942D49">
      <w:pPr>
        <w:pStyle w:val="Heading2"/>
      </w:pPr>
      <w:r>
        <w:t>5.4 Robustness and sensitivity checks</w:t>
      </w:r>
    </w:p>
    <w:p w14:paraId="20D3A75B" w14:textId="77777777" w:rsidR="00823184" w:rsidRDefault="00942D49">
      <w:r>
        <w:rPr>
          <w:i/>
        </w:rPr>
        <w:t>[Describe alternative specifications: changing the set of outputs, changing price blending assumptions, removing/adding latency metrics, and che</w:t>
      </w:r>
      <w:r>
        <w:rPr>
          <w:i/>
        </w:rPr>
        <w:t>cking stability of rankings/frontier membership.]</w:t>
      </w:r>
    </w:p>
    <w:p w14:paraId="72C81204" w14:textId="77777777" w:rsidR="00823184" w:rsidRDefault="00942D49">
      <w:pPr>
        <w:pStyle w:val="Heading1"/>
      </w:pPr>
      <w:r>
        <w:t>6. Experimental Setup</w:t>
      </w:r>
    </w:p>
    <w:p w14:paraId="006819FE" w14:textId="77777777" w:rsidR="00823184" w:rsidRDefault="00942D49">
      <w:pPr>
        <w:pStyle w:val="Heading2"/>
      </w:pPr>
      <w:r>
        <w:t>6.1 Implementation details</w:t>
      </w:r>
    </w:p>
    <w:p w14:paraId="34B9E689" w14:textId="77777777" w:rsidR="00823184" w:rsidRDefault="00942D49">
      <w:r>
        <w:rPr>
          <w:i/>
        </w:rPr>
        <w:t>[Specify implementation: Python libraries (e.g., CVXPY/PuLP), solver, numerical tolerances, and reproducibility (code repo, data snapshot).]</w:t>
      </w:r>
    </w:p>
    <w:p w14:paraId="5ACDF7A0" w14:textId="77777777" w:rsidR="00823184" w:rsidRDefault="00942D49">
      <w:pPr>
        <w:pStyle w:val="Heading2"/>
      </w:pPr>
      <w:r>
        <w:t>6.2 Evaluation p</w:t>
      </w:r>
      <w:r>
        <w:t>rotocol</w:t>
      </w:r>
    </w:p>
    <w:p w14:paraId="2AA1A5E5" w14:textId="77777777" w:rsidR="00823184" w:rsidRDefault="00942D49">
      <w:r>
        <w:rPr>
          <w:i/>
        </w:rPr>
        <w:t>[Explain how you aggregate metrics per model and ensure comparability (same date window, same sources). Describe any filtering to ensure homogeneity.]</w:t>
      </w:r>
    </w:p>
    <w:p w14:paraId="166603D5" w14:textId="77777777" w:rsidR="00823184" w:rsidRDefault="00942D49">
      <w:pPr>
        <w:pStyle w:val="Heading1"/>
      </w:pPr>
      <w:r>
        <w:t>7. Results</w:t>
      </w:r>
    </w:p>
    <w:p w14:paraId="62ADBA59" w14:textId="77777777" w:rsidR="00823184" w:rsidRDefault="00942D49">
      <w:pPr>
        <w:pStyle w:val="Heading2"/>
      </w:pPr>
      <w:r>
        <w:t>7.1 Descriptive statistics</w:t>
      </w:r>
    </w:p>
    <w:p w14:paraId="3DD2DC79" w14:textId="77777777" w:rsidR="00823184" w:rsidRDefault="00942D49">
      <w:r>
        <w:rPr>
          <w:i/>
        </w:rPr>
        <w:t>[Provide summary statistics for each metric and discuss the</w:t>
      </w:r>
      <w:r>
        <w:rPr>
          <w:i/>
        </w:rPr>
        <w:t xml:space="preserve"> spread across models. Include a table and/or plots.]</w:t>
      </w:r>
    </w:p>
    <w:p w14:paraId="5D60D643" w14:textId="77777777" w:rsidR="00823184" w:rsidRDefault="00942D49">
      <w:pPr>
        <w:pStyle w:val="Heading2"/>
      </w:pPr>
      <w:r>
        <w:lastRenderedPageBreak/>
        <w:t>7.2 Efficiency scores and frontier models</w:t>
      </w:r>
    </w:p>
    <w:p w14:paraId="6708AD0B" w14:textId="77777777" w:rsidR="00823184" w:rsidRDefault="00942D49">
      <w:r>
        <w:rPr>
          <w:i/>
        </w:rPr>
        <w:t>[Report CCR/BCC efficiency, scale efficiency, and identify frontier models. Provide rankings where appropriate.]</w:t>
      </w:r>
    </w:p>
    <w:p w14:paraId="52E35DA1" w14:textId="77777777" w:rsidR="00823184" w:rsidRDefault="00942D49">
      <w:pPr>
        <w:pStyle w:val="Heading2"/>
      </w:pPr>
      <w:r>
        <w:t>7.3 Peer comparisons and targets</w:t>
      </w:r>
    </w:p>
    <w:p w14:paraId="778BD322" w14:textId="77777777" w:rsidR="00823184" w:rsidRDefault="00942D49">
      <w:r>
        <w:rPr>
          <w:i/>
        </w:rPr>
        <w:t xml:space="preserve">[For selected </w:t>
      </w:r>
      <w:r>
        <w:rPr>
          <w:i/>
        </w:rPr>
        <w:t>inefficient models, report projected input reductions (or output increases) required to reach the frontier; optionally discuss slacks.]</w:t>
      </w:r>
    </w:p>
    <w:p w14:paraId="4A2FC3E6" w14:textId="77777777" w:rsidR="00823184" w:rsidRDefault="00942D49">
      <w:pPr>
        <w:pStyle w:val="Heading2"/>
      </w:pPr>
      <w:r>
        <w:t>7.4 Sensitivity analysis</w:t>
      </w:r>
    </w:p>
    <w:p w14:paraId="257B34D5" w14:textId="77777777" w:rsidR="00823184" w:rsidRDefault="00942D49">
      <w:r>
        <w:rPr>
          <w:i/>
        </w:rPr>
        <w:t xml:space="preserve">[Show how results change under alternative inputs/outputs or transformations. Highlight stable </w:t>
      </w:r>
      <w:r>
        <w:rPr>
          <w:i/>
        </w:rPr>
        <w:t>vs unstable findings.]</w:t>
      </w:r>
    </w:p>
    <w:p w14:paraId="02A6A6E6" w14:textId="77777777" w:rsidR="00823184" w:rsidRDefault="00942D49">
      <w:pPr>
        <w:pStyle w:val="Heading1"/>
      </w:pPr>
      <w:r>
        <w:t>8. Discussion and Limitations</w:t>
      </w:r>
    </w:p>
    <w:p w14:paraId="4E5D7F06" w14:textId="77777777" w:rsidR="00823184" w:rsidRDefault="00942D49">
      <w:r>
        <w:rPr>
          <w:i/>
        </w:rPr>
        <w:t xml:space="preserve">[Discuss interpretability, practical implications for model selection, and limitations: measurement noise, pricing changes, latency variability, composite index assumptions, and metric </w:t>
      </w:r>
      <w:r>
        <w:rPr>
          <w:i/>
        </w:rPr>
        <w:t>availability biases.]</w:t>
      </w:r>
    </w:p>
    <w:p w14:paraId="73DEEF3B" w14:textId="77777777" w:rsidR="00823184" w:rsidRDefault="00942D49">
      <w:pPr>
        <w:pStyle w:val="Heading1"/>
      </w:pPr>
      <w:r>
        <w:t>9. Conclusion and Future Work</w:t>
      </w:r>
    </w:p>
    <w:p w14:paraId="4A8CAA69" w14:textId="77777777" w:rsidR="00823184" w:rsidRDefault="00942D49">
      <w:r>
        <w:rPr>
          <w:i/>
        </w:rPr>
        <w:t>[Summarize the main takeaways. Propose future work: cross-efficiency ranking, weight restrictions, additional outputs (e.g., context length), environmental costs, or temporal tracking across releases.]</w:t>
      </w:r>
    </w:p>
    <w:p w14:paraId="11726147" w14:textId="77777777" w:rsidR="00823184" w:rsidRDefault="00942D49">
      <w:pPr>
        <w:pStyle w:val="Heading1"/>
      </w:pPr>
      <w:r>
        <w:t>References</w:t>
      </w:r>
    </w:p>
    <w:p w14:paraId="6C0AA02E" w14:textId="77777777" w:rsidR="00823184" w:rsidRDefault="00942D49">
      <w:r>
        <w:rPr>
          <w:i/>
        </w:rPr>
        <w:t>[Add bibliography entries in a consistent style (APA/IEEE). Include the dataset/benchmark sources and any DEA/NLP/LLM evaluation papers you cite.]</w:t>
      </w:r>
    </w:p>
    <w:p w14:paraId="6EAFF82C" w14:textId="77777777" w:rsidR="00823184" w:rsidRDefault="00942D49">
      <w:pPr>
        <w:pStyle w:val="Heading1"/>
      </w:pPr>
      <w:r>
        <w:t>Appendix A. Data schema</w:t>
      </w:r>
    </w:p>
    <w:p w14:paraId="6FD0ACBD" w14:textId="77777777" w:rsidR="00823184" w:rsidRDefault="00942D49">
      <w:r>
        <w:rPr>
          <w:i/>
        </w:rPr>
        <w:t>[Optionally include the JSON schema / field definitions and any code snipp</w:t>
      </w:r>
      <w:r>
        <w:rPr>
          <w:i/>
        </w:rPr>
        <w:t>ets used for parsing and cleaning.]</w:t>
      </w:r>
    </w:p>
    <w:p w14:paraId="337FB922" w14:textId="77777777" w:rsidR="00823184" w:rsidRDefault="00942D49">
      <w:pPr>
        <w:pStyle w:val="Heading1"/>
      </w:pPr>
      <w:r>
        <w:t>Appendix B. Full DEA formulations</w:t>
      </w:r>
    </w:p>
    <w:p w14:paraId="45EE2B89" w14:textId="77777777" w:rsidR="00823184" w:rsidRDefault="00942D49">
      <w:r>
        <w:rPr>
          <w:i/>
        </w:rPr>
        <w:t>[Optionally include the primal/dual linear programs used, plus definitions of variables and constraints.]</w:t>
      </w:r>
    </w:p>
    <w:sectPr w:rsidR="00823184" w:rsidSect="0018525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253"/>
    <w:rsid w:val="0029639D"/>
    <w:rsid w:val="00326F90"/>
    <w:rsid w:val="00823184"/>
    <w:rsid w:val="00942D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37D01"/>
  <w14:defaultImageDpi w14:val="300"/>
  <w15:docId w15:val="{13C02171-FC56-4CE4-B0AD-DB3D00EE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42D49"/>
    <w:pPr>
      <w:spacing w:before="100" w:beforeAutospacing="1" w:after="100" w:afterAutospacing="1" w:line="240" w:lineRule="auto"/>
    </w:pPr>
    <w:rPr>
      <w:rFonts w:cs="Times New Roman"/>
      <w:color w:val="auto"/>
      <w:szCs w:val="24"/>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934370">
      <w:bodyDiv w:val="1"/>
      <w:marLeft w:val="0"/>
      <w:marRight w:val="0"/>
      <w:marTop w:val="0"/>
      <w:marBottom w:val="0"/>
      <w:divBdr>
        <w:top w:val="none" w:sz="0" w:space="0" w:color="auto"/>
        <w:left w:val="none" w:sz="0" w:space="0" w:color="auto"/>
        <w:bottom w:val="none" w:sz="0" w:space="0" w:color="auto"/>
        <w:right w:val="none" w:sz="0" w:space="0" w:color="auto"/>
      </w:divBdr>
      <w:divsChild>
        <w:div w:id="1988119763">
          <w:marLeft w:val="0"/>
          <w:marRight w:val="0"/>
          <w:marTop w:val="0"/>
          <w:marBottom w:val="0"/>
          <w:divBdr>
            <w:top w:val="none" w:sz="0" w:space="0" w:color="auto"/>
            <w:left w:val="none" w:sz="0" w:space="0" w:color="auto"/>
            <w:bottom w:val="none" w:sz="0" w:space="0" w:color="auto"/>
            <w:right w:val="none" w:sz="0" w:space="0" w:color="auto"/>
          </w:divBdr>
          <w:divsChild>
            <w:div w:id="1782601700">
              <w:marLeft w:val="0"/>
              <w:marRight w:val="0"/>
              <w:marTop w:val="0"/>
              <w:marBottom w:val="0"/>
              <w:divBdr>
                <w:top w:val="none" w:sz="0" w:space="0" w:color="auto"/>
                <w:left w:val="none" w:sz="0" w:space="0" w:color="auto"/>
                <w:bottom w:val="none" w:sz="0" w:space="0" w:color="auto"/>
                <w:right w:val="none" w:sz="0" w:space="0" w:color="auto"/>
              </w:divBdr>
              <w:divsChild>
                <w:div w:id="2039888599">
                  <w:marLeft w:val="0"/>
                  <w:marRight w:val="0"/>
                  <w:marTop w:val="0"/>
                  <w:marBottom w:val="0"/>
                  <w:divBdr>
                    <w:top w:val="none" w:sz="0" w:space="0" w:color="auto"/>
                    <w:left w:val="none" w:sz="0" w:space="0" w:color="auto"/>
                    <w:bottom w:val="none" w:sz="0" w:space="0" w:color="auto"/>
                    <w:right w:val="none" w:sz="0" w:space="0" w:color="auto"/>
                  </w:divBdr>
                  <w:divsChild>
                    <w:div w:id="1280140408">
                      <w:marLeft w:val="0"/>
                      <w:marRight w:val="0"/>
                      <w:marTop w:val="0"/>
                      <w:marBottom w:val="0"/>
                      <w:divBdr>
                        <w:top w:val="none" w:sz="0" w:space="0" w:color="auto"/>
                        <w:left w:val="none" w:sz="0" w:space="0" w:color="auto"/>
                        <w:bottom w:val="none" w:sz="0" w:space="0" w:color="auto"/>
                        <w:right w:val="none" w:sz="0" w:space="0" w:color="auto"/>
                      </w:divBdr>
                      <w:divsChild>
                        <w:div w:id="1778089745">
                          <w:marLeft w:val="0"/>
                          <w:marRight w:val="0"/>
                          <w:marTop w:val="0"/>
                          <w:marBottom w:val="0"/>
                          <w:divBdr>
                            <w:top w:val="none" w:sz="0" w:space="0" w:color="auto"/>
                            <w:left w:val="none" w:sz="0" w:space="0" w:color="auto"/>
                            <w:bottom w:val="none" w:sz="0" w:space="0" w:color="auto"/>
                            <w:right w:val="none" w:sz="0" w:space="0" w:color="auto"/>
                          </w:divBdr>
                          <w:divsChild>
                            <w:div w:id="871455196">
                              <w:marLeft w:val="0"/>
                              <w:marRight w:val="0"/>
                              <w:marTop w:val="0"/>
                              <w:marBottom w:val="0"/>
                              <w:divBdr>
                                <w:top w:val="none" w:sz="0" w:space="0" w:color="auto"/>
                                <w:left w:val="none" w:sz="0" w:space="0" w:color="auto"/>
                                <w:bottom w:val="none" w:sz="0" w:space="0" w:color="auto"/>
                                <w:right w:val="none" w:sz="0" w:space="0" w:color="auto"/>
                              </w:divBdr>
                              <w:divsChild>
                                <w:div w:id="4244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1105</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Andreas Papathanasioy</cp:lastModifiedBy>
  <cp:revision>2</cp:revision>
  <dcterms:created xsi:type="dcterms:W3CDTF">2013-12-23T23:15:00Z</dcterms:created>
  <dcterms:modified xsi:type="dcterms:W3CDTF">2025-12-14T21:03:00Z</dcterms:modified>
  <cp:category/>
</cp:coreProperties>
</file>