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 w:line="269" w:lineRule="auto"/>
      </w:pPr>
      <w:r>
        <w:rPr>
          <w:rFonts w:ascii="Arial" w:hAnsi="Arial"/>
          <w:b/>
          <w:color w:val="00C9A7"/>
          <w:sz w:val="26"/>
        </w:rPr>
        <w:t>DETARA</w:t>
      </w:r>
    </w:p>
    <w:p>
      <w:pPr>
        <w:spacing w:before="0" w:after="40" w:line="269" w:lineRule="auto"/>
      </w:pPr>
      <w:r>
        <w:rPr>
          <w:rFonts w:ascii="Arial" w:hAnsi="Arial"/>
          <w:b/>
          <w:color w:val="0B1423"/>
          <w:sz w:val="48"/>
        </w:rPr>
        <w:t>Termo de Adesão e Condições de Assinatura</w:t>
      </w:r>
    </w:p>
    <w:p>
      <w:pPr>
        <w:spacing w:before="0" w:after="240" w:line="269" w:lineRule="auto"/>
      </w:pPr>
      <w:r>
        <w:rPr>
          <w:rFonts w:ascii="Arial" w:hAnsi="Arial"/>
          <w:color w:val="667085"/>
          <w:sz w:val="22"/>
        </w:rPr>
        <w:t>Software de gestão para estética automotiva</w:t>
      </w:r>
    </w:p>
    <w:p>
      <w:pPr>
        <w:spacing w:after="0"/>
      </w:pPr>
    </w:p>
    <w:p>
      <w:pPr>
        <w:spacing w:before="60" w:after="100" w:line="269" w:lineRule="auto"/>
      </w:pPr>
      <w:r>
        <w:rPr>
          <w:rFonts w:ascii="Arial" w:hAnsi="Arial"/>
          <w:b/>
          <w:color w:val="0B1423"/>
          <w:sz w:val="25"/>
        </w:rPr>
        <w:t>Quadro-resumo da contratação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vAlign w:val="center"/>
            <w:tcBorders>
              <w:bottom w:val="single" w:sz="4" w:color="D6DEEA"/>
            </w:tcBorders>
            <w:shd w:fill="F2F4F7"/>
          </w:tcPr>
          <w:p>
            <w:r>
              <w:rPr>
                <w:b/>
                <w:color w:val="0B132B"/>
              </w:rPr>
              <w:t>Produto</w:t>
            </w:r>
          </w:p>
        </w:tc>
        <w:tc>
          <w:tcPr>
            <w:tcW w:type="dxa" w:w="7200"/>
            <w:vAlign w:val="center"/>
            <w:tcBorders>
              <w:bottom w:val="single" w:sz="4" w:color="D6DEEA"/>
            </w:tcBorders>
            <w:shd w:fill="FFFFFF"/>
          </w:tcPr>
          <w:p>
            <w:r>
              <w:rPr>
                <w:color w:val="0B132B"/>
              </w:rPr>
              <w:t>Detara — plataforma de gestão para estética automotiva</w:t>
            </w:r>
          </w:p>
        </w:tc>
      </w:tr>
      <w:tr>
        <w:tc>
          <w:tcPr>
            <w:tcW w:type="dxa" w:w="4997"/>
            <w:shd w:fill="F2F4F7"/>
          </w:tcPr>
          <w:p>
            <w:r>
              <w:rPr>
                <w:b/>
                <w:color w:val="0B132B"/>
              </w:rPr>
              <w:t>CONTRATADA</w:t>
            </w:r>
          </w:p>
        </w:tc>
        <w:tc>
          <w:tcPr>
            <w:tcW w:type="dxa" w:w="4997"/>
            <w:shd w:fill="FFFFFF"/>
          </w:tcPr>
          <w:p>
            <w:r>
              <w:rPr>
                <w:color w:val="0B132B"/>
              </w:rPr>
              <w:t>Gustavo Steilein Navroski — pessoa física responsável pelo Detara</w:t>
            </w:r>
          </w:p>
        </w:tc>
      </w:tr>
      <w:tr>
        <w:tc>
          <w:tcPr>
            <w:tcW w:type="dxa" w:w="2232"/>
            <w:vAlign w:val="center"/>
            <w:tcBorders>
              <w:bottom w:val="single" w:sz="4" w:color="D6DEEA"/>
            </w:tcBorders>
            <w:shd w:fill="F2F4F7"/>
          </w:tcPr>
          <w:p>
            <w:r>
              <w:rPr>
                <w:b/>
                <w:color w:val="0B132B"/>
              </w:rPr>
              <w:t>CPF</w:t>
            </w:r>
          </w:p>
        </w:tc>
        <w:tc>
          <w:tcPr>
            <w:tcW w:type="dxa" w:w="7200"/>
            <w:vAlign w:val="center"/>
            <w:tcBorders>
              <w:bottom w:val="single" w:sz="4" w:color="D6DEEA"/>
            </w:tcBorders>
            <w:shd w:fill="FFFFFF"/>
          </w:tcPr>
          <w:p>
            <w:r>
              <w:rPr>
                <w:color w:val="0B132B"/>
              </w:rPr>
              <w:t>139.752.179-10</w:t>
            </w:r>
          </w:p>
        </w:tc>
      </w:tr>
      <w:tr>
        <w:tc>
          <w:tcPr>
            <w:tcW w:type="dxa" w:w="2232"/>
            <w:vAlign w:val="center"/>
            <w:tcBorders>
              <w:bottom w:val="single" w:sz="4" w:color="D6DEEA"/>
            </w:tcBorders>
            <w:shd w:fill="F2F4F7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0B132B"/>
                <w:sz w:val="17"/>
              </w:rPr>
              <w:t>CONTRATANTE</w:t>
            </w:r>
          </w:p>
        </w:tc>
        <w:tc>
          <w:tcPr>
            <w:tcW w:type="dxa" w:w="7200"/>
            <w:vAlign w:val="center"/>
            <w:tcBorders>
              <w:bottom w:val="single" w:sz="4" w:color="D6DEEA"/>
            </w:tcBorders>
            <w:shd w:fill="FFFFFF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color w:val="0B132B"/>
                <w:sz w:val="17"/>
              </w:rPr>
              <w:t>[NOME / RAZÃO SOCIAL DO CLIENTE]</w:t>
            </w:r>
          </w:p>
        </w:tc>
      </w:tr>
      <w:tr>
        <w:tc>
          <w:tcPr>
            <w:tcW w:type="dxa" w:w="2232"/>
            <w:vAlign w:val="center"/>
            <w:tcBorders>
              <w:bottom w:val="single" w:sz="4" w:color="D6DEEA"/>
            </w:tcBorders>
            <w:shd w:fill="F2F4F7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0B132B"/>
                <w:sz w:val="17"/>
              </w:rPr>
              <w:t>Mensalidade</w:t>
            </w:r>
          </w:p>
        </w:tc>
        <w:tc>
          <w:tcPr>
            <w:tcW w:type="dxa" w:w="7200"/>
            <w:vAlign w:val="center"/>
            <w:tcBorders>
              <w:bottom w:val="single" w:sz="4" w:color="D6DEEA"/>
            </w:tcBorders>
            <w:shd w:fill="FFFFFF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color w:val="0B132B"/>
                <w:sz w:val="17"/>
              </w:rPr>
              <w:t>R$ 120,00 na condição comercial atual, salvo valor diferente expressamente informado e aceito na contratação</w:t>
            </w:r>
          </w:p>
        </w:tc>
      </w:tr>
      <w:tr>
        <w:tc>
          <w:tcPr>
            <w:tcW w:type="dxa" w:w="2232"/>
            <w:vAlign w:val="center"/>
            <w:tcBorders>
              <w:bottom w:val="single" w:sz="4" w:color="D6DEEA"/>
            </w:tcBorders>
            <w:shd w:fill="F2F4F7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0B132B"/>
                <w:sz w:val="17"/>
              </w:rPr>
              <w:t>Período de teste</w:t>
            </w:r>
          </w:p>
        </w:tc>
        <w:tc>
          <w:tcPr>
            <w:tcW w:type="dxa" w:w="7200"/>
            <w:vAlign w:val="center"/>
            <w:tcBorders>
              <w:bottom w:val="single" w:sz="4" w:color="D6DEEA"/>
            </w:tcBorders>
            <w:shd w:fill="FFFFFF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color w:val="0B132B"/>
                <w:sz w:val="17"/>
              </w:rPr>
              <w:t>7 (sete) dias gratuitos</w:t>
            </w:r>
          </w:p>
        </w:tc>
      </w:tr>
      <w:tr>
        <w:tc>
          <w:tcPr>
            <w:tcW w:type="dxa" w:w="2232"/>
            <w:vAlign w:val="center"/>
            <w:tcBorders>
              <w:bottom w:val="single" w:sz="4" w:color="D6DEEA"/>
            </w:tcBorders>
            <w:shd w:fill="F2F4F7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0B132B"/>
                <w:sz w:val="17"/>
              </w:rPr>
              <w:t>Vencimento padrão</w:t>
            </w:r>
          </w:p>
        </w:tc>
        <w:tc>
          <w:tcPr>
            <w:tcW w:type="dxa" w:w="7200"/>
            <w:vAlign w:val="center"/>
            <w:tcBorders>
              <w:bottom w:val="single" w:sz="4" w:color="D6DEEA"/>
            </w:tcBorders>
            <w:shd w:fill="FFFFFF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color w:val="0B132B"/>
                <w:sz w:val="17"/>
              </w:rPr>
              <w:t>Dia 10 de cada mês</w:t>
            </w:r>
          </w:p>
        </w:tc>
      </w:tr>
      <w:tr>
        <w:tc>
          <w:tcPr>
            <w:tcW w:type="dxa" w:w="2232"/>
            <w:vAlign w:val="center"/>
            <w:tcBorders>
              <w:bottom w:val="single" w:sz="4" w:color="D6DEEA"/>
            </w:tcBorders>
            <w:shd w:fill="F2F4F7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0B132B"/>
                <w:sz w:val="17"/>
              </w:rPr>
              <w:t>Primeiro vencimento</w:t>
            </w:r>
          </w:p>
        </w:tc>
        <w:tc>
          <w:tcPr>
            <w:tcW w:type="dxa" w:w="7200"/>
            <w:vAlign w:val="center"/>
            <w:tcBorders>
              <w:bottom w:val="single" w:sz="4" w:color="D6DEEA"/>
            </w:tcBorders>
            <w:shd w:fill="FFFFFF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color w:val="0B132B"/>
                <w:sz w:val="17"/>
              </w:rPr>
              <w:t>Primeiro dia 10 posterior ao encerramento dos 7 dias de teste; o período intermediário poderá ser concedido sem cobrança</w:t>
            </w:r>
          </w:p>
        </w:tc>
      </w:tr>
      <w:tr>
        <w:tc>
          <w:tcPr>
            <w:tcW w:type="dxa" w:w="2232"/>
            <w:vAlign w:val="center"/>
            <w:tcBorders>
              <w:bottom w:val="single" w:sz="4" w:color="D6DEEA"/>
            </w:tcBorders>
            <w:shd w:fill="F2F4F7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0B132B"/>
                <w:sz w:val="17"/>
              </w:rPr>
              <w:t>Cobrança</w:t>
            </w:r>
          </w:p>
        </w:tc>
        <w:tc>
          <w:tcPr>
            <w:tcW w:type="dxa" w:w="7200"/>
            <w:vAlign w:val="center"/>
            <w:tcBorders>
              <w:bottom w:val="single" w:sz="4" w:color="D6DEEA"/>
            </w:tcBorders>
            <w:shd w:fill="FFFFFF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color w:val="0B132B"/>
                <w:sz w:val="17"/>
              </w:rPr>
              <w:t>Assinatura recorrente gerada por provedor de pagamentos terceiro, atualmente Asaas</w:t>
            </w:r>
          </w:p>
        </w:tc>
      </w:tr>
      <w:tr>
        <w:tc>
          <w:tcPr>
            <w:tcW w:type="dxa" w:w="2232"/>
            <w:vAlign w:val="center"/>
            <w:tcBorders>
              <w:bottom w:val="single" w:sz="4" w:color="D6DEEA"/>
            </w:tcBorders>
            <w:shd w:fill="F2F4F7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0B132B"/>
                <w:sz w:val="17"/>
              </w:rPr>
              <w:t>Suspensão por atraso</w:t>
            </w:r>
          </w:p>
        </w:tc>
        <w:tc>
          <w:tcPr>
            <w:tcW w:type="dxa" w:w="7200"/>
            <w:vAlign w:val="center"/>
            <w:tcBorders>
              <w:bottom w:val="single" w:sz="4" w:color="D6DEEA"/>
            </w:tcBorders>
            <w:shd w:fill="FFFFFF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color w:val="0B132B"/>
                <w:sz w:val="17"/>
              </w:rPr>
              <w:t>A partir do momento em que a cobrança completar 7 (sete) dias corridos de atraso</w:t>
            </w:r>
          </w:p>
        </w:tc>
      </w:tr>
      <w:tr>
        <w:tc>
          <w:tcPr>
            <w:tcW w:type="dxa" w:w="2232"/>
            <w:vAlign w:val="center"/>
            <w:tcBorders>
              <w:bottom w:val="single" w:sz="4" w:color="D6DEEA"/>
            </w:tcBorders>
            <w:shd w:fill="F2F4F7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0B132B"/>
                <w:sz w:val="17"/>
              </w:rPr>
              <w:t>Cancelamento</w:t>
            </w:r>
          </w:p>
        </w:tc>
        <w:tc>
          <w:tcPr>
            <w:tcW w:type="dxa" w:w="7200"/>
            <w:vAlign w:val="center"/>
            <w:tcBorders>
              <w:bottom w:val="single" w:sz="4" w:color="D6DEEA"/>
            </w:tcBorders>
            <w:shd w:fill="FFFFFF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color w:val="0B132B"/>
                <w:sz w:val="17"/>
              </w:rPr>
              <w:t>Sem fidelidade ou multa de permanência, salvo condição comercial específica previamente aceita</w:t>
            </w:r>
          </w:p>
        </w:tc>
      </w:tr>
      <w:tr>
        <w:tc>
          <w:tcPr>
            <w:tcW w:type="dxa" w:w="2232"/>
            <w:vAlign w:val="center"/>
            <w:tcBorders>
              <w:bottom w:val="single" w:sz="4" w:color="D6DEEA"/>
            </w:tcBorders>
            <w:shd w:fill="F2F4F7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0B132B"/>
                <w:sz w:val="17"/>
              </w:rPr>
              <w:t>Suporte</w:t>
            </w:r>
          </w:p>
        </w:tc>
        <w:tc>
          <w:tcPr>
            <w:tcW w:type="dxa" w:w="7200"/>
            <w:vAlign w:val="center"/>
            <w:tcBorders>
              <w:bottom w:val="single" w:sz="4" w:color="D6DEEA"/>
            </w:tcBorders>
            <w:shd w:fill="FFFFFF"/>
          </w:tcPr>
          <w:p>
            <w:r>
              <w:rPr>
                <w:color w:val="0B132B"/>
              </w:rPr>
              <w:t>detara.saas@gmail.com</w:t>
            </w:r>
          </w:p>
        </w:tc>
      </w:tr>
    </w:tbl>
    <w:p>
      <w:pPr>
        <w:spacing w:after="40"/>
      </w:pPr>
    </w:p>
    <w:p>
      <w:pPr>
        <w:keepNext/>
        <w:spacing w:before="160" w:after="80" w:line="269" w:lineRule="auto"/>
      </w:pPr>
      <w:r>
        <w:rPr>
          <w:rFonts w:ascii="Arial" w:hAnsi="Arial"/>
          <w:b/>
          <w:color w:val="0B1423"/>
          <w:sz w:val="23"/>
        </w:rPr>
        <w:t>1. Objeto e aceite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1.1. O presente Termo disciplina a contratação e o uso do Detara, plataforma de software destinada à gestão de operações de estética automotiva, incluindo funcionalidades disponibilizadas conforme a versão vigente do produto.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1.2. A contratação poderá ocorrer por aceite eletrônico, confirmação comercial ou outro meio que permita demonstrar a concordância do CONTRATANTE com estas condições e com o quadro-resumo aplicável à contratação.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1.3. O aceite eletrônico poderá ser registrado com informações como empresa, usuário responsável, data e hora, versão do termo e demais evidências técnicas adequadas à comprovação do aceite.</w:t>
      </w:r>
    </w:p>
    <w:p>
      <w:pPr>
        <w:keepNext/>
        <w:spacing w:before="160" w:after="80" w:line="269" w:lineRule="auto"/>
      </w:pPr>
      <w:r>
        <w:rPr>
          <w:rFonts w:ascii="Arial" w:hAnsi="Arial"/>
          <w:b/>
          <w:color w:val="0B1423"/>
          <w:sz w:val="23"/>
        </w:rPr>
        <w:t>2. Período de teste gratuito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2.1. O CONTRATANTE poderá utilizar o Detara gratuitamente por 7 (sete) dias, contados a partir da ativação do ambiente de teste ou de outra data expressamente informada no início da avaliação.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2.2. O período de teste não gera obrigação de permanência. Caso o CONTRATANTE opte por não prosseguir com a assinatura, poderá solicitar o encerramento do acesso ao final do teste.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2.3. Por opção comercial do Detara, poderá existir período adicional de utilização sem cobrança entre o término dos 7 (sete) dias de teste e o primeiro vencimento padrão, sem que isso altere a duração oficial do período de teste.</w:t>
      </w:r>
    </w:p>
    <w:p>
      <w:pPr>
        <w:keepNext/>
        <w:spacing w:before="160" w:after="80" w:line="269" w:lineRule="auto"/>
      </w:pPr>
      <w:r>
        <w:rPr>
          <w:rFonts w:ascii="Arial" w:hAnsi="Arial"/>
          <w:b/>
          <w:color w:val="0B1423"/>
          <w:sz w:val="23"/>
        </w:rPr>
        <w:t>3. Mensalidade, vencimento e cobrança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3.1. O valor mensal será aquele apresentado e aceito no momento da contratação. Na condição comercial atual, a mensalidade de referência é de R$ 120,00 (cento e vinte reais), podendo existir condições comerciais específicas registradas para determinado CONTRATANTE.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3.2. O vencimento padrão das mensalidades ocorrerá no dia 10 de cada mês.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3.3. A primeira mensalidade terá vencimento no primeiro dia 10 que ocorrer após o encerramento integral do período de teste gratuito. Se o teste encerrar no próprio dia 10, o primeiro vencimento poderá ser fixado no dia 10 do mês seguinte.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3.4. As cobranças poderão ser emitidas por plataforma de pagamentos de terceiros, atualmente o Asaas, ficando o CONTRATANTE sujeito também aos meios, prazos de compensação e procedimentos técnicos disponibilizados pelo respectivo provedor.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3.5. O pagamento de uma mensalidade corresponde à continuidade do acesso ao Detara no ciclo de assinatura subsequente, observadas as regras de vencimento, atraso, suspensão e cancelamento previstas neste Termo.</w:t>
      </w:r>
    </w:p>
    <w:p>
      <w:pPr>
        <w:keepNext/>
        <w:spacing w:before="160" w:after="80" w:line="269" w:lineRule="auto"/>
      </w:pPr>
      <w:r>
        <w:rPr>
          <w:rFonts w:ascii="Arial" w:hAnsi="Arial"/>
          <w:b/>
          <w:color w:val="0B1423"/>
          <w:sz w:val="23"/>
        </w:rPr>
        <w:t>4. Atraso, carência operacional e suspensão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4.1. O não pagamento até a data de vencimento caracterizará atraso da mensalidade.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4.2. Enquanto a cobrança possuir menos de 7 (sete) dias corridos de atraso, o Detara poderá manter o acesso operacional ativo como tolerância comercial, sem que isso represente renúncia ao valor devido.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4.3. Ao completar 7 (sete) dias corridos de atraso, o acesso às funcionalidades operacionais do Detara poderá ser temporariamente suspenso até a regularização. Em uma cobrança com vencimento no dia 10, por exemplo, a suspensão poderá ocorrer a partir do dia 17 caso o pagamento ainda não tenha sido identificado.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4.4. A suspensão por inadimplência não implica exclusão imediata dos dados do CONTRATANTE nem cancelamento automático da conta.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4.5. Durante a suspensão, o Detara poderá limitar a navegação a uma tela informativa de pendência, canais de suporte e orientações para regularização, ainda que o pagamento em si seja realizado fora da aplicação, diretamente por meio do provedor de cobrança utilizado.</w:t>
      </w:r>
    </w:p>
    <w:p>
      <w:pPr>
        <w:keepNext/>
        <w:spacing w:before="160" w:after="80" w:line="269" w:lineRule="auto"/>
      </w:pPr>
      <w:r>
        <w:rPr>
          <w:rFonts w:ascii="Arial" w:hAnsi="Arial"/>
          <w:b/>
          <w:color w:val="0B1423"/>
          <w:sz w:val="23"/>
        </w:rPr>
        <w:t>5. Confirmação do pagamento e reativação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5.1. A reativação ocorrerá após a identificação e confirmação do pagamento pelo Detara, seja por informação recebida do provedor de cobrança, seja por validação manual enquanto não houver integração automatizada disponível.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5.2. O envio de comprovante poderá auxiliar a conferência, mas a liberação poderá depender da efetiva confirmação da transação ou de validação administrativa.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5.3. Após a confirmação, o Detara buscará restabelecer o acesso em prazo operacional razoável, sem necessidade de nova contratação, desde que a assinatura não tenha sido cancelada.</w:t>
      </w:r>
    </w:p>
    <w:p>
      <w:pPr>
        <w:keepNext/>
        <w:spacing w:before="160" w:after="80" w:line="269" w:lineRule="auto"/>
      </w:pPr>
      <w:r>
        <w:rPr>
          <w:rFonts w:ascii="Arial" w:hAnsi="Arial"/>
          <w:b/>
          <w:color w:val="0B1423"/>
          <w:sz w:val="23"/>
        </w:rPr>
        <w:t>6. Cancelamento e encerramento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6.1. Salvo condição comercial específica previamente aceita, a assinatura não possui fidelidade nem multa de permanência.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6.2. O cancelamento poderá ser solicitado por meio do canal oficial de atendimento do Detara. Cobranças já vencidas e valores já devidos permanecem exigíveis até sua regularização.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6.3. O cancelamento da assinatura é distinto da suspensão temporária por atraso. O tratamento, retenção e eventual exclusão dos dados após o encerramento observarão a Política de Privacidade do Detara e as obrigações legais aplicáveis.</w:t>
      </w:r>
    </w:p>
    <w:p>
      <w:pPr>
        <w:keepNext/>
        <w:spacing w:before="160" w:after="80" w:line="269" w:lineRule="auto"/>
      </w:pPr>
      <w:r>
        <w:rPr>
          <w:rFonts w:ascii="Arial" w:hAnsi="Arial"/>
          <w:b/>
          <w:color w:val="0B1423"/>
          <w:sz w:val="23"/>
        </w:rPr>
        <w:t>7. Responsabilidades do CONTRATANTE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7.1. O CONTRATANTE é responsável pela veracidade das informações cadastradas, pela gestão dos usuários vinculados à sua empresa e pela proteção de suas credenciais de acesso.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7.2. O CONTRATANTE compromete-se a utilizar o Detara de forma lícita, compatível com sua finalidade e sem tentar comprometer a segurança, a disponibilidade ou a integridade da plataforma ou de terceiros.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7.3. O CONTRATANTE é responsável pelos dados, imagens, documentos, mensagens e demais conteúdos que inserir ou utilizar na plataforma, inclusive quanto à existência de base legal ou autorização quando necessárias.</w:t>
      </w:r>
    </w:p>
    <w:p>
      <w:pPr>
        <w:keepNext/>
        <w:spacing w:before="160" w:after="80" w:line="269" w:lineRule="auto"/>
      </w:pPr>
      <w:r>
        <w:rPr>
          <w:rFonts w:ascii="Arial" w:hAnsi="Arial"/>
          <w:b/>
          <w:color w:val="0B1423"/>
          <w:sz w:val="23"/>
        </w:rPr>
        <w:t>8. Disponibilidade, manutenção e suporte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8.1. O Detara buscará manter o serviço disponível e seguro, podendo realizar manutenções, atualizações e intervenções técnicas necessárias ao funcionamento, à segurança ou à evolução do produto.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8.2. Interrupções decorrentes de serviços de terceiros, infraestrutura de internet, provedores externos, manutenção emergencial ou eventos fora do controle razoável do Detara poderão afetar temporariamente a disponibilidade.</w:t>
      </w:r>
    </w:p>
    <w:p>
      <w:pPr>
        <w:spacing w:before="0" w:after="100" w:line="269" w:lineRule="auto"/>
      </w:pPr>
      <w:r>
        <w:t>8.3. O suporte será prestado pelo canal oficial detara.saas@gmail.com, sem prejuízo de outros canais que venham a ser formalmente divulgados pelo Detara, nos horários e condições operacionais vigentes.</w:t>
      </w:r>
    </w:p>
    <w:p>
      <w:pPr>
        <w:keepNext/>
        <w:spacing w:before="160" w:after="80" w:line="269" w:lineRule="auto"/>
      </w:pPr>
      <w:r>
        <w:rPr>
          <w:rFonts w:ascii="Arial" w:hAnsi="Arial"/>
          <w:b/>
          <w:color w:val="0B1423"/>
          <w:sz w:val="23"/>
        </w:rPr>
        <w:t>9. Dados, privacidade e segurança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9.1. O tratamento de dados pessoais relacionado ao uso do Detara observará a legislação brasileira aplicável e a Política de Privacidade disponibilizada pela plataforma.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9.2. Cada empresa CONTRATANTE permanece responsável pelas obrigações que lhe sejam aplicáveis em relação aos dados pessoais de seus próprios clientes, colaboradores e demais titulares cujas informações sejam inseridas no Detara.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9.3. A suspensão de acesso por atraso não autoriza, por si só, a exclusão imediata dos dados armazenados no ambiente do CONTRATANTE.</w:t>
      </w:r>
    </w:p>
    <w:p>
      <w:pPr>
        <w:keepNext/>
        <w:spacing w:before="160" w:after="80" w:line="269" w:lineRule="auto"/>
      </w:pPr>
      <w:r>
        <w:rPr>
          <w:rFonts w:ascii="Arial" w:hAnsi="Arial"/>
          <w:b/>
          <w:color w:val="0B1423"/>
          <w:sz w:val="23"/>
        </w:rPr>
        <w:t>10. Propriedade intelectual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10.1. O software, identidade visual, marca, código, interfaces, documentação e demais elementos próprios do Detara permanecem de titularidade de seus respectivos proprietários e licenciadores.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10.2. A assinatura concede ao CONTRATANTE apenas o direito de uso da plataforma durante a vigência da contratação, não havendo transferência de propriedade intelectual.</w:t>
      </w:r>
    </w:p>
    <w:p>
      <w:pPr>
        <w:keepNext/>
        <w:spacing w:before="160" w:after="80" w:line="269" w:lineRule="auto"/>
      </w:pPr>
      <w:r>
        <w:rPr>
          <w:rFonts w:ascii="Arial" w:hAnsi="Arial"/>
          <w:b/>
          <w:color w:val="0B1423"/>
          <w:sz w:val="23"/>
        </w:rPr>
        <w:t>11. Alterações comerciais e do termo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11.1. O Detara poderá atualizar este Termo para refletir mudanças legais, técnicas ou comerciais, comunicando alterações relevantes ao CONTRATANTE por meio adequado.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11.2. Eventuais reajustes de preço serão informados previamente e não afetarão valores já pagos, observadas as condições comerciais apresentadas ao CONTRATANTE e a legislação aplicável.</w:t>
      </w:r>
    </w:p>
    <w:p>
      <w:pPr>
        <w:keepNext/>
        <w:spacing w:before="160" w:after="80" w:line="269" w:lineRule="auto"/>
      </w:pPr>
      <w:r>
        <w:rPr>
          <w:rFonts w:ascii="Arial" w:hAnsi="Arial"/>
          <w:b/>
          <w:color w:val="0B1423"/>
          <w:sz w:val="23"/>
        </w:rPr>
        <w:t>12. Comunicações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12.1. Avisos de cobrança, vencimento, atraso, suspensão, manutenção, segurança e outras comunicações relacionadas à assinatura poderão ser enviados por e-mail, WhatsApp, notificações na plataforma ou pelos canais do provedor de pagamento utilizado.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12.2. O CONTRATANTE deve manter seus dados de contato atualizados para receber comunicações relacionadas ao serviço.</w:t>
      </w:r>
    </w:p>
    <w:p>
      <w:pPr>
        <w:keepNext/>
        <w:spacing w:before="160" w:after="80" w:line="269" w:lineRule="auto"/>
      </w:pPr>
      <w:r>
        <w:rPr>
          <w:rFonts w:ascii="Arial" w:hAnsi="Arial"/>
          <w:b/>
          <w:color w:val="0B1423"/>
          <w:sz w:val="23"/>
        </w:rPr>
        <w:t>13. Disposições gerais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13.1. A eventual tolerância do Detara quanto ao descumprimento de alguma obrigação não representará renúncia ao direito de exigir seu cumprimento posteriormente.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13.2. Se alguma disposição deste Termo for considerada inválida ou inexequível, as demais permanecerão em vigor na medida permitida pela legislação aplicável.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13.3. Este Termo será regido pela legislação brasileira. Questões não resolvidas pelos canais de atendimento poderão ser submetidas ao foro legalmente competente, respeitadas as regras obrigatórias de competência aplicáveis ao caso.</w:t>
      </w:r>
    </w:p>
    <w:p>
      <w:pPr>
        <w:spacing w:before="240" w:after="80" w:line="269" w:lineRule="auto"/>
      </w:pPr>
      <w:r>
        <w:rPr>
          <w:rFonts w:ascii="Arial" w:hAnsi="Arial"/>
          <w:b/>
          <w:color w:val="0B1423"/>
          <w:sz w:val="25"/>
        </w:rPr>
        <w:t>Registro de aceite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92"/>
            <w:shd w:fill="EEF3F8"/>
            <w:tcBorders>
              <w:bottom w:val="single" w:sz="4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0B1423"/>
                <w:sz w:val="17"/>
              </w:rPr>
              <w:t>Empresa CONTRATANTE</w:t>
            </w:r>
          </w:p>
        </w:tc>
        <w:tc>
          <w:tcPr>
            <w:tcW w:type="dxa" w:w="6840"/>
            <w:tcBorders>
              <w:bottom w:val="single" w:sz="4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color w:val="172033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2592"/>
            <w:shd w:fill="EEF3F8"/>
            <w:tcBorders>
              <w:bottom w:val="single" w:sz="4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0B1423"/>
                <w:sz w:val="17"/>
              </w:rPr>
              <w:t>Responsável pelo aceite</w:t>
            </w:r>
          </w:p>
        </w:tc>
        <w:tc>
          <w:tcPr>
            <w:tcW w:type="dxa" w:w="6840"/>
            <w:tcBorders>
              <w:bottom w:val="single" w:sz="4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color w:val="172033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2592"/>
            <w:shd w:fill="EEF3F8"/>
            <w:tcBorders>
              <w:bottom w:val="single" w:sz="4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0B1423"/>
                <w:sz w:val="17"/>
              </w:rPr>
              <w:t>E-mail</w:t>
            </w:r>
          </w:p>
        </w:tc>
        <w:tc>
          <w:tcPr>
            <w:tcW w:type="dxa" w:w="6840"/>
            <w:tcBorders>
              <w:bottom w:val="single" w:sz="4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color w:val="172033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2592"/>
            <w:shd w:fill="EEF3F8"/>
            <w:tcBorders>
              <w:bottom w:val="single" w:sz="4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0B1423"/>
                <w:sz w:val="17"/>
              </w:rPr>
              <w:t>Data do aceite</w:t>
            </w:r>
          </w:p>
        </w:tc>
        <w:tc>
          <w:tcPr>
            <w:tcW w:type="dxa" w:w="6840"/>
            <w:tcBorders>
              <w:bottom w:val="single" w:sz="4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color w:val="172033"/>
                <w:sz w:val="17"/>
              </w:rPr>
              <w:t>____ / ____ / ______</w:t>
            </w:r>
          </w:p>
        </w:tc>
      </w:tr>
      <w:tr>
        <w:tc>
          <w:tcPr>
            <w:tcW w:type="dxa" w:w="2592"/>
            <w:shd w:fill="EEF3F8"/>
            <w:tcBorders>
              <w:bottom w:val="single" w:sz="4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0B1423"/>
                <w:sz w:val="17"/>
              </w:rPr>
              <w:t>Versão do termo</w:t>
            </w:r>
          </w:p>
        </w:tc>
        <w:tc>
          <w:tcPr>
            <w:tcW w:type="dxa" w:w="6840"/>
            <w:tcBorders>
              <w:bottom w:val="single" w:sz="4" w:color="CBD5E1"/>
            </w:tcBorders>
          </w:tcPr>
          <w:p>
            <w:r>
              <w:t>v1.0 / versão vigente no momento do aceite</w:t>
            </w:r>
          </w:p>
        </w:tc>
      </w:tr>
    </w:tbl>
    <w:p>
      <w:pPr>
        <w:spacing w:before="200" w:after="0" w:line="269" w:lineRule="auto"/>
      </w:pPr>
      <w:r>
        <w:rPr>
          <w:rFonts w:ascii="Arial" w:hAnsi="Arial"/>
          <w:color w:val="667085"/>
          <w:sz w:val="17"/>
        </w:rPr>
        <w:t>Ao aceitar eletronicamente este Termo, o responsável declara possuir poderes ou autorização para vincular a empresa CONTRATANTE às condições acima.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085"/>
        <w:sz w:val="14"/>
      </w:rPr>
      <w:t>Minuta v0.3 • 16/09/2026 • Revisão jurídica recomendada antes do uso definitivo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67085"/>
        <w:sz w:val="15"/>
      </w:rPr>
      <w:t>DETARA  |  TERMO DE ADESÃO E CONDIÇÕES DE ASSINATURA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Detara — Termo de Adesão e Condições de Assinatura</dc:title>
  <dc:subject>Minuta v0.1 das regras comerciais e operacionais da assinatura Detara</dc:subject>
  <dc:creator>Detara</dc:creator>
  <cp:keywords>Detara, assinatura, SaaS, termos, cobrança, Asaas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