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Darko Etinger, PhD</w:t>
      </w:r>
      <w:r>
        <w:br/>
      </w:r>
      <w:r>
        <w:t xml:space="preserve">Associate Professor and Dean</w:t>
      </w:r>
      <w:r>
        <w:br/>
      </w:r>
      <w:r>
        <w:t xml:space="preserve">Faculty of Informatics, Juraj Dobrila University of Pula</w:t>
      </w:r>
      <w:r>
        <w:br/>
      </w:r>
      <w:r>
        <w:t xml:space="preserve">Zagrebačka 30, 52100 Pula, Croatia</w:t>
      </w:r>
      <w:r>
        <w:br/>
      </w:r>
      <w:r>
        <w:t xml:space="preserve">darko.etinger@unipu.hr</w:t>
      </w:r>
      <w:r>
        <w:br/>
      </w:r>
      <w:r>
        <w:t xml:space="preserve">+385 99 815 93 55</w:t>
      </w:r>
    </w:p>
    <w:p>
      <w:pPr>
        <w:pStyle w:val="BodyText"/>
      </w:pPr>
      <w:r>
        <w:t xml:space="preserve">4 July 2026</w:t>
      </w:r>
    </w:p>
    <w:p>
      <w:pPr>
        <w:pStyle w:val="BodyText"/>
      </w:pPr>
      <w:r>
        <w:t xml:space="preserve">Editorial Board</w:t>
      </w:r>
      <w:r>
        <w:br/>
      </w:r>
      <w:r>
        <w:rPr>
          <w:i/>
          <w:iCs/>
        </w:rPr>
        <w:t xml:space="preserve">Technology in Society</w:t>
      </w:r>
      <w:r>
        <w:br/>
      </w:r>
      <w:r>
        <w:t xml:space="preserve">Elsevier</w:t>
      </w:r>
    </w:p>
    <w:p>
      <w:r>
        <w:pict>
          <v:rect style="width:0;height:1.5pt" o:hralign="center" o:hrstd="t" o:hr="t"/>
        </w:pict>
      </w:r>
    </w:p>
    <w:p>
      <w:pPr>
        <w:pStyle w:val="FirstParagraph"/>
      </w:pPr>
      <w:r>
        <w:t xml:space="preserve">Dear Editor,</w:t>
      </w:r>
    </w:p>
    <w:p>
      <w:pPr>
        <w:pStyle w:val="BodyText"/>
      </w:pPr>
      <w:r>
        <w:t xml:space="preserve">We are pleased to submit our manuscript,</w:t>
      </w:r>
      <w:r>
        <w:t xml:space="preserve"> </w:t>
      </w:r>
      <w:r>
        <w:rPr>
          <w:b/>
          <w:bCs/>
        </w:rPr>
        <w:t xml:space="preserve">“Dark Patterns as a Value-Destroying Strategy: An Agent-Based Network Model of Trust, Social Contagion, and Platform Sustainability”</w:t>
      </w:r>
      <w:r>
        <w:t xml:space="preserve">, for consideration for publication in</w:t>
      </w:r>
      <w:r>
        <w:t xml:space="preserve"> </w:t>
      </w:r>
      <w:r>
        <w:rPr>
          <w:i/>
          <w:iCs/>
        </w:rPr>
        <w:t xml:space="preserve">Technology in Society</w:t>
      </w:r>
      <w:r>
        <w:t xml:space="preserve">.</w:t>
      </w:r>
    </w:p>
    <w:p>
      <w:pPr>
        <w:pStyle w:val="BodyText"/>
      </w:pPr>
      <w:r>
        <w:t xml:space="preserve">Dark patterns — manipulative interface design strategies — have received growing attention as a detection and classification problem, yet their cumulative, systemic effects on trust, platform economics, and social networks over time remain poorly understood. This paper takes a different approach: we treat dark patterns as a systemic dynamics problem and use a stochastic, network-based agent-based model (ABM) to simulate their long-run consequences. The model incorporates heterogeneous user agents (skeptic, naive, activist archetypes), per-pattern exposure–detection–harm pipelines, word-of-mouth social contagion through a small-world network, logistic churn mechanics, and platform-level reputation and economics. Seven scenarios are replicated over 100 random seeds.</w:t>
      </w:r>
    </w:p>
    <w:p>
      <w:pPr>
        <w:pStyle w:val="BodyText"/>
      </w:pPr>
      <w:r>
        <w:t xml:space="preserve">The central finding is that no safe deployment level exists within the modeled regime. Even low-intensity dark patterns (intensity 0.20) trigger trust collapse and extractive divergence tipping points; moderate intensity (0.40) activates all four formal tipping points; and high intensity (0.80) drives 88% cumulative churn and near-total trust destruction. The model also reveals that dark patterns impose contagion externalities on users who are never directly exposed — a finding with direct implications for how regulation should be designed and what platform metrics should be monitored.</w:t>
      </w:r>
    </w:p>
    <w:p>
      <w:pPr>
        <w:pStyle w:val="BodyText"/>
      </w:pPr>
      <w:r>
        <w:t xml:space="preserve">We believe this manuscript fits squarely within</w:t>
      </w:r>
      <w:r>
        <w:t xml:space="preserve"> </w:t>
      </w:r>
      <w:r>
        <w:rPr>
          <w:i/>
          <w:iCs/>
        </w:rPr>
        <w:t xml:space="preserve">Technology in Society</w:t>
      </w:r>
      <w:r>
        <w:t xml:space="preserve">’s focus on the societal consequences of technology. Its specific contributions are: (1) a computational framework for reasoning about the systemic, long-run harms of deceptive design; (2) four operational tipping-point definitions that can serve as candidate regulatory indicators; and (3) a differential vulnerability analysis revealing that the users most harmed are those who stay — trapped by switching costs — not those who exit. The complete model, experiment driver, and all generated data are released as an open replication package, allowing every table and figure to be independently regenerated.</w:t>
      </w:r>
    </w:p>
    <w:p>
      <w:pPr>
        <w:pStyle w:val="BodyText"/>
      </w:pPr>
      <w:r>
        <w:t xml:space="preserve">We confirm that this manuscript has not been published previously and is not under consideration for publication elsewhere. All named authors have approved this submission. The manuscript is submitted under the journal’s double-anonymized review policy; a blinded manuscript and separate title page are enclosed.</w:t>
      </w:r>
    </w:p>
    <w:p>
      <w:pPr>
        <w:pStyle w:val="BodyText"/>
      </w:pPr>
      <w:r>
        <w:t xml:space="preserve">We look forward to your consideration.</w:t>
      </w:r>
    </w:p>
    <w:p>
      <w:pPr>
        <w:pStyle w:val="BodyText"/>
      </w:pPr>
      <w:r>
        <w:t xml:space="preserve">Yours sincerely,</w:t>
      </w:r>
    </w:p>
    <w:p>
      <w:pPr>
        <w:pStyle w:val="BodyText"/>
      </w:pPr>
      <w:r>
        <w:rPr>
          <w:b/>
          <w:bCs/>
        </w:rPr>
        <w:t xml:space="preserve">Darko Etinger</w:t>
      </w:r>
      <w:r>
        <w:br/>
      </w:r>
      <w:r>
        <w:t xml:space="preserve">(Corresponding author, on behalf of all authors)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2026-07-04T10:02:58Z</dcterms:created>
  <dcterms:modified xsi:type="dcterms:W3CDTF">2026-07-04T10:02:58Z</dcterms:modified>
</cp:coreProperties>
</file>

<file path=docProps/custom.xml><?xml version="1.0" encoding="utf-8"?>
<Properties xmlns="http://schemas.openxmlformats.org/officeDocument/2006/custom-properties" xmlns:vt="http://schemas.openxmlformats.org/officeDocument/2006/docPropsVTypes"/>
</file>