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network-based ABM simulates six-year trust erosion from dark patterns.</w:t>
      </w:r>
    </w:p>
    <w:p>
      <w:pPr>
        <w:pStyle w:val="Compact"/>
        <w:numPr>
          <w:ilvl w:val="0"/>
          <w:numId w:val="1001"/>
        </w:numPr>
      </w:pPr>
      <w:r>
        <w:t xml:space="preserve">Four formal tipping points mark qualitative regime shifts in platform health.</w:t>
      </w:r>
    </w:p>
    <w:p>
      <w:pPr>
        <w:pStyle w:val="Compact"/>
        <w:numPr>
          <w:ilvl w:val="0"/>
          <w:numId w:val="1001"/>
        </w:numPr>
      </w:pPr>
      <w:r>
        <w:t xml:space="preserve">Dark patterns collapse trust even at low intensity, while revenue stays near control.</w:t>
      </w:r>
    </w:p>
    <w:p>
      <w:pPr>
        <w:pStyle w:val="Compact"/>
        <w:numPr>
          <w:ilvl w:val="0"/>
          <w:numId w:val="1001"/>
        </w:numPr>
      </w:pPr>
      <w:r>
        <w:t xml:space="preserve">Skeptics and activists churn fast; naive users stay, trapped and harmed.</w:t>
      </w:r>
    </w:p>
    <w:p>
      <w:pPr>
        <w:pStyle w:val="Compact"/>
        <w:numPr>
          <w:ilvl w:val="0"/>
          <w:numId w:val="1001"/>
        </w:numPr>
      </w:pPr>
      <w:r>
        <w:t xml:space="preserve">Dark patterns are a self-defeating, value-destroying platform strategy.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2026-07-04T09:55:36Z</dcterms:created>
  <dcterms:modified xsi:type="dcterms:W3CDTF">2026-07-04T09:55:36Z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