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2"/>
        </w:rPr>
        <w:t>МИНИСТЕРСТВО ОБРАЗОВАНИЯ И НАУКИ САМАРСКОЙ ОБЛАСТИ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b/>
          <w:sz w:val="26"/>
        </w:rPr>
        <w:t>ГБПОУ «Самарский металлургический колледж»</w:t>
      </w:r>
    </w:p>
    <w:p>
      <w:pPr>
        <w:spacing w:before="0" w:after="40"/>
        <w:jc w:val="center"/>
      </w:pPr>
      <w:r>
        <w:rPr>
          <w:rFonts w:ascii="Times New Roman" w:hAnsi="Times New Roman"/>
          <w:sz w:val="24"/>
        </w:rPr>
        <w:t>Отделение информационных технологий</w:t>
      </w:r>
    </w:p>
    <w:p>
      <w:pPr>
        <w:spacing w:before="40" w:after="720"/>
        <w:jc w:val="center"/>
      </w:pPr>
      <w:r>
        <w:rPr>
          <w:rFonts w:ascii="Times New Roman" w:hAnsi="Times New Roman"/>
          <w:sz w:val="24"/>
        </w:rPr>
        <w:t>Специальность: 09.02.07 Информационные системы и программирование</w:t>
      </w:r>
    </w:p>
    <w:p>
      <w:pPr>
        <w:spacing w:before="480" w:after="120"/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>
      <w:pPr>
        <w:spacing w:before="0" w:after="240"/>
        <w:jc w:val="center"/>
      </w:pPr>
      <w:r>
        <w:rPr>
          <w:rFonts w:ascii="Times New Roman" w:hAnsi="Times New Roman"/>
          <w:sz w:val="26"/>
        </w:rPr>
        <w:t>по МДК / дисциплине: «МДК 01.01 Разработка программных модулей»</w:t>
      </w:r>
    </w:p>
    <w:p>
      <w:pPr>
        <w:spacing w:before="240" w:after="720"/>
        <w:jc w:val="center"/>
      </w:pPr>
      <w:r>
        <w:rPr>
          <w:rFonts w:ascii="Times New Roman" w:hAnsi="Times New Roman"/>
          <w:sz w:val="28"/>
        </w:rPr>
        <w:t xml:space="preserve">на тему: </w:t>
      </w:r>
      <w:r>
        <w:rPr>
          <w:rFonts w:ascii="Times New Roman" w:hAnsi="Times New Roman"/>
          <w:b/>
          <w:sz w:val="28"/>
        </w:rPr>
        <w:t>«Разработка модульной подсистемы декларативной компиляции и валидации академической документации»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Выполнил: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студент гр. ИСП-24</w:t>
              <w:br/>
              <w:t>Еткарев Д. О.</w:t>
            </w:r>
          </w:p>
        </w:tc>
      </w:tr>
      <w:tr>
        <w:tc>
          <w:tcPr>
            <w:tcW w:type="dxa" w:w="22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4"/>
              </w:rPr>
              <w:t>Проверил: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преподаватель</w:t>
              <w:br/>
              <w:t>Кузнецов А. В.</w:t>
            </w:r>
          </w:p>
        </w:tc>
      </w:tr>
    </w:tbl>
    <w:p>
      <w:pPr>
        <w:spacing w:before="960" w:after="0"/>
        <w:jc w:val="center"/>
      </w:pPr>
      <w:r>
        <w:rPr>
          <w:rFonts w:ascii="Times New Roman" w:hAnsi="Times New Roman"/>
          <w:sz w:val="24"/>
        </w:rPr>
        <w:t>Самара –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</w:p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 АНАЛИТИЧЕСКИЙ РАЗДЕЛ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3</w:t>
      </w:r>
    </w:p>
    <w:p>
      <w:pPr>
        <w:tabs>
          <w:tab w:pos="9638" w:val="right" w:leader="dot"/>
        </w:tabs>
        <w:spacing w:before="0" w:after="40" w:line="360" w:lineRule="auto"/>
        <w:ind w:left="709"/>
        <w:jc w:val="left"/>
      </w:pPr>
      <w:r>
        <w:rPr>
          <w:rFonts w:ascii="Times New Roman" w:hAnsi="Times New Roman"/>
          <w:sz w:val="28"/>
        </w:rPr>
        <w:t>1.1 Анализ требований нормоконтроля и стандартов ГОСТ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3</w:t>
      </w:r>
    </w:p>
    <w:p>
      <w:pPr>
        <w:tabs>
          <w:tab w:pos="9638" w:val="right" w:leader="dot"/>
        </w:tabs>
        <w:spacing w:before="0" w:after="40" w:line="360" w:lineRule="auto"/>
        <w:ind w:left="709"/>
        <w:jc w:val="left"/>
      </w:pPr>
      <w:r>
        <w:rPr>
          <w:rFonts w:ascii="Times New Roman" w:hAnsi="Times New Roman"/>
          <w:sz w:val="28"/>
        </w:rPr>
        <w:t>1.2 Архитектура и спецификация модулей подсистемы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4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4</w:t>
      </w:r>
    </w:p>
    <w:p>
      <w:r>
        <w:br w:type="page"/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1 АНАЛИТИЧЕСКИЙ РАЗДЕЛ</w:t>
      </w:r>
    </w:p>
    <w:p>
      <w:pPr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1.1 Анализ требований нормоконтроля и стандартов ГОСТ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современных условиях цифровизации образовательного процесса подготовка академических, курсовых и выпускных квалификационных работ требует строгого соблюдения нормоконтроля и стандартов оформления документации [1, с. 45]. Ручное форматирование многостраничных документов в текстовых процессорах сопряжено со значительными временными затратами и высоким риском возникновения технических ошибок.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Анализ действующих стандартов показывает, что ключевыми параметрами верстки являются: размеры полей страницы (левое 30 мм, правое 10 мм, верхнее и нижнее по 20 мм), абзацный отступ первой строки ровно 1,25 см, полуторный межстрочный интервал и выравнивание текста по ширине [2, с. 18].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Особое внимание уделяется предотвращению появления пустых строк между заголовками и текстом, а также запрету отрыва заголовков разделов от последующего текста (висячие строки). Применение правил связывания абзацев в OpenXML гарантирует целостность композиции документа при печати на любых устройствах.</w:t>
      </w:r>
    </w:p>
    <w:p>
      <w:r>
        <w:br w:type="page"/>
      </w:r>
    </w:p>
    <w:p>
      <w:pPr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1.2 Архитектура и спецификация модулей подсистемы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обеспечения расширяемости комплекс разделен на независимые функциональные блоки. Взаимодействие осуществляется через декларативные профили в формате YAML.</w:t>
      </w:r>
    </w:p>
    <w:p>
      <w:pPr>
        <w:spacing w:before="120" w:after="40" w:line="276" w:lineRule="auto"/>
        <w:ind w:firstLine="709"/>
        <w:jc w:val="left"/>
      </w:pPr>
      <w:r>
        <w:rPr>
          <w:rFonts w:ascii="Times New Roman" w:hAnsi="Times New Roman"/>
          <w:sz w:val="24"/>
        </w:rPr>
        <w:t>Таблица 1 — Спецификация подсистем компилятора Doc-Forge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Стек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Inspector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Реверс-инжиниринг параметров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Python, OpenXML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Compiler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Декларативная сборка docx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python-docx, AST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Title Engine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Координатная сетка титула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OxmlElement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Преимущества предложенного решения: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полная изоляция генерации семантического контента от правил типографики;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автоматическая нормализация интервалов и удаление паразитных пробелов;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аппаратная защита титульного листа от смещения координатной сетки.</w:t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ГОСТ 7.32-2017. Отчет о НИР. Структура и правила оформления. – М. : Стандартинформ, 2018. – 28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Еткарев, Д. О. Архитектурные подходы к автоматизации верстки. – Самара : СаМеК, 2026. – 112 с.</w:t>
      </w:r>
    </w:p>
    <w:sectPr w:rsidR="00FC693F" w:rsidRPr="0006063C" w:rsidSect="00034616">
      <w:head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4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