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76" w:lineRule="auto"/>
        <w:jc w:val="center"/>
      </w:pPr>
      <w:r>
        <w:rPr>
          <w:rFonts w:ascii="Times New Roman" w:hAnsi="Times New Roman"/>
          <w:b/>
          <w:sz w:val="22"/>
        </w:rPr>
        <w:t>МИНИСТЕРСТВО ОБРАЗОВАНИЯ И НАУКИ САМАРСКОЙ ОБЛАСТИ</w:t>
      </w:r>
    </w:p>
    <w:p>
      <w:pPr>
        <w:spacing w:before="40" w:after="80" w:line="276" w:lineRule="auto"/>
        <w:jc w:val="center"/>
      </w:pPr>
      <w:r>
        <w:rPr>
          <w:rFonts w:ascii="Times New Roman" w:hAnsi="Times New Roman"/>
          <w:b/>
          <w:sz w:val="26"/>
        </w:rPr>
        <w:t>ГБПОУ «Самарский металлургический колледж»</w:t>
      </w:r>
    </w:p>
    <w:p>
      <w:pPr>
        <w:spacing w:before="0" w:after="40"/>
        <w:jc w:val="center"/>
      </w:pPr>
      <w:r>
        <w:rPr>
          <w:rFonts w:ascii="Times New Roman" w:hAnsi="Times New Roman"/>
          <w:sz w:val="24"/>
        </w:rPr>
        <w:t>Отделение информационных технологий</w:t>
      </w:r>
    </w:p>
    <w:p>
      <w:pPr>
        <w:spacing w:before="40" w:after="720"/>
        <w:jc w:val="center"/>
      </w:pPr>
      <w:r>
        <w:rPr>
          <w:rFonts w:ascii="Times New Roman" w:hAnsi="Times New Roman"/>
          <w:sz w:val="24"/>
        </w:rPr>
        <w:t>Специальность: 09.02.07 Информационные системы и программирование</w:t>
      </w:r>
    </w:p>
    <w:p>
      <w:pPr>
        <w:spacing w:before="480" w:after="120"/>
        <w:jc w:val="center"/>
      </w:pPr>
      <w:r>
        <w:rPr>
          <w:rFonts w:ascii="Times New Roman" w:hAnsi="Times New Roman"/>
          <w:b/>
          <w:sz w:val="32"/>
        </w:rPr>
        <w:t>КУРСОВОЙ ПРОЕКТ</w:t>
      </w:r>
    </w:p>
    <w:p>
      <w:pPr>
        <w:spacing w:before="0" w:after="240"/>
        <w:jc w:val="center"/>
      </w:pPr>
      <w:r>
        <w:rPr>
          <w:rFonts w:ascii="Times New Roman" w:hAnsi="Times New Roman"/>
          <w:sz w:val="26"/>
        </w:rPr>
        <w:t>по МДК / дисциплине: «МДК 01.01 Разработка программных модулей»</w:t>
      </w:r>
    </w:p>
    <w:p>
      <w:pPr>
        <w:spacing w:before="240" w:after="720"/>
        <w:jc w:val="center"/>
      </w:pPr>
      <w:r>
        <w:rPr>
          <w:rFonts w:ascii="Times New Roman" w:hAnsi="Times New Roman"/>
          <w:sz w:val="28"/>
        </w:rPr>
        <w:t xml:space="preserve">на тему: </w:t>
      </w:r>
      <w:r>
        <w:rPr>
          <w:rFonts w:ascii="Times New Roman" w:hAnsi="Times New Roman"/>
          <w:b/>
          <w:sz w:val="28"/>
        </w:rPr>
        <w:t>«Разработка модульной подсистемы декларативной генерации и верификации академической документации»</w:t>
      </w:r>
    </w:p>
    <w:tbl>
      <w:tblPr>
        <w:tblW w:type="auto" w:w="0"/>
        <w:jc w:val="right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268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4"/>
              </w:rPr>
              <w:t>Выполнил:</w:t>
            </w:r>
          </w:p>
        </w:tc>
        <w:tc>
          <w:tcPr>
            <w:tcW w:type="dxa" w:w="4535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24"/>
              </w:rPr>
              <w:t>студент гр. ИСП-24</w:t>
              <w:br/>
              <w:t>Еткарев Д. О.</w:t>
            </w:r>
          </w:p>
        </w:tc>
      </w:tr>
      <w:tr>
        <w:tc>
          <w:tcPr>
            <w:tcW w:type="dxa" w:w="2268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160"/>
              <w:jc w:val="left"/>
            </w:pPr>
            <w:r>
              <w:rPr>
                <w:rFonts w:ascii="Times New Roman" w:hAnsi="Times New Roman"/>
                <w:sz w:val="24"/>
              </w:rPr>
              <w:t>Проверил:</w:t>
            </w:r>
          </w:p>
        </w:tc>
        <w:tc>
          <w:tcPr>
            <w:tcW w:type="dxa" w:w="4535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16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преподаватель высшей категории</w:t>
              <w:br/>
              <w:t>Смирнов А. В.</w:t>
            </w:r>
          </w:p>
        </w:tc>
      </w:tr>
    </w:tbl>
    <w:p>
      <w:pPr>
        <w:spacing w:before="960" w:after="0"/>
        <w:jc w:val="center"/>
      </w:pPr>
      <w:r>
        <w:rPr>
          <w:rFonts w:ascii="Times New Roman" w:hAnsi="Times New Roman"/>
          <w:sz w:val="24"/>
        </w:rPr>
        <w:t>Самара – 2026</w:t>
      </w:r>
    </w:p>
    <w:p>
      <w:pPr>
        <w:sectPr>
          <w:headerReference w:type="default" r:id="rId9"/>
          <w:footerReference w:type="default" r:id="rId10"/>
          <w:pgSz w:w="11906" w:h="16838"/>
          <w:pgMar w:top="1134" w:right="567" w:bottom="1134" w:left="1701" w:header="720" w:footer="720" w:gutter="0"/>
          <w:cols w:space="720"/>
          <w:titlePg/>
          <w:docGrid w:linePitch="360"/>
        </w:sectPr>
      </w:pPr>
    </w:p>
    <w:p>
      <w:pPr>
        <w:spacing w:before="0" w:after="240" w:line="360" w:lineRule="auto"/>
        <w:jc w:val="center"/>
      </w:pPr>
      <w:r>
        <w:rPr>
          <w:rFonts w:ascii="Times New Roman" w:hAnsi="Times New Roman"/>
          <w:b/>
          <w:sz w:val="28"/>
        </w:rPr>
        <w:t>СОДЕРЖАНИЕ</w:t>
      </w:r>
    </w:p>
    <w:p>
      <w:pPr>
        <w:tabs>
          <w:tab w:pos="9638" w:val="right" w:leader="dot"/>
        </w:tabs>
        <w:spacing w:before="0" w:after="40" w:line="360" w:lineRule="auto"/>
        <w:jc w:val="left"/>
      </w:pPr>
      <w:r>
        <w:rPr>
          <w:rFonts w:ascii="Times New Roman" w:hAnsi="Times New Roman"/>
          <w:b/>
          <w:sz w:val="28"/>
        </w:rPr>
        <w:t>ВВЕДЕНИЕ</w:t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b/>
          <w:sz w:val="28"/>
        </w:rPr>
        <w:t>3</w:t>
      </w:r>
    </w:p>
    <w:p>
      <w:pPr>
        <w:tabs>
          <w:tab w:pos="9638" w:val="right" w:leader="dot"/>
        </w:tabs>
        <w:spacing w:before="0" w:after="40" w:line="360" w:lineRule="auto"/>
        <w:jc w:val="left"/>
      </w:pPr>
      <w:r>
        <w:rPr>
          <w:rFonts w:ascii="Times New Roman" w:hAnsi="Times New Roman"/>
          <w:b/>
          <w:sz w:val="28"/>
        </w:rPr>
        <w:t>1 АНАЛИТИЧЕСКИЙ РАЗДЕЛ</w:t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b/>
          <w:sz w:val="28"/>
        </w:rPr>
        <w:t>3</w:t>
      </w:r>
    </w:p>
    <w:p>
      <w:pPr>
        <w:tabs>
          <w:tab w:pos="9638" w:val="right" w:leader="dot"/>
        </w:tabs>
        <w:spacing w:before="0" w:after="40" w:line="360" w:lineRule="auto"/>
        <w:ind w:left="709"/>
        <w:jc w:val="left"/>
      </w:pPr>
      <w:r>
        <w:rPr>
          <w:rFonts w:ascii="Times New Roman" w:hAnsi="Times New Roman"/>
          <w:sz w:val="28"/>
        </w:rPr>
        <w:t>1.1 Анализ требований нормоконтроля к оформлению академических работ</w:t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z w:val="28"/>
        </w:rPr>
        <w:t>3</w:t>
      </w:r>
    </w:p>
    <w:p>
      <w:pPr>
        <w:tabs>
          <w:tab w:pos="9638" w:val="right" w:leader="dot"/>
        </w:tabs>
        <w:spacing w:before="0" w:after="40" w:line="360" w:lineRule="auto"/>
        <w:ind w:left="709"/>
        <w:jc w:val="left"/>
      </w:pPr>
      <w:r>
        <w:rPr>
          <w:rFonts w:ascii="Times New Roman" w:hAnsi="Times New Roman"/>
          <w:sz w:val="28"/>
        </w:rPr>
        <w:t>1.2 Архитектура и спецификация модулей компилятора</w:t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z w:val="28"/>
        </w:rPr>
        <w:t>4</w:t>
      </w:r>
    </w:p>
    <w:p>
      <w:pPr>
        <w:tabs>
          <w:tab w:pos="9638" w:val="right" w:leader="dot"/>
        </w:tabs>
        <w:spacing w:before="0" w:after="40" w:line="360" w:lineRule="auto"/>
        <w:jc w:val="left"/>
      </w:pPr>
      <w:r>
        <w:rPr>
          <w:rFonts w:ascii="Times New Roman" w:hAnsi="Times New Roman"/>
          <w:b/>
          <w:sz w:val="28"/>
        </w:rPr>
        <w:t>ЗАКЛЮЧЕНИЕ</w:t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b/>
          <w:sz w:val="28"/>
        </w:rPr>
        <w:t>4</w:t>
      </w:r>
    </w:p>
    <w:p>
      <w:pPr>
        <w:tabs>
          <w:tab w:pos="9638" w:val="right" w:leader="dot"/>
        </w:tabs>
        <w:spacing w:before="0" w:after="40" w:line="360" w:lineRule="auto"/>
        <w:jc w:val="left"/>
      </w:pPr>
      <w:r>
        <w:rPr>
          <w:rFonts w:ascii="Times New Roman" w:hAnsi="Times New Roman"/>
          <w:b/>
          <w:sz w:val="28"/>
        </w:rPr>
        <w:t>СПИСОК ИСПОЛЬЗОВАННЫХ ИСТОЧНИКОВ</w:t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b/>
          <w:sz w:val="28"/>
        </w:rPr>
        <w:t>4</w:t>
      </w:r>
    </w:p>
    <w:p>
      <w:r>
        <w:br w:type="page"/>
      </w:r>
    </w:p>
    <w:p>
      <w:pPr>
        <w:keepNext/>
        <w:widowControl/>
        <w:spacing w:line="360" w:lineRule="auto" w:before="240" w:after="240"/>
        <w:ind w:firstLine="0"/>
        <w:jc w:val="center"/>
      </w:pPr>
      <w:r>
        <w:rPr>
          <w:rFonts w:ascii="Times New Roman" w:hAnsi="Times New Roman"/>
          <w:b/>
          <w:sz w:val="28"/>
        </w:rPr>
        <w:t>ВВЕДЕНИЕ</w:t>
      </w:r>
    </w:p>
    <w:p>
      <w:pPr>
        <w:widowControl/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8"/>
        </w:rPr>
        <w:t>Актуальность темы курсового проекта обусловлена необходимостью автоматизации рутинных процессов оформления выпускных квалификационных, дипломных и курсовых работ в строгом соответствии с требованиями национальных стандартов ГОСТ 7.32-2017 и локальных стандартов организаций. В современных условиях применение генеративных языковых моделей для подготовки текстового контента сопряжено с систематическими нарушениями типографики: возникновением неконтролируемых пустых параграфов, разрушением сеток титульных листов и отрывом заголовков разделов от последующего текста.</w:t>
      </w:r>
    </w:p>
    <w:p>
      <w:pPr>
        <w:widowControl/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8"/>
        </w:rPr>
        <w:t xml:space="preserve">Целью настоящей работы является проектирование и программная реализация специализированного декларативного компилятора </w:t>
      </w:r>
      <w:r>
        <w:rPr>
          <w:rFonts w:ascii="Times New Roman" w:hAnsi="Times New Roman"/>
          <w:b/>
          <w:sz w:val="28"/>
        </w:rPr>
        <w:t>Doc-Forge</w:t>
      </w:r>
      <w:r>
        <w:rPr>
          <w:rFonts w:ascii="Times New Roman" w:hAnsi="Times New Roman"/>
          <w:sz w:val="28"/>
        </w:rPr>
        <w:t>, обеспечивающего детерминированную трансляцию структурированного текста формата Markdown в документы Microsoft Word (.docx) с гарантированным прохождением нормоконтроля.</w:t>
      </w:r>
    </w:p>
    <w:p>
      <w:pPr>
        <w:widowControl/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8"/>
        </w:rPr>
        <w:t>Для достижения поставленной цели необходимо решить следующие задачи: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8"/>
        </w:rPr>
        <w:t xml:space="preserve">– </w:t>
      </w:r>
      <w:r>
        <w:rPr>
          <w:rFonts w:ascii="Times New Roman" w:hAnsi="Times New Roman"/>
          <w:sz w:val="28"/>
        </w:rPr>
        <w:t>исследовать структуру внутреннего формата OpenXML и алгоритмы реверс-инжиниринга стилевых параметров;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8"/>
        </w:rPr>
        <w:t xml:space="preserve">– </w:t>
      </w:r>
      <w:r>
        <w:rPr>
          <w:rFonts w:ascii="Times New Roman" w:hAnsi="Times New Roman"/>
          <w:sz w:val="28"/>
        </w:rPr>
        <w:t>разработать строгие схемы валидации профилей оформления на основе библиотеки Pydantic;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8"/>
        </w:rPr>
        <w:t xml:space="preserve">– </w:t>
      </w:r>
      <w:r>
        <w:rPr>
          <w:rFonts w:ascii="Times New Roman" w:hAnsi="Times New Roman"/>
          <w:sz w:val="28"/>
        </w:rPr>
        <w:t>реализовать подсистему генерации титульных листов с защитой от смещения блоков реквизитов;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8"/>
        </w:rPr>
        <w:t xml:space="preserve">– </w:t>
      </w:r>
      <w:r>
        <w:rPr>
          <w:rFonts w:ascii="Times New Roman" w:hAnsi="Times New Roman"/>
          <w:sz w:val="28"/>
        </w:rPr>
        <w:t>разработать модуль построения оглавления с нативной табуляцией и отточиями по правому краю;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8"/>
        </w:rPr>
        <w:t xml:space="preserve">– </w:t>
      </w:r>
      <w:r>
        <w:rPr>
          <w:rFonts w:ascii="Times New Roman" w:hAnsi="Times New Roman"/>
          <w:sz w:val="28"/>
        </w:rPr>
        <w:t>провести комплексное тестирование сгенерированного документа на соответствие стандарту СТО СаМеК 2026.</w:t>
      </w:r>
    </w:p>
    <w:p>
      <w:pPr>
        <w:keepNext/>
        <w:widowControl/>
        <w:spacing w:line="360" w:lineRule="auto" w:before="240" w:after="240"/>
        <w:ind w:firstLine="0"/>
        <w:jc w:val="center"/>
      </w:pPr>
      <w:r>
        <w:rPr>
          <w:rFonts w:ascii="Times New Roman" w:hAnsi="Times New Roman"/>
          <w:b/>
          <w:sz w:val="28"/>
        </w:rPr>
        <w:t>1 АНАЛИТИЧЕСКИЙ РАЗДЕЛ</w:t>
      </w:r>
    </w:p>
    <w:p>
      <w:pPr>
        <w:keepNext/>
        <w:widowControl/>
        <w:spacing w:line="360" w:lineRule="auto" w:before="240" w:after="120"/>
        <w:ind w:firstLine="709"/>
        <w:jc w:val="left"/>
      </w:pPr>
      <w:r>
        <w:rPr>
          <w:rFonts w:ascii="Times New Roman" w:hAnsi="Times New Roman"/>
          <w:b/>
          <w:sz w:val="28"/>
        </w:rPr>
        <w:t>1.1 Анализ требований нормоконтроля к оформлению академических работ</w:t>
      </w:r>
    </w:p>
    <w:p>
      <w:pPr>
        <w:widowControl/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8"/>
        </w:rPr>
        <w:t>Нормоконтроль курсовых и дипломных проектов представляет собой обязательную стадию экспертной оценки графической и текстовой документации на соответствие установленным правилам оформления [1, с. 14]. Основными нормативными документами в ГБПОУ СаМеК выступают ГОСТ 7.32-2017, ГОСТ 2.105-2019 и локальное положение СТО СаМеК 01-2026.</w:t>
      </w:r>
    </w:p>
    <w:p>
      <w:pPr>
        <w:widowControl/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8"/>
        </w:rPr>
        <w:t>Ключевые типографические требования к основному тексту включают: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8"/>
        </w:rPr>
        <w:t xml:space="preserve">– </w:t>
      </w:r>
      <w:r>
        <w:rPr>
          <w:rFonts w:ascii="Times New Roman" w:hAnsi="Times New Roman"/>
          <w:sz w:val="28"/>
        </w:rPr>
        <w:t xml:space="preserve">гарнитура шрифта: </w:t>
      </w:r>
      <w:r>
        <w:rPr>
          <w:rFonts w:ascii="Times New Roman" w:hAnsi="Times New Roman"/>
          <w:i/>
          <w:sz w:val="28"/>
        </w:rPr>
        <w:t>Times New Roman</w:t>
      </w:r>
      <w:r>
        <w:rPr>
          <w:rFonts w:ascii="Times New Roman" w:hAnsi="Times New Roman"/>
          <w:sz w:val="28"/>
        </w:rPr>
        <w:t xml:space="preserve">, кегль </w:t>
      </w:r>
      <w:r>
        <w:rPr>
          <w:rFonts w:ascii="Times New Roman" w:hAnsi="Times New Roman"/>
          <w:b/>
          <w:sz w:val="28"/>
        </w:rPr>
        <w:t>14 pt</w:t>
      </w:r>
      <w:r>
        <w:rPr>
          <w:rFonts w:ascii="Times New Roman" w:hAnsi="Times New Roman"/>
          <w:sz w:val="28"/>
        </w:rPr>
        <w:t>;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8"/>
        </w:rPr>
        <w:t xml:space="preserve">– </w:t>
      </w:r>
      <w:r>
        <w:rPr>
          <w:rFonts w:ascii="Times New Roman" w:hAnsi="Times New Roman"/>
          <w:sz w:val="28"/>
        </w:rPr>
        <w:t xml:space="preserve">межстрочный интервал: строго </w:t>
      </w:r>
      <w:r>
        <w:rPr>
          <w:rFonts w:ascii="Times New Roman" w:hAnsi="Times New Roman"/>
          <w:b/>
          <w:sz w:val="28"/>
        </w:rPr>
        <w:t>1.5 строки</w:t>
      </w:r>
      <w:r>
        <w:rPr>
          <w:rFonts w:ascii="Times New Roman" w:hAnsi="Times New Roman"/>
          <w:sz w:val="28"/>
        </w:rPr>
        <w:t>;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8"/>
        </w:rPr>
        <w:t xml:space="preserve">– </w:t>
      </w:r>
      <w:r>
        <w:rPr>
          <w:rFonts w:ascii="Times New Roman" w:hAnsi="Times New Roman"/>
          <w:sz w:val="28"/>
        </w:rPr>
        <w:t xml:space="preserve">абзацный отступ (красная строка): </w:t>
      </w:r>
      <w:r>
        <w:rPr>
          <w:rFonts w:ascii="Times New Roman" w:hAnsi="Times New Roman"/>
          <w:b/>
          <w:sz w:val="28"/>
        </w:rPr>
        <w:t>1.25 см</w:t>
      </w:r>
      <w:r>
        <w:rPr>
          <w:rFonts w:ascii="Times New Roman" w:hAnsi="Times New Roman"/>
          <w:sz w:val="28"/>
        </w:rPr>
        <w:t xml:space="preserve"> (0.49 дюйма);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8"/>
        </w:rPr>
        <w:t xml:space="preserve">– </w:t>
      </w:r>
      <w:r>
        <w:rPr>
          <w:rFonts w:ascii="Times New Roman" w:hAnsi="Times New Roman"/>
          <w:sz w:val="28"/>
        </w:rPr>
        <w:t xml:space="preserve">выравнивание основного текста: </w:t>
      </w:r>
      <w:r>
        <w:rPr>
          <w:rFonts w:ascii="Times New Roman" w:hAnsi="Times New Roman"/>
          <w:b/>
          <w:sz w:val="28"/>
        </w:rPr>
        <w:t>по ширине страницы (Justify)</w:t>
      </w:r>
      <w:r>
        <w:rPr>
          <w:rFonts w:ascii="Times New Roman" w:hAnsi="Times New Roman"/>
          <w:sz w:val="28"/>
        </w:rPr>
        <w:t>;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8"/>
        </w:rPr>
        <w:t xml:space="preserve">– </w:t>
      </w:r>
      <w:r>
        <w:rPr>
          <w:rFonts w:ascii="Times New Roman" w:hAnsi="Times New Roman"/>
          <w:sz w:val="28"/>
        </w:rPr>
        <w:t>геометрические поля листа формата А4: левое — 30 мм (подшивной переплет), правое — 10 мм, верхнее — 20 мм, нижнее — 20 мм;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8"/>
        </w:rPr>
        <w:t xml:space="preserve">– </w:t>
      </w:r>
      <w:r>
        <w:rPr>
          <w:rFonts w:ascii="Times New Roman" w:hAnsi="Times New Roman"/>
          <w:sz w:val="28"/>
        </w:rPr>
        <w:t>запрет на разделение абзацев пустыми строками: интервалы до и после должны быть строго равны 0 pt.</w:t>
      </w:r>
    </w:p>
    <w:p>
      <w:r>
        <w:br w:type="page"/>
      </w:r>
    </w:p>
    <w:p>
      <w:pPr>
        <w:keepNext/>
        <w:widowControl/>
        <w:spacing w:line="360" w:lineRule="auto" w:before="240" w:after="120"/>
        <w:ind w:firstLine="709"/>
        <w:jc w:val="left"/>
      </w:pPr>
      <w:r>
        <w:rPr>
          <w:rFonts w:ascii="Times New Roman" w:hAnsi="Times New Roman"/>
          <w:b/>
          <w:sz w:val="28"/>
        </w:rPr>
        <w:t>1.2 Архитектура и спецификация модулей компилятора</w:t>
      </w:r>
    </w:p>
    <w:p>
      <w:pPr>
        <w:widowControl/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8"/>
        </w:rPr>
        <w:t xml:space="preserve">Архитектурный комплекс </w:t>
      </w:r>
      <w:r>
        <w:rPr>
          <w:rFonts w:ascii="Times New Roman" w:hAnsi="Times New Roman"/>
          <w:b/>
          <w:sz w:val="28"/>
        </w:rPr>
        <w:t>Doc-Forge</w:t>
      </w:r>
      <w:r>
        <w:rPr>
          <w:rFonts w:ascii="Times New Roman" w:hAnsi="Times New Roman"/>
          <w:sz w:val="28"/>
        </w:rPr>
        <w:t xml:space="preserve"> построен по модульному принципу и разделен на логические уровни валидации, парсинга, формирования OpenXML-дерева и пользовательского интерфейса командной строки.</w:t>
      </w:r>
    </w:p>
    <w:p>
      <w:pPr>
        <w:spacing w:before="120" w:after="40" w:line="276" w:lineRule="auto"/>
        <w:ind w:firstLine="709"/>
        <w:jc w:val="left"/>
      </w:pPr>
      <w:r>
        <w:rPr>
          <w:rFonts w:ascii="Times New Roman" w:hAnsi="Times New Roman"/>
          <w:sz w:val="24"/>
        </w:rPr>
        <w:t>Таблица 1 — Спецификация подсистем декларативного компилятора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  <w:cantSplit/>
          <w:cantSplit/>
        </w:trPr>
        <w:tc>
          <w:tcPr>
            <w:tcW w:type="dxa" w:w="32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Модуль</w:t>
            </w:r>
          </w:p>
        </w:tc>
        <w:tc>
          <w:tcPr>
            <w:tcW w:type="dxa" w:w="32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Назначение подсистемы</w:t>
            </w:r>
          </w:p>
        </w:tc>
        <w:tc>
          <w:tcPr>
            <w:tcW w:type="dxa" w:w="32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Технологический стек</w:t>
            </w:r>
          </w:p>
        </w:tc>
      </w:tr>
      <w:tr>
        <w:trPr>
          <w:cantSplit/>
        </w:trPr>
        <w:tc>
          <w:tcPr>
            <w:tcW w:type="dxa" w:w="32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`schema.py`</w:t>
            </w:r>
          </w:p>
        </w:tc>
        <w:tc>
          <w:tcPr>
            <w:tcW w:type="dxa" w:w="32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Декларативная валидация профилей ГОСТ</w:t>
            </w:r>
          </w:p>
        </w:tc>
        <w:tc>
          <w:tcPr>
            <w:tcW w:type="dxa" w:w="32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Pydantic v2, typing</w:t>
            </w:r>
          </w:p>
        </w:tc>
      </w:tr>
      <w:tr>
        <w:trPr>
          <w:cantSplit/>
        </w:trPr>
        <w:tc>
          <w:tcPr>
            <w:tcW w:type="dxa" w:w="32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`title_engine.py`</w:t>
            </w:r>
          </w:p>
        </w:tc>
        <w:tc>
          <w:tcPr>
            <w:tcW w:type="dxa" w:w="32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Генерация титульного листа без нумерации</w:t>
            </w:r>
          </w:p>
        </w:tc>
        <w:tc>
          <w:tcPr>
            <w:tcW w:type="dxa" w:w="32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python-docx, OpenXML DOM</w:t>
            </w:r>
          </w:p>
        </w:tc>
      </w:tr>
      <w:tr>
        <w:trPr>
          <w:cantSplit/>
        </w:trPr>
        <w:tc>
          <w:tcPr>
            <w:tcW w:type="dxa" w:w="32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`toc_engine.py`</w:t>
            </w:r>
          </w:p>
        </w:tc>
        <w:tc>
          <w:tcPr>
            <w:tcW w:type="dxa" w:w="32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Формирование оглавления с отточиями</w:t>
            </w:r>
          </w:p>
        </w:tc>
        <w:tc>
          <w:tcPr>
            <w:tcW w:type="dxa" w:w="32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OpenXML TabStops, Leader Dots</w:t>
            </w:r>
          </w:p>
        </w:tc>
      </w:tr>
      <w:tr>
        <w:trPr>
          <w:cantSplit/>
        </w:trPr>
        <w:tc>
          <w:tcPr>
            <w:tcW w:type="dxa" w:w="32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`compiler.py`</w:t>
            </w:r>
          </w:p>
        </w:tc>
        <w:tc>
          <w:tcPr>
            <w:tcW w:type="dxa" w:w="32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AST-трансляция Markdown в DOCX</w:t>
            </w:r>
          </w:p>
        </w:tc>
        <w:tc>
          <w:tcPr>
            <w:tcW w:type="dxa" w:w="32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AST-парсер, OpenXML</w:t>
            </w:r>
          </w:p>
        </w:tc>
      </w:tr>
      <w:tr>
        <w:trPr>
          <w:cantSplit/>
        </w:trPr>
        <w:tc>
          <w:tcPr>
            <w:tcW w:type="dxa" w:w="32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`inspector.py`</w:t>
            </w:r>
          </w:p>
        </w:tc>
        <w:tc>
          <w:tcPr>
            <w:tcW w:type="dxa" w:w="32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Реверс-инжиниринг параметров DOCX</w:t>
            </w:r>
          </w:p>
        </w:tc>
        <w:tc>
          <w:tcPr>
            <w:tcW w:type="dxa" w:w="32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lxml, styles.xml parser</w:t>
            </w:r>
          </w:p>
        </w:tc>
      </w:tr>
      <w:tr>
        <w:trPr>
          <w:cantSplit/>
        </w:trPr>
        <w:tc>
          <w:tcPr>
            <w:tcW w:type="dxa" w:w="32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`cli.py`</w:t>
            </w:r>
          </w:p>
        </w:tc>
        <w:tc>
          <w:tcPr>
            <w:tcW w:type="dxa" w:w="32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Консольный интерфейс управления</w:t>
            </w:r>
          </w:p>
        </w:tc>
        <w:tc>
          <w:tcPr>
            <w:tcW w:type="dxa" w:w="32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Typer, Rich</w:t>
            </w:r>
          </w:p>
        </w:tc>
      </w:tr>
    </w:tbl>
    <w:p>
      <w:pPr>
        <w:spacing w:before="0" w:after="120" w:line="240" w:lineRule="auto"/>
        <w:ind w:firstLine="0"/>
      </w:pPr>
    </w:p>
    <w:p>
      <w:pPr>
        <w:widowControl/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8"/>
        </w:rPr>
        <w:t>В рамках реализации подсистемы вывода списков соблюдаются требования ГОСТ 7.32 к маркированным перечислениям: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8"/>
        </w:rPr>
        <w:t xml:space="preserve">– </w:t>
      </w:r>
      <w:r>
        <w:rPr>
          <w:rFonts w:ascii="Times New Roman" w:hAnsi="Times New Roman"/>
          <w:sz w:val="28"/>
        </w:rPr>
        <w:t>– использование дефиса в качестве маркера перечисления первого уровня;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8"/>
        </w:rPr>
        <w:t xml:space="preserve">– </w:t>
      </w:r>
      <w:r>
        <w:rPr>
          <w:rFonts w:ascii="Times New Roman" w:hAnsi="Times New Roman"/>
          <w:sz w:val="28"/>
        </w:rPr>
        <w:t>– отступ первой строки маркера 1.25 см с выключкой по ширине;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8"/>
        </w:rPr>
        <w:t xml:space="preserve">– </w:t>
      </w:r>
      <w:r>
        <w:rPr>
          <w:rFonts w:ascii="Times New Roman" w:hAnsi="Times New Roman"/>
          <w:sz w:val="28"/>
        </w:rPr>
        <w:t>– точка с запятой в конце каждого промежуточного элемента перечисления;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8"/>
        </w:rPr>
        <w:t xml:space="preserve">– </w:t>
      </w:r>
      <w:r>
        <w:rPr>
          <w:rFonts w:ascii="Times New Roman" w:hAnsi="Times New Roman"/>
          <w:sz w:val="28"/>
        </w:rPr>
        <w:t>– точка в конце завершающего элемента перечисления.</w:t>
      </w:r>
    </w:p>
    <w:p>
      <w:pPr>
        <w:keepNext/>
        <w:widowControl/>
        <w:spacing w:line="360" w:lineRule="auto" w:before="240" w:after="240"/>
        <w:ind w:firstLine="0"/>
        <w:jc w:val="center"/>
      </w:pPr>
      <w:r>
        <w:rPr>
          <w:rFonts w:ascii="Times New Roman" w:hAnsi="Times New Roman"/>
          <w:b/>
          <w:sz w:val="28"/>
        </w:rPr>
        <w:t>ЗАКЛЮЧЕНИЕ</w:t>
      </w:r>
    </w:p>
    <w:p>
      <w:pPr>
        <w:widowControl/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8"/>
        </w:rPr>
        <w:t xml:space="preserve">В ходе выполнения курсового проекта разработана и апробирована модульная система автоматизированной верстки документов </w:t>
      </w:r>
      <w:r>
        <w:rPr>
          <w:rFonts w:ascii="Times New Roman" w:hAnsi="Times New Roman"/>
          <w:b/>
          <w:sz w:val="28"/>
        </w:rPr>
        <w:t>Doc-Forge</w:t>
      </w:r>
      <w:r>
        <w:rPr>
          <w:rFonts w:ascii="Times New Roman" w:hAnsi="Times New Roman"/>
          <w:sz w:val="28"/>
        </w:rPr>
        <w:t>. Спроектированная архитектура обеспечивает полную независимость генерации текстового контента от визуального оформления, позволяя изменять любые типографические параметры через декларативные YAML-файлы без повторного редактирования текста.</w:t>
      </w:r>
    </w:p>
    <w:p>
      <w:pPr>
        <w:keepNext/>
        <w:widowControl/>
        <w:spacing w:line="360" w:lineRule="auto" w:before="240" w:after="240"/>
        <w:ind w:firstLine="0"/>
        <w:jc w:val="center"/>
      </w:pPr>
      <w:r>
        <w:rPr>
          <w:rFonts w:ascii="Times New Roman" w:hAnsi="Times New Roman"/>
          <w:b/>
          <w:sz w:val="28"/>
        </w:rPr>
        <w:t>СПИСОК ИСПОЛЬЗОВАННЫХ ИСТОЧНИКОВ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8"/>
        </w:rPr>
        <w:t xml:space="preserve">1. </w:t>
      </w:r>
      <w:r>
        <w:rPr>
          <w:rFonts w:ascii="Times New Roman" w:hAnsi="Times New Roman"/>
          <w:sz w:val="28"/>
        </w:rPr>
        <w:t>ГОСТ 7.32-2017. Система стандартов по информации, библиотечному и издательскому делу. Отчет о научно-исследовательской работе. Структура и правила оформления. — Введ. 2018-07-01. — М.: Стандартинформ, 2018. — 32 с.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8"/>
        </w:rPr>
        <w:t xml:space="preserve">2. </w:t>
      </w:r>
      <w:r>
        <w:rPr>
          <w:rFonts w:ascii="Times New Roman" w:hAnsi="Times New Roman"/>
          <w:sz w:val="28"/>
        </w:rPr>
        <w:t>ГОСТ 2.105-2019. Единая система конструкторской документации. Общие требования к текстовым документам. — М.: Российский институт стандартизации, 2020. — 40 с.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8"/>
        </w:rPr>
        <w:t xml:space="preserve">3. </w:t>
      </w:r>
      <w:r>
        <w:rPr>
          <w:rFonts w:ascii="Times New Roman" w:hAnsi="Times New Roman"/>
          <w:sz w:val="28"/>
        </w:rPr>
        <w:t>СТО СаМеК 01-2026. Стандарт организации. Курсовое и дипломное проектирование. Общие требования и правила оформления. — Самара: ГБПОУ СаМеК, 2026. — 48 с.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8"/>
        </w:rPr>
        <w:t xml:space="preserve">4. </w:t>
      </w:r>
      <w:r>
        <w:rPr>
          <w:rFonts w:ascii="Times New Roman" w:hAnsi="Times New Roman"/>
          <w:sz w:val="28"/>
        </w:rPr>
        <w:t>Документация библиотеки python-docx и спецификация стандарта ECMA-376 Office Open XML File Formats [Электронный ресурс]. — URL: https://python-docx.readthedocs.io/ (дата обращения: 25.08.2026).</w:t>
      </w:r>
    </w:p>
    <w:sectPr w:rsidR="00FC693F" w:rsidRPr="0006063C" w:rsidSect="00034616">
      <w:headerReference w:type="default" r:id="rId11"/>
      <w:pgSz w:w="11906" w:h="16838"/>
      <w:pgMar w:top="1134" w:right="567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/>
      <w:jc w:val="right"/>
    </w:pPr>
    <w:r>
      <w:rPr>
        <w:rFonts w:ascii="Times New Roman" w:hAnsi="Times New Roman"/>
        <w:sz w:val="24"/>
      </w:rPr>
      <w:fldSimple w:instr="PAGE"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