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Arial" w:cs="Arial" w:eastAsia="Arial" w:hAnsi="Arial"/>
          <w:b/>
          <w:bCs/>
          <w:color w:val="00A896"/>
          <w:spacing w:val="80"/>
          <w:sz w:val="18"/>
          <w:szCs w:val="18"/>
        </w:rPr>
        <w:t xml:space="preserve">FRAMEWORK AI4VALUE · NEKTIU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B1437"/>
          <w:sz w:val="56"/>
          <w:szCs w:val="56"/>
        </w:rPr>
        <w:t xml:space="preserve">Plan de 90 días</w:t>
      </w:r>
    </w:p>
    <w:p>
      <w:pPr>
        <w:spacing w:after="200" w:before="0"/>
      </w:pPr>
      <w:r>
        <w:rPr>
          <w:rFonts w:ascii="Arial" w:cs="Arial" w:eastAsia="Arial" w:hAnsi="Arial"/>
          <w:color w:val="0B1437"/>
          <w:sz w:val="36"/>
          <w:szCs w:val="36"/>
        </w:rPr>
        <w:t xml:space="preserve">De L2 Adoptadora a L3 Integradora</w:t>
      </w:r>
    </w:p>
    <w:p>
      <w:pPr>
        <w:pBdr>
          <w:bottom w:val="single" w:color="00A896" w:sz="12" w:space="1"/>
        </w:pBdr>
        <w:spacing w:after="200" w:before="200"/>
      </w:pPr>
    </w:p>
    <w:p>
      <w:pPr>
        <w:spacing w:after="120" w:before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Empresa: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Nektiu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Sector: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Tecnología y software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Tamaño: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Microempresa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Puntuación actual:  </w:t>
      </w: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33 / 100 · L2 Adoptadora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Objetivo 90 días: 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58-60 / 100 · L3 Integradora</w:t>
      </w:r>
    </w:p>
    <w:p>
      <w:pPr>
        <w:spacing w:after="1200" w:before="0"/>
      </w:pPr>
    </w:p>
    <w:p>
      <w:pPr>
        <w:spacing w:after="80" w:before="200"/>
      </w:pPr>
      <w:r>
        <w:rPr>
          <w:rFonts w:ascii="Arial" w:cs="Arial" w:eastAsia="Arial" w:hAnsi="Arial"/>
          <w:color w:val="555555"/>
          <w:spacing w:val="40"/>
          <w:sz w:val="16"/>
          <w:szCs w:val="16"/>
        </w:rPr>
        <w:t xml:space="preserve">Preparado por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Alberto de Torres Pachón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AI Strategy · Nektiu  |  Professor · ESIC Business School  |  President I4.0 · AMETIC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EXECUTIVE SUMMARY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Resumen ejecutivo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salto de 33 a 55+ (L2 a L3) en 90 días es ambicioso pero alcanzable para una tech microempresa si se renuncia a la tentación de avanzar en los cinco pilares por igual. La lógica del plan es clara: concentrar la inversión en Procesos —poner dos casos en producción con ROI medido— y Datos —la integración que hace posible que Procesos funcione—, con avance paralelo en Estrategia y Gobernanza, y Personas como palanca transversal.</w:t>
      </w:r>
    </w:p>
    <w:p>
      <w:pPr>
        <w:spacing w:after="12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La apuesta en tres frases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Dos casos de uso en producción en 90 días, con ROI anualizado de al menos 60.000 €.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Una integración técnica clave (CRM ↔ canal comercial) que habilita que esos casos funcionen end-to-end.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100% del equipo formado en nivel básico y el 40% en nivel intermedio, con dos embajadores IA operativos.</w:t>
      </w:r>
    </w:p>
    <w:p>
      <w:pPr>
        <w:spacing w:after="12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Inversión total requerida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0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Naturaleza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Inversión externa (cash-out)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16.400 €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Desembolso directo en 90 días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Coste interno del equipo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29.000 €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 dedicado por el equipo (no cash)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Inversión total decisora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45.400 €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Importe a defender ante el comité</w:t>
            </w:r>
          </w:p>
        </w:tc>
      </w:tr>
    </w:tbl>
    <w:p>
      <w:pPr>
        <w:spacing w:after="160" w:before="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Para justificar esta inversión los dos pilotos de Procesos, juntos, deben ahorrar o generar ≥ 60.000 € anualizados. Es un objetivo perfectamente alcanzable con un caso de cualificación automática de leads y un caso de automatización de operaciones internas.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PUNTO DE PARTIDA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Diagnóstico actual por pilar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puntuación global de 33/100 sitúa a la empresa en el nivel L2 Adoptadora: licencias corporativas de IA activas, casos de uso aislados pero sin integración, y sin estrategia formal que conecte la IA con el P&amp;L. El objetivo de L3 Integradora requiere un salto de al menos 22-25 puntos en la media ponderada, con objetivos específicos por pilar: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80"/>
        <w:gridCol w:w="16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Partida típica L2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90 días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Palanca crítica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Estrategia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25-30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Documento de visión firmado + presupuesto cerrado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30-40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productiva CRM ↔ canal comercial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Personas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30-40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 del equipo con nivel intermedio y 2 embajadores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Procesos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25-35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casos en producción con ROI medido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Gobernanza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35-45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Política, registro de modelos, AI Act clasificado</w:t>
            </w:r>
          </w:p>
        </w:tc>
      </w:tr>
    </w:tbl>
    <w:p>
      <w:pPr>
        <w:spacing w:after="160" w:before="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El plan de 90 días ataca estos gaps con una secuencia ordenada: primero los cimientos (estrategia, datos, gobernanza mínima y formación básica), después la construcción de los pilotos y la integración técnica, y finalmente el escalado con medición de ROI y preparación del siguiente ciclo hacia L4.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HOJA DE RUTA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Plan semana a semana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Las 12 semanas están agrupadas en 3 fases de 4 semanas cada una. Cada semana tiene un foco claro y 4 entregables concretos. Los hitos de cierre de fase son los gates de decisión: si al final de una fase no se han alcanzado, se activa el plan de contingencia correspondiente (ver sección de riesgos).</w:t>
      </w:r>
    </w:p>
    <w:p>
      <w:pPr>
        <w:spacing w:after="120" w:before="0"/>
      </w:pPr>
    </w:p>
    <w:p>
      <w:pPr>
        <w:pBdr>
          <w:bottom w:val="single" w:color="D85A30" w:sz="18" w:space="2"/>
        </w:pBdr>
        <w:spacing w:after="120" w:before="320"/>
      </w:pPr>
      <w:r>
        <w:rPr>
          <w:rFonts w:ascii="Arial" w:cs="Arial" w:eastAsia="Arial" w:hAnsi="Arial"/>
          <w:b/>
          <w:bCs/>
          <w:color w:val="D85A30"/>
          <w:spacing w:val="60"/>
          <w:sz w:val="26"/>
          <w:szCs w:val="26"/>
        </w:rPr>
        <w:t xml:space="preserve">FASE 1 · FUNDAMENTOS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Semanas 1 a 4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Poner los cimientos antes de construir. Estrategia firmada, datos auditados, política publicada, equipo formado en nivel básico.</w:t>
      </w:r>
    </w:p>
    <w:p>
      <w:pPr>
        <w:spacing w:after="120" w:before="0"/>
      </w:pP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Semana 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Kickoff y gobernanza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Nombrar formalmente al sponsor ejecutivo y al AI Lead interno (es bloqueante para todo lo demás).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Workshop de kickoff de un día con dirección: qué queremos conseguir en 90 días, qué no.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Reserva agenda fija semanal de 30 min para el comité IA (sponsor + AI Lead + Tech Lead).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Publicar versión 1 de la política de uso responsable de IA (una página, ejecutable).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Semana 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Diagnóstico profundo y visión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Auditoría de fuentes de datos: mapear las 10 más críticas y puntuar calidad de 1 a 5.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Sesión de visión IA 12-24 meses con dirección. Redacción de documento de 2 páginas.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Identificar 2 embajadores IA en áreas clave con 2h/semana asignadas.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Formación básica obligatoria (4h) en IA generativa para el 100% del equipo.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Semana 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Priorización de casos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Generar long-list de 10-15 casos de uso candidatos con descripción breve.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Aplicar matriz impacto × esfuerzo. Seleccionar los 3 con mejor ratio.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Business case detallado del piloto 1 (KPI a batir, hipótesis, riesgos, timeline).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Cerrar presupuesto de los 90 días con el sponsor. Firmar cashflow.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Semana 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Diseño del piloto y cierre de fundamentos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Design sprint del piloto 1: arquitectura técnica, integraciones, datos necesarios, KPI.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Cerrar contratación de consultoría técnica externa si se necesita para acelerar el build.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Revisar contratos de licencias de IA para cláusulas de no-training con nuestro dato.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Hito Fase 1: visión firmada, política publicada, piloto diseñado, equipo formado básico.</w:t>
      </w:r>
    </w:p>
    <w:p>
      <w:pPr>
        <w:pBdr>
          <w:bottom w:val="single" w:color="BA7517" w:sz="18" w:space="2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pacing w:val="60"/>
          <w:sz w:val="26"/>
          <w:szCs w:val="26"/>
        </w:rPr>
        <w:t xml:space="preserve">FASE 2 · CONSTRUCCIÓN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Semanas 5 a 8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Construir. MVP del agente IA para el piloto 1, integración CRM, bootcamp intermedio para embajadores, cumplimiento AI Act clasificado.</w:t>
      </w:r>
    </w:p>
    <w:p>
      <w:pPr>
        <w:spacing w:after="120" w:before="0"/>
      </w:pP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A7517"/>
          <w:sz w:val="22"/>
          <w:szCs w:val="22"/>
        </w:rPr>
        <w:t xml:space="preserve">Semana 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Build del MVP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Sprint de desarrollo del MVP del agente (RAG sobre nuestros datos + herramientas mínimas).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Inicio del bootcamp intermedio para los 2 embajadores IA (sesiones 2h x 2/semana).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Integración técnica parte 1: conector CRM ↔ plataforma IA (APIs, autenticación).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Clasificación AI Act de nuestros casos: identificar si alguno es alto riesgo.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A7517"/>
          <w:sz w:val="22"/>
          <w:szCs w:val="22"/>
        </w:rPr>
        <w:t xml:space="preserve">Semana 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Integración y testing interno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Integración técnica parte 2: conector canal comercial (email, WhatsApp, web) ↔ agente.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Testing interno del MVP con datos reales anonimizados. Primera iteración de prompts.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Registro formal de modelos en producción: qué usamos, para qué, qué datos ve, quién accede.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Sesión de demo interna del MVP al resto del equipo para bajar miedos y recoger feedback.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A7517"/>
          <w:sz w:val="22"/>
          <w:szCs w:val="22"/>
        </w:rPr>
        <w:t xml:space="preserve">Semana 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Piloto cerrado en beta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Go-live en modo beta del piloto 1 con un subconjunto controlado de casos reales.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Instrumentación de métricas: logs, tasa de éxito, tiempo de respuesta, satisfacción.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Embajadores IA finalizan bootcamp intermedio. Reciben certificación interna.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Primera retrospectiva formal con sponsor. Go/no-go para salida a producción plena.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A7517"/>
          <w:sz w:val="22"/>
          <w:szCs w:val="22"/>
        </w:rPr>
        <w:t xml:space="preserve">Semana 8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Producción plena del piloto 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Go-live completo del piloto 1. Comunicación interna y externa si aplica.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Arrancar diseño del piloto 2 sobre aprendizajes del primero. Business case firmado.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 de cumplimiento: política respetada, no incidentes con datos sensibles.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Hito Fase 2: 1 caso de uso en producción con métricas, cumplimiento AI Act al día.</w:t>
      </w:r>
    </w:p>
    <w:p>
      <w:pPr>
        <w:pBdr>
          <w:bottom w:val="single" w:color="0F6E56" w:sz="18" w:space="2"/>
        </w:pBdr>
        <w:spacing w:after="120" w:before="320"/>
      </w:pPr>
      <w:r>
        <w:rPr>
          <w:rFonts w:ascii="Arial" w:cs="Arial" w:eastAsia="Arial" w:hAnsi="Arial"/>
          <w:b/>
          <w:bCs/>
          <w:color w:val="0F6E56"/>
          <w:spacing w:val="60"/>
          <w:sz w:val="26"/>
          <w:szCs w:val="26"/>
        </w:rPr>
        <w:t xml:space="preserve">FASE 3 · ESCALADO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Semanas 9 a 12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Escalar y medir. Piloto 2 lanzado, ROI del piloto 1 demostrado, comunidad de práctica activa, plan de 90 días siguientes aprobado.</w:t>
      </w:r>
    </w:p>
    <w:p>
      <w:pPr>
        <w:spacing w:after="120" w:before="0"/>
      </w:pP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Semana 9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Lanzamiento del piloto 2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del piloto 2 reutilizando componentes del piloto 1 (agente, integraciones, patrones).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Iniciar comunidad de práctica IA interna: canal Slack/Teams + sesión quincenal abierta.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Medición intermedia del ROI del piloto 1: horas liberadas, conversiones, coste evitado.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Preparar capa semántica sobre los datos del CRM como base para casos futuros.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Semana 10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KPI dashboard y retrospectiva grande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 operativo con los KPIs del plan (AI4Value + KPIs de negocio) visible a todos.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Go-live del piloto 2 en modo beta controlado.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Retrospectiva completa del plan con equipo ampliado (no solo comité). Ajustes.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Caso de éxito interno del piloto 1 documentado y compartido con el equipo.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Semana 11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Auditoría y preparación L4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Auditoría interna de gobernanza: política respetada, registro completo, accesos correctos.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Go-live producción del piloto 2 sobre aprendizajes del piloto 1.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Revisión de indicadores por pilar: cálculo oficial de la nueva puntuación AI4Value.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Identificar candidatos a casos de uso para el siguiente ciclo de 90 días (hacia L4).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Semana 12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3D1C7"/>
          <w:sz w:val="22"/>
          <w:szCs w:val="22"/>
        </w:rPr>
        <w:t xml:space="preserve">·  </w:t>
      </w:r>
      <w:r>
        <w:rPr>
          <w:rFonts w:ascii="Arial" w:cs="Arial" w:eastAsia="Arial" w:hAnsi="Arial"/>
          <w:b/>
          <w:bCs/>
          <w:i w:val="false"/>
          <w:iCs w:val="false"/>
          <w:color w:val="0B1437"/>
          <w:sz w:val="22"/>
          <w:szCs w:val="22"/>
        </w:rPr>
        <w:t xml:space="preserve">Cierre, medición final y siguiente ciclo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Re-evaluación oficial AI4Value: radar nuevo, comparativa vs partida, delta por pilar.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Sesión con sponsor: revisión de presupuesto vs objetivos vs ROI demostrado.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Documento de plan para el siguiente ciclo de 90 días, hacia L4 Transformadora.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Hito Fase 3 y del plan: puntuación AI4Value ≥ 58, 2 casos en producción, ROI demostrado.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PRESUPUESTO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Inversión y coste de 90 días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presentan dos cifras separadas: el desembolso externo (cash-out real) y el coste interno en tiempo del equipo. En una microempresa esta segunda es la que realmente aprieta, y es fundamental que el sponsor la entienda y la defienda.</w:t>
      </w:r>
    </w:p>
    <w:p>
      <w:pPr>
        <w:spacing w:after="16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Inversión externa · 16.400 € sin 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880"/>
      </w:tblGrid>
      <w:tr>
        <w:trPr>
          <w:tblHeader/>
        </w:trP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€ sin IVA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Licencias IA (ChatGPT Team 5 usuarios + Claude API + Copilot)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Prepago 90 días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Infraestructura (Supabase + n8n self-hosted + vector DB)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 y créditos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Consultoría estratégica externa (12 jornadas)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7.200 €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j/sem mes 1 · 1 j/sem mes 2-3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Formación especializada equipo (bootcamp IA aplicada)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días presenciales + seguimiento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Desarrollo MVP agente IA (freelance si no hay capacidad interna)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+ tests + deploy del piloto 1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Preparación cumplimiento AI Act + política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Templates + revisión legal express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 de contingencia (10%)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EXTERNO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16.400 €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Coste interno · aproximadamente 29.000 €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un coste medio totalmente cargado de 40 €/h, las aproximadamente 56 horas por semana que el equipo dedica al plan durante 13 semanas equivalen a unos 29.000 €. No es cash-out, pero sí es la capacidad que se deja de dedicar a otros proyectos. La regla operativa: durante las 12 semanas no se acepta ningún proyecto nuevo que no esté en este plan.</w:t>
      </w:r>
    </w:p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Horas/semana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90 días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Sponsor ejecutivo (CEO)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 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Lead interno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260 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208 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Embajador IA 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104 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Embajador IA 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104 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INTERNO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 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728 h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ROI requerido para justificar la inversión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Inversión total decisora: 45.400 € (16.400 € externos + 29.000 € tiempo interno). Para que esto salga rentable a 12 meses vista, los dos pilotos de Procesos deben, juntos, generar o ahorrar al menos 60.000 € anualizados. Es decir, un ROI objetivo de 1,3x anualizado sobre la inversión total decisora, o ≈ 3,6x si se mira solo sobre el cash-out externo.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EQUIPO Y GOBERNANZA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Estructura, roles y cadencia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estructura es deliberadamente ligera. Un sponsor con presupuesto real, un AI Lead que pone cara y es el owner único del plan, un Tech Lead que construye, y dos embajadores que empujan adopción en sus áreas. Fuera: consultoría externa que acelera y aporta framework.</w:t>
      </w:r>
    </w:p>
    <w:p>
      <w:pPr>
        <w:spacing w:after="14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Responsabilidades detalladas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Sponsor ejecutivo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Protege presupuesto. Desbloquea decisiones. Preside el comité IA semanal. Representa el plan ante el resto de la dirección.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Lead interno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único del plan. Reporta al sponsor. Coordina todos los entregables. Cara visible del plan hacia el equipo.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Construye los pilotos y las integraciones. Decisiones técnicas. Gestión de la infraestructura y la seguridad.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Embajadores IA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Adopción en su área. Captura de feedback continuo. Prueba los pilotos con usuarios reales desde la semana 2.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Consultor externo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Mentoría estratégica. Aceleración técnica. Framework AI4Value. Revisión de cumplimiento. Desbloqueo de puntos críticos.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Cadencia de reuniones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8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Asistentes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async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Lead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en Slack/Teams del estado del día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Comité IA (sponsor + leads)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Stand-up de avances, bloqueos, decisiones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Quincenal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min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 de lo construido, feedback, preguntas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 min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Comité IA + embajadores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Retrospectiva, ajuste de roadmap del mes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 de S4 / S8 / S12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min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Comité IA + consultor externo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Gate de fase: evaluación de hitos y decisión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MEDICIÓN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KPIs del plan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Dos niveles de KPIs. El primero es la puntuación AI4Value por pilar, que es el indicador de madurez y el que valida el salto a L3. El segundo son los KPIs operativos de negocio, los que justifican el ROI y que son más accionables semana a semana.</w:t>
      </w:r>
    </w:p>
    <w:p>
      <w:pPr>
        <w:spacing w:after="16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KPIs de madurez AI4Value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S12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25-30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30-40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30-40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25-35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+28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Gobernanza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35-45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ponderado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58-60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KPIs operativos de negocio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0"/>
        <w:gridCol w:w="2480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S12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medición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Casos de uso IA en producción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con ROI medido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Board de pilotos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Horas/semana liberadas al equipo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20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Time-tracking antes/después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ROI del piloto 1 (anualizado)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3x sobre inversión directa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case firmado vs impacto real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equipo formado nivel básico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Certificación interna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equipo formado nivel intermedio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40%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Certificación interna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Política IA firmada por el equipo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Acuse de recibo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Incidentes con datos sensibles en IAs públicas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Auditoría interna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NPS equipo sobre IA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7/10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Encuesta al cierre de S12</w:t>
            </w:r>
          </w:p>
        </w:tc>
      </w:tr>
    </w:tbl>
    <w:p>
      <w:pPr>
        <w:spacing w:after="200" w:before="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El dashboard operativo con todos estos KPIs debe estar vivo desde la semana 10 y ser visible a todo el equipo, no solo al comité. La transparencia del progreso es parte de la estrategia de cambio cultural.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RIESGOS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Riesgos principales y mitigación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plan suele fallar por cinco motivos predecibles. Cada uno tiene una contramedida concreta, un responsable y una señal temprana que dispara la activación.</w:t>
      </w:r>
    </w:p>
    <w:p>
      <w:pPr>
        <w:spacing w:after="1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temprana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Contramedida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4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sponsor deja de aparecer en S3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comités semanales consecutivos sin él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Bloquear slot fijo en agenda. Incluir IA como primer punto del comité de dirección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Lead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piloto 1 no mueve la aguja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Métricas S7 peores que la línea base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piloto requiere business case firmado con número a batir antes de empezar. Kill criteria definido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datos están más sucios de lo esperado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Auditoría S2 identifica calidad &lt;3/5 en fuentes críticas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 B: primer piloto sobre dominio con datos limpios aunque menos estratégico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equipo se sobrecarga y se cae la adopción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Embajadores no entregan 2 semanas consecutivas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Regla de no nuevos proyectos durante 12 semanas. Sustitución 1:1 de horas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consultoría externa no encaja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Falta de claridad o velocidad en las primeras 2 semanas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Cláusula de revisión a los 30 días en el contrato. Backup identificado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Lead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A896"/>
          <w:spacing w:val="40"/>
          <w:sz w:val="16"/>
          <w:szCs w:val="16"/>
        </w:rPr>
        <w:t xml:space="preserve">SIGUIENTE PASO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Cómo empezar la semana 1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plan no funciona si se deja en el cajón hasta que todas las piezas estén perfectas. La semana 1 tiene tres acciones simples y no negociables que marcan el inicio:</w:t>
      </w:r>
    </w:p>
    <w:p>
      <w:pPr>
        <w:spacing w:after="120" w:before="0"/>
      </w:pPr>
    </w:p>
    <w:p>
      <w:pPr>
        <w:spacing w:after="80" w:before="12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Nombrar al sponsor y al AI Lead por escrito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y comunicarlo al equipo. Sin estos dos nombres con fecha, el plan no arranca.</w:t>
      </w:r>
    </w:p>
    <w:p>
      <w:pPr>
        <w:spacing w:after="80" w:before="12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Convocar el workshop de kickoff de 1 día con dirección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en los próximos 7 días. No es una reunión de una hora, es una jornada completa.</w:t>
      </w:r>
    </w:p>
    <w:p>
      <w:pPr>
        <w:spacing w:after="80" w:before="12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Cerrar el presupuesto con el sponsor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antes de la semana 3. Sin presupuesto firmado, la semana 5 no arranca.</w:t>
      </w:r>
    </w:p>
    <w:p>
      <w:pPr>
        <w:spacing w:after="240" w:before="0"/>
      </w:pPr>
    </w:p>
    <w:p>
      <w:pPr>
        <w:pBdr>
          <w:bottom w:val="single" w:color="D3D1C7" w:sz="6" w:space="1"/>
        </w:pBdr>
        <w:spacing w:after="200" w:before="20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¿Necesitas ayuda con alguno de estos puntos o con la ejecución en general?</w:t>
      </w:r>
    </w:p>
    <w:p>
      <w:pPr>
        <w:spacing w:after="80" w:before="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Alberto de Torres Pachón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A896"/>
          <w:sz w:val="22"/>
          <w:szCs w:val="22"/>
        </w:rPr>
        <w:t xml:space="preserve">alberto@nektiu.com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A896"/>
          <w:sz w:val="22"/>
          <w:szCs w:val="22"/>
        </w:rPr>
        <w:t xml:space="preserve">nektiu.com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Página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4"/>
        <w:szCs w:val="14"/>
      </w:rPr>
      <w:t xml:space="preserve"> de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555555"/>
        <w:spacing w:val="40"/>
        <w:sz w:val="14"/>
        <w:szCs w:val="14"/>
      </w:rPr>
      <w:t xml:space="preserve">AI4VALUE · PLAN 90 DÍAS · NEKTIU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4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B14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90 días · AI4Value · Nektiu</dc:title>
  <dc:creator>Alberto de Torres Pachón · Nektiu</dc:creator>
  <dc:description>De L2 Adoptadora a L3 Integradora</dc:description>
  <cp:lastModifiedBy>Un-named</cp:lastModifiedBy>
  <cp:revision>1</cp:revision>
  <dcterms:created xsi:type="dcterms:W3CDTF">2026-04-21T17:46:21.402Z</dcterms:created>
  <dcterms:modified xsi:type="dcterms:W3CDTF">2026-04-21T17:46:21.403Z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