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Optimization of High-Dimensional Rule-Based Emotional Physics Engines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Formulation of the High-Dimensional Optimization Problem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engineering and tuning of a rule-based emotional physics engine poses a formidable mathematical challenge characterized by extreme high-dimensionality, severe non-differentiability, and conflicting multi-objective performance landscapes. The architecture under analysis evaluates English text sequentially through a simulated pendulum kinematics model, mapping linguistic inputs into a 5-dimensional affective coordinate system: Valence, Arousal, Dominance, Urgency, and Gravity (VADUG). Each dimension is strictly constrained to a discrete integer space ranging from </w:t>
      </w:r>
      <w:r w:rsidDel="00000000" w:rsidR="00000000" w:rsidRPr="00000000">
        <w:rPr>
          <w:rFonts w:ascii="Google Sans" w:cs="Google Sans" w:eastAsia="Google Sans" w:hAnsi="Google Sans"/>
          <w:color w:val="1f1f1f"/>
        </w:rPr>
        <w:drawing>
          <wp:inline distB="19050" distT="19050" distL="19050" distR="19050">
            <wp:extent cx="92273" cy="212229"/>
            <wp:effectExtent b="0" l="0" r="0" t="0"/>
            <wp:docPr id="111"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92273" cy="2122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14" name="image77.png"/>
            <a:graphic>
              <a:graphicData uri="http://schemas.openxmlformats.org/drawingml/2006/picture">
                <pic:pic>
                  <pic:nvPicPr>
                    <pic:cNvPr id="0" name="image77.png"/>
                    <pic:cNvPicPr preferRelativeResize="0"/>
                  </pic:nvPicPr>
                  <pic:blipFill>
                    <a:blip r:embed="rId7"/>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dynamic equation governing the terminal emotional state, </w:t>
      </w:r>
      <w:r w:rsidDel="00000000" w:rsidR="00000000" w:rsidRPr="00000000">
        <w:rPr>
          <w:rFonts w:ascii="Google Sans" w:cs="Google Sans" w:eastAsia="Google Sans" w:hAnsi="Google Sans"/>
          <w:color w:val="1f1f1f"/>
        </w:rPr>
        <w:drawing>
          <wp:inline distB="19050" distT="19050" distL="19050" distR="19050">
            <wp:extent cx="425053" cy="226695"/>
            <wp:effectExtent b="0" l="0" r="0" t="0"/>
            <wp:docPr id="113" name="image76.png"/>
            <a:graphic>
              <a:graphicData uri="http://schemas.openxmlformats.org/drawingml/2006/picture">
                <pic:pic>
                  <pic:nvPicPr>
                    <pic:cNvPr id="0" name="image76.png"/>
                    <pic:cNvPicPr preferRelativeResize="0"/>
                  </pic:nvPicPr>
                  <pic:blipFill>
                    <a:blip r:embed="rId8"/>
                    <a:srcRect b="0" l="0" r="0" t="0"/>
                    <a:stretch>
                      <a:fillRect/>
                    </a:stretch>
                  </pic:blipFill>
                  <pic:spPr>
                    <a:xfrm>
                      <a:off x="0" y="0"/>
                      <a:ext cx="425053" cy="2266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encapsulates a sequence of non-linear transformations and conditional multipliers. It is defined 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61164"/>
            <wp:effectExtent b="0" l="0" r="0" t="0"/>
            <wp:docPr id="119"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5905500" cy="161164"/>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discrete-time physical simulation relies on an exceptionally large and interconnected parameter space. The primary parameters include a base lexicon of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117"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force entries, where each entry requires a 5-tuple of directional deltas (</w:t>
      </w:r>
      <w:r w:rsidDel="00000000" w:rsidR="00000000" w:rsidRPr="00000000">
        <w:rPr>
          <w:rFonts w:ascii="Google Sans" w:cs="Google Sans" w:eastAsia="Google Sans" w:hAnsi="Google Sans"/>
          <w:color w:val="1f1f1f"/>
        </w:rPr>
        <w:drawing>
          <wp:inline distB="19050" distT="19050" distL="19050" distR="19050">
            <wp:extent cx="1832524" cy="229066"/>
            <wp:effectExtent b="0" l="0" r="0" t="0"/>
            <wp:docPr id="124" name="image92.png"/>
            <a:graphic>
              <a:graphicData uri="http://schemas.openxmlformats.org/drawingml/2006/picture">
                <pic:pic>
                  <pic:nvPicPr>
                    <pic:cNvPr id="0" name="image92.png"/>
                    <pic:cNvPicPr preferRelativeResize="0"/>
                  </pic:nvPicPr>
                  <pic:blipFill>
                    <a:blip r:embed="rId11"/>
                    <a:srcRect b="0" l="0" r="0" t="0"/>
                    <a:stretch>
                      <a:fillRect/>
                    </a:stretch>
                  </pic:blipFill>
                  <pic:spPr>
                    <a:xfrm>
                      <a:off x="0" y="0"/>
                      <a:ext cx="1832524" cy="229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exactly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21" name="image85.png"/>
            <a:graphic>
              <a:graphicData uri="http://schemas.openxmlformats.org/drawingml/2006/picture">
                <pic:pic>
                  <pic:nvPicPr>
                    <pic:cNvPr id="0" name="image85.png"/>
                    <pic:cNvPicPr preferRelativeResize="0"/>
                  </pic:nvPicPr>
                  <pic:blipFill>
                    <a:blip r:embed="rId12"/>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 parameters. In addition to this massive lexical foundation, the engine utilizes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130"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intensity ramps denoted by </w:t>
      </w:r>
      <w:r w:rsidDel="00000000" w:rsidR="00000000" w:rsidRPr="00000000">
        <w:rPr>
          <w:rFonts w:ascii="Google Sans" w:cs="Google Sans" w:eastAsia="Google Sans" w:hAnsi="Google Sans"/>
          <w:color w:val="1f1f1f"/>
        </w:rPr>
        <w:drawing>
          <wp:inline distB="19050" distT="19050" distL="19050" distR="19050">
            <wp:extent cx="348556" cy="226090"/>
            <wp:effectExtent b="0" l="0" r="0" t="0"/>
            <wp:docPr id="127" name="image89.png"/>
            <a:graphic>
              <a:graphicData uri="http://schemas.openxmlformats.org/drawingml/2006/picture">
                <pic:pic>
                  <pic:nvPicPr>
                    <pic:cNvPr id="0" name="image89.png"/>
                    <pic:cNvPicPr preferRelativeResize="0"/>
                  </pic:nvPicPr>
                  <pic:blipFill>
                    <a:blip r:embed="rId14"/>
                    <a:srcRect b="0" l="0" r="0" t="0"/>
                    <a:stretch>
                      <a:fillRect/>
                    </a:stretch>
                  </pic:blipFill>
                  <pic:spPr>
                    <a:xfrm>
                      <a:off x="0" y="0"/>
                      <a:ext cx="348556" cy="2260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scale vectors from </w:t>
      </w:r>
      <w:r w:rsidDel="00000000" w:rsidR="00000000" w:rsidRPr="00000000">
        <w:rPr>
          <w:rFonts w:ascii="Google Sans" w:cs="Google Sans" w:eastAsia="Google Sans" w:hAnsi="Google Sans"/>
          <w:color w:val="1f1f1f"/>
        </w:rPr>
        <w:drawing>
          <wp:inline distB="19050" distT="19050" distL="19050" distR="19050">
            <wp:extent cx="379214" cy="218048"/>
            <wp:effectExtent b="0" l="0" r="0" t="0"/>
            <wp:docPr id="135" name="image91.png"/>
            <a:graphic>
              <a:graphicData uri="http://schemas.openxmlformats.org/drawingml/2006/picture">
                <pic:pic>
                  <pic:nvPicPr>
                    <pic:cNvPr id="0" name="image91.png"/>
                    <pic:cNvPicPr preferRelativeResize="0"/>
                  </pic:nvPicPr>
                  <pic:blipFill>
                    <a:blip r:embed="rId15"/>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79214" cy="218048"/>
            <wp:effectExtent b="0" l="0" r="0" t="0"/>
            <wp:docPr id="132" name="image84.png"/>
            <a:graphic>
              <a:graphicData uri="http://schemas.openxmlformats.org/drawingml/2006/picture">
                <pic:pic>
                  <pic:nvPicPr>
                    <pic:cNvPr id="0" name="image84.png"/>
                    <pic:cNvPicPr preferRelativeResize="0"/>
                  </pic:nvPicPr>
                  <pic:blipFill>
                    <a:blip r:embed="rId16"/>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feature multi-word decay functions. The system further incorporates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134"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relationship gravity words </w:t>
      </w:r>
      <w:r w:rsidDel="00000000" w:rsidR="00000000" w:rsidRPr="00000000">
        <w:rPr>
          <w:rFonts w:ascii="Google Sans" w:cs="Google Sans" w:eastAsia="Google Sans" w:hAnsi="Google Sans"/>
          <w:color w:val="1f1f1f"/>
        </w:rPr>
        <w:drawing>
          <wp:inline distB="19050" distT="19050" distL="19050" distR="19050">
            <wp:extent cx="352128" cy="228407"/>
            <wp:effectExtent b="0" l="0" r="0" t="0"/>
            <wp:docPr id="137"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352128" cy="22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scaling from </w:t>
      </w:r>
      <w:r w:rsidDel="00000000" w:rsidR="00000000" w:rsidRPr="00000000">
        <w:rPr>
          <w:rFonts w:ascii="Google Sans" w:cs="Google Sans" w:eastAsia="Google Sans" w:hAnsi="Google Sans"/>
          <w:color w:val="1f1f1f"/>
        </w:rPr>
        <w:drawing>
          <wp:inline distB="19050" distT="19050" distL="19050" distR="19050">
            <wp:extent cx="379214" cy="218048"/>
            <wp:effectExtent b="0" l="0" r="0" t="0"/>
            <wp:docPr id="140" name="image93.png"/>
            <a:graphic>
              <a:graphicData uri="http://schemas.openxmlformats.org/drawingml/2006/picture">
                <pic:pic>
                  <pic:nvPicPr>
                    <pic:cNvPr id="0" name="image93.png"/>
                    <pic:cNvPicPr preferRelativeResize="0"/>
                  </pic:nvPicPr>
                  <pic:blipFill>
                    <a:blip r:embed="rId19"/>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379214" cy="218048"/>
            <wp:effectExtent b="0" l="0" r="0" t="0"/>
            <wp:docPr id="141" name="image97.png"/>
            <a:graphic>
              <a:graphicData uri="http://schemas.openxmlformats.org/drawingml/2006/picture">
                <pic:pic>
                  <pic:nvPicPr>
                    <pic:cNvPr id="0" name="image97.png"/>
                    <pic:cNvPicPr preferRelativeResize="0"/>
                  </pic:nvPicPr>
                  <pic:blipFill>
                    <a:blip r:embed="rId20"/>
                    <a:srcRect b="0" l="0" r="0" t="0"/>
                    <a:stretch>
                      <a:fillRect/>
                    </a:stretch>
                  </pic:blipFill>
                  <pic:spPr>
                    <a:xfrm>
                      <a:off x="0" y="0"/>
                      <a:ext cx="379214" cy="218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14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context-dependent chameleon words that alter their force output based on the prior trajectory, and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4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multi-word idioms treated as singular kinetic impulses. The momentum decay function, </w:t>
      </w:r>
      <w:r w:rsidDel="00000000" w:rsidR="00000000" w:rsidRPr="00000000">
        <w:rPr>
          <w:rFonts w:ascii="Google Sans" w:cs="Google Sans" w:eastAsia="Google Sans" w:hAnsi="Google Sans"/>
          <w:color w:val="1f1f1f"/>
        </w:rPr>
        <w:drawing>
          <wp:inline distB="19050" distT="19050" distL="19050" distR="19050">
            <wp:extent cx="620464" cy="229094"/>
            <wp:effectExtent b="0" l="0" r="0" t="0"/>
            <wp:docPr id="144"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620464" cy="229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enforces a strict exponential decay regime where strong terms trigger a conservation coefficient of </w:t>
      </w:r>
      <w:r w:rsidDel="00000000" w:rsidR="00000000" w:rsidRPr="00000000">
        <w:rPr>
          <w:rFonts w:ascii="Google Sans" w:cs="Google Sans" w:eastAsia="Google Sans" w:hAnsi="Google Sans"/>
          <w:color w:val="1f1f1f"/>
        </w:rPr>
        <w:drawing>
          <wp:inline distB="19050" distT="19050" distL="19050" distR="19050">
            <wp:extent cx="327869" cy="221793"/>
            <wp:effectExtent b="0" l="0" r="0" t="0"/>
            <wp:docPr id="145" name="image86.png"/>
            <a:graphic>
              <a:graphicData uri="http://schemas.openxmlformats.org/drawingml/2006/picture">
                <pic:pic>
                  <pic:nvPicPr>
                    <pic:cNvPr id="0" name="image86.png"/>
                    <pic:cNvPicPr preferRelativeResize="0"/>
                  </pic:nvPicPr>
                  <pic:blipFill>
                    <a:blip r:embed="rId24"/>
                    <a:srcRect b="0" l="0" r="0" t="0"/>
                    <a:stretch>
                      <a:fillRect/>
                    </a:stretch>
                  </pic:blipFill>
                  <pic:spPr>
                    <a:xfrm>
                      <a:off x="0" y="0"/>
                      <a:ext cx="327869" cy="22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weaker terms recover to a resting state according to the decay curve </w:t>
      </w:r>
      <w:r w:rsidDel="00000000" w:rsidR="00000000" w:rsidRPr="00000000">
        <w:rPr>
          <w:rFonts w:ascii="Google Sans" w:cs="Google Sans" w:eastAsia="Google Sans" w:hAnsi="Google Sans"/>
          <w:color w:val="1f1f1f"/>
        </w:rPr>
        <w:drawing>
          <wp:inline distB="19050" distT="19050" distL="19050" distR="19050">
            <wp:extent cx="471636" cy="226385"/>
            <wp:effectExtent b="0" l="0" r="0" t="0"/>
            <wp:docPr id="14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71636" cy="22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Furthermore, an information-theoretic mechanism relying on the Shannon entropy of the VADUG trajectory is deployed for neutral class detection, operating alongside intent-adaptive classification thresholds.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Currently, the system achieves highly disparate performance across standard natural language processing benchmarks. The engine demonstrates robust binary classification on the SST-2 dataset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00"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TweetEval dataset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01"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performing competitively with, and occasionally surpassing, established rule-based systems such as VADER.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it exhibits significant and systemic performance degradation on fine-grained, multi-label, and continuous dimensional tasks. On the GoEmotions benchmark, it achieves only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0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hampered by a documented neutral over-reading problem where the system prematurely classifies complex sentences as devoid of emotion.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More critically, its correlation on the dimensional EmoBank dataset is severely attenuated, particularly outside the primary Valence dimension. Current EmoBank correlations stand at Valence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04"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Arousal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0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Dominance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06"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optimization of this system cannot be achieved through standard gradient-based techniques, such as Stochastic Gradient Descent (SGD) or Adam optimization. The discontinuous, rule-based nature of the text parsing, the non-differentiable categorical boundaries of the chameleon words, and the discrete </w:t>
      </w:r>
      <w:r w:rsidDel="00000000" w:rsidR="00000000" w:rsidRPr="00000000">
        <w:rPr>
          <w:rFonts w:ascii="Google Sans" w:cs="Google Sans" w:eastAsia="Google Sans" w:hAnsi="Google Sans"/>
          <w:color w:val="1f1f1f"/>
        </w:rPr>
        <w:drawing>
          <wp:inline distB="19050" distT="19050" distL="19050" distR="19050">
            <wp:extent cx="594270" cy="220455"/>
            <wp:effectExtent b="0" l="0" r="0" t="0"/>
            <wp:docPr id="107" name="image66.png"/>
            <a:graphic>
              <a:graphicData uri="http://schemas.openxmlformats.org/drawingml/2006/picture">
                <pic:pic>
                  <pic:nvPicPr>
                    <pic:cNvPr id="0" name="image66.png"/>
                    <pic:cNvPicPr preferRelativeResize="0"/>
                  </pic:nvPicPr>
                  <pic:blipFill>
                    <a:blip r:embed="rId32"/>
                    <a:srcRect b="0" l="0" r="0" t="0"/>
                    <a:stretch>
                      <a:fillRect/>
                    </a:stretch>
                  </pic:blipFill>
                  <pic:spPr>
                    <a:xfrm>
                      <a:off x="0" y="0"/>
                      <a:ext cx="594270" cy="220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bounding of the VADUG space render the gradient matrix essentially zero almost everywhere, and undefined at the step boundaries.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an advanced, hybrid mathematical optimization framework is required to navigate the </w:t>
      </w:r>
      <w:r w:rsidDel="00000000" w:rsidR="00000000" w:rsidRPr="00000000">
        <w:rPr>
          <w:rFonts w:ascii="Google Sans" w:cs="Google Sans" w:eastAsia="Google Sans" w:hAnsi="Google Sans"/>
          <w:color w:val="1f1f1f"/>
        </w:rPr>
        <w:drawing>
          <wp:inline distB="19050" distT="19050" distL="19050" distR="19050">
            <wp:extent cx="778817" cy="218449"/>
            <wp:effectExtent b="0" l="0" r="0" t="0"/>
            <wp:docPr id="108"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778817" cy="218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search space and simultaneously maximize four conflicting objective functions without succumbing to the curse of dimensionality.</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Sensitivity Analysis for Dimensionality Reduction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Attempting to apply black-box optimization algorithms directly to a parameter space exceeding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10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 guarantees mathematical failure due to the curse of dimensionality, which results in an exponentially expanding search volume, the degradation of distance metrics, and vanishing gradients within probabilistic surrogate models.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first mathematical imperative is rigorous dimensionality reduction via Global Sensitivity Analysis (GSA). GSA systematically identifies which parameters in the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1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lexicon actually exert a statistically significant influence on the terminal benchmark scores, allowing uninfluential parameters to be frozen or eliminated from the active tuning space.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 of Morris (Elementary Effects)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Variance-based methods require millions of full-system evaluations to construct an accurate variance matrix, which is computationally intractable for a simulation of this scale.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Instead, the Method of Morris, a highly efficient screening-based sensitivity approach, is optimal for the initial reduction phase. The Morris method evaluates the Elementary Effect (EE) of each individual parameter across a randomized grid. The elementary effect for the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20"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parameter is defined by the finite difference derivative: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0177"/>
            <wp:effectExtent b="0" l="0" r="0" t="0"/>
            <wp:docPr id="22"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905500" cy="42017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12067" cy="224135"/>
            <wp:effectExtent b="0" l="0" r="0" t="0"/>
            <wp:docPr id="2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12067" cy="224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parameter vector, </w:t>
      </w:r>
      <w:r w:rsidDel="00000000" w:rsidR="00000000" w:rsidRPr="00000000">
        <w:rPr>
          <w:rFonts w:ascii="Google Sans" w:cs="Google Sans" w:eastAsia="Google Sans" w:hAnsi="Google Sans"/>
          <w:color w:val="1f1f1f"/>
        </w:rPr>
        <w:drawing>
          <wp:inline distB="19050" distT="19050" distL="19050" distR="19050">
            <wp:extent cx="153739" cy="221000"/>
            <wp:effectExtent b="0" l="0" r="0" t="0"/>
            <wp:docPr id="24"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predefined perturbation multiple across the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25"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-level quantization grid, and </w:t>
      </w:r>
      <w:r w:rsidDel="00000000" w:rsidR="00000000" w:rsidRPr="00000000">
        <w:rPr>
          <w:rFonts w:ascii="Google Sans" w:cs="Google Sans" w:eastAsia="Google Sans" w:hAnsi="Google Sans"/>
          <w:color w:val="1f1f1f"/>
        </w:rPr>
        <w:drawing>
          <wp:inline distB="19050" distT="19050" distL="19050" distR="19050">
            <wp:extent cx="150912" cy="226368"/>
            <wp:effectExtent b="0" l="0" r="0" t="0"/>
            <wp:docPr id="26"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50912" cy="2263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standard basis vector corresponding to the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2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parameter.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Two critical statistical metrics are extracted for each word's 5-tuple across </w:t>
      </w:r>
      <w:r w:rsidDel="00000000" w:rsidR="00000000" w:rsidRPr="00000000">
        <w:rPr>
          <w:rFonts w:ascii="Google Sans" w:cs="Google Sans" w:eastAsia="Google Sans" w:hAnsi="Google Sans"/>
          <w:color w:val="1f1f1f"/>
        </w:rPr>
        <w:drawing>
          <wp:inline distB="19050" distT="19050" distL="19050" distR="19050">
            <wp:extent cx="88255" cy="235347"/>
            <wp:effectExtent b="0" l="0" r="0" t="0"/>
            <wp:docPr id="28"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88255" cy="2353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independent trajectories: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2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(Modified Mean):</w:t>
      </w:r>
      <w:r w:rsidDel="00000000" w:rsidR="00000000" w:rsidRPr="00000000">
        <w:rPr>
          <w:rFonts w:ascii="Google Sans" w:cs="Google Sans" w:eastAsia="Google Sans" w:hAnsi="Google Sans"/>
          <w:color w:val="1f1f1f"/>
          <w:rtl w:val="0"/>
        </w:rPr>
        <w:t xml:space="preserve"> The absolute mean of the elementary effects, calculated as </w:t>
      </w:r>
      <w:r w:rsidDel="00000000" w:rsidR="00000000" w:rsidRPr="00000000">
        <w:rPr>
          <w:rFonts w:ascii="Google Sans" w:cs="Google Sans" w:eastAsia="Google Sans" w:hAnsi="Google Sans"/>
          <w:color w:val="1f1f1f"/>
        </w:rPr>
        <w:drawing>
          <wp:inline distB="19050" distT="19050" distL="19050" distR="19050">
            <wp:extent cx="1596781" cy="275635"/>
            <wp:effectExtent b="0" l="0" r="0" t="0"/>
            <wp:docPr id="30" name="image32.png"/>
            <a:graphic>
              <a:graphicData uri="http://schemas.openxmlformats.org/drawingml/2006/picture">
                <pic:pic>
                  <pic:nvPicPr>
                    <pic:cNvPr id="0" name="image32.png"/>
                    <pic:cNvPicPr preferRelativeResize="0"/>
                  </pic:nvPicPr>
                  <pic:blipFill>
                    <a:blip r:embed="rId43"/>
                    <a:srcRect b="0" l="0" r="0" t="0"/>
                    <a:stretch>
                      <a:fillRect/>
                    </a:stretch>
                  </pic:blipFill>
                  <pic:spPr>
                    <a:xfrm>
                      <a:off x="0" y="0"/>
                      <a:ext cx="1596781" cy="2756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high </w:t>
      </w: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1"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indicates that a word's force vector significantly influences the macroscopic benchmark outputs.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2"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(Standard Deviation):</w:t>
      </w:r>
      <w:r w:rsidDel="00000000" w:rsidR="00000000" w:rsidRPr="00000000">
        <w:rPr>
          <w:rFonts w:ascii="Google Sans" w:cs="Google Sans" w:eastAsia="Google Sans" w:hAnsi="Google Sans"/>
          <w:color w:val="1f1f1f"/>
          <w:rtl w:val="0"/>
        </w:rPr>
        <w:t xml:space="preserve"> The variance of the elementary effects. A high standard deviation indicates that the word's impact is highly non-linear or relies heavily on complex interactions with other parameters, such as intensity ramps or chameleon modifiers.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empirical linguistic datasets, word frequency distributions universally follow Zipf's Law. It is mathematically highly probable that fewer than </w:t>
      </w:r>
      <w:r w:rsidDel="00000000" w:rsidR="00000000" w:rsidRPr="00000000">
        <w:rPr>
          <w:rFonts w:ascii="Google Sans" w:cs="Google Sans" w:eastAsia="Google Sans" w:hAnsi="Google Sans"/>
          <w:color w:val="1f1f1f"/>
        </w:rPr>
        <w:drawing>
          <wp:inline distB="19050" distT="19050" distL="19050" distR="19050">
            <wp:extent cx="450950" cy="220678"/>
            <wp:effectExtent b="0" l="0" r="0" t="0"/>
            <wp:docPr id="3"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450950" cy="2206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words from the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lexicon possess a </w:t>
      </w: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5"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value high enough to meaningfully perturb the objective functions on standard corpuses. The Morris method allows the parameter space to be reliably screened using a fraction of the computational hours required by variance-based models, effectively reducing the active tuning space from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roughly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7"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highly sensitive parameters.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Variance-Based Sobol Indices for Interaction Mapping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parameter space is reduced to the most highly active subset via Morris screening, variance-based Sobol Sensitivity Indices can be applied to rigorously map the interactions between the word forces,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8"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intensity ramps, and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9"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gravity words. Sobol methods decompose the total variance of the model output </w:t>
      </w:r>
      <w:r w:rsidDel="00000000" w:rsidR="00000000" w:rsidRPr="00000000">
        <w:rPr>
          <w:rFonts w:ascii="Google Sans" w:cs="Google Sans" w:eastAsia="Google Sans" w:hAnsi="Google Sans"/>
          <w:color w:val="1f1f1f"/>
        </w:rPr>
        <w:drawing>
          <wp:inline distB="19050" distT="19050" distL="19050" distR="19050">
            <wp:extent cx="440085" cy="229609"/>
            <wp:effectExtent b="0" l="0" r="0" t="0"/>
            <wp:docPr id="10"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440085" cy="229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fractions attributable to individual parameters and their higher-order combinations.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primary indices are formulated as: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43" name="image39.png"/>
            <a:graphic>
              <a:graphicData uri="http://schemas.openxmlformats.org/drawingml/2006/picture">
                <pic:pic>
                  <pic:nvPicPr>
                    <pic:cNvPr id="0" name="image39.png"/>
                    <pic:cNvPicPr preferRelativeResize="0"/>
                  </pic:nvPicPr>
                  <pic:blipFill>
                    <a:blip r:embed="rId48"/>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6836" cy="222448"/>
            <wp:effectExtent b="0" l="0" r="0" t="0"/>
            <wp:docPr id="44"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66836" cy="222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first-order (main) effect, measuring the contribution to the output variance of the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4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parameter acting alone. </w:t>
      </w:r>
      <w:r w:rsidDel="00000000" w:rsidR="00000000" w:rsidRPr="00000000">
        <w:rPr>
          <w:rFonts w:ascii="Google Sans" w:cs="Google Sans" w:eastAsia="Google Sans" w:hAnsi="Google Sans"/>
          <w:color w:val="1f1f1f"/>
        </w:rPr>
        <w:drawing>
          <wp:inline distB="19050" distT="19050" distL="19050" distR="19050">
            <wp:extent cx="238572" cy="229029"/>
            <wp:effectExtent b="0" l="0" r="0" t="0"/>
            <wp:docPr id="46"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238572" cy="229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total effect, measuring the contribution to the output variance of the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4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parameter, including all variance caused by its interactions, of any order, with any other input variables.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692200" cy="227573"/>
            <wp:effectExtent b="0" l="0" r="0" t="0"/>
            <wp:docPr id="48" name="image35.png"/>
            <a:graphic>
              <a:graphicData uri="http://schemas.openxmlformats.org/drawingml/2006/picture">
                <pic:pic>
                  <pic:nvPicPr>
                    <pic:cNvPr id="0" name="image35.png"/>
                    <pic:cNvPicPr preferRelativeResize="0"/>
                  </pic:nvPicPr>
                  <pic:blipFill>
                    <a:blip r:embed="rId51"/>
                    <a:srcRect b="0" l="0" r="0" t="0"/>
                    <a:stretch>
                      <a:fillRect/>
                    </a:stretch>
                  </pic:blipFill>
                  <pic:spPr>
                    <a:xfrm>
                      <a:off x="0" y="0"/>
                      <a:ext cx="692200" cy="2275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a specific relationship gravity word or intensity ramp, it provides mathematical proof that the parameter's influence is heavily dependent on context combinations. Parameters with high first-order indices but low interaction indices can be optimized independently using rapid one-dimensional search techniques, while highly interactive parameters must be optimized jointly using block-wise or population-based algorithms.</w:t>
      </w:r>
      <w:r w:rsidDel="00000000" w:rsidR="00000000" w:rsidRPr="00000000">
        <w:rPr>
          <w:rFonts w:ascii="Google Sans" w:cs="Google Sans" w:eastAsia="Google Sans" w:hAnsi="Google Sans"/>
          <w:color w:val="444746"/>
          <w:sz w:val="24"/>
          <w:szCs w:val="24"/>
          <w:vertAlign w:val="superscript"/>
          <w:rtl w:val="0"/>
        </w:rPr>
        <w:t xml:space="preserve">19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Computational Cost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Output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 in Pipeline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 of Morris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w:t>
            </w:r>
            <w:r w:rsidDel="00000000" w:rsidR="00000000" w:rsidRPr="00000000">
              <w:rPr>
                <w:rFonts w:ascii="Google Sans" w:cs="Google Sans" w:eastAsia="Google Sans" w:hAnsi="Google Sans"/>
                <w:color w:val="1f1f1f"/>
              </w:rPr>
              <w:drawing>
                <wp:inline distB="19050" distT="19050" distL="19050" distR="19050">
                  <wp:extent cx="704850" cy="228600"/>
                  <wp:effectExtent b="0" l="0" r="0" t="0"/>
                  <wp:docPr id="49" name="image33.png"/>
                  <a:graphic>
                    <a:graphicData uri="http://schemas.openxmlformats.org/drawingml/2006/picture">
                      <pic:pic>
                        <pic:nvPicPr>
                          <pic:cNvPr id="0" name="image33.png"/>
                          <pic:cNvPicPr preferRelativeResize="0"/>
                        </pic:nvPicPr>
                        <pic:blipFill>
                          <a:blip r:embed="rId52"/>
                          <a:srcRect b="0" l="0" r="0" t="0"/>
                          <a:stretch>
                            <a:fillRect/>
                          </a:stretch>
                        </pic:blipFill>
                        <pic:spPr>
                          <a:xfrm>
                            <a:off x="0" y="0"/>
                            <a:ext cx="7048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50"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51"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Screening the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5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lexicon to eliminate variables with negligible impact on the global loss landscape.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Sobol Indices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66836" cy="222448"/>
                  <wp:effectExtent b="0" l="0" r="0" t="0"/>
                  <wp:docPr id="4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166836" cy="2224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238572" cy="229029"/>
                  <wp:effectExtent b="0" l="0" r="0" t="0"/>
                  <wp:docPr id="33" name="image29.png"/>
                  <a:graphic>
                    <a:graphicData uri="http://schemas.openxmlformats.org/drawingml/2006/picture">
                      <pic:pic>
                        <pic:nvPicPr>
                          <pic:cNvPr id="0" name="image29.png"/>
                          <pic:cNvPicPr preferRelativeResize="0"/>
                        </pic:nvPicPr>
                        <pic:blipFill>
                          <a:blip r:embed="rId50"/>
                          <a:srcRect b="0" l="0" r="0" t="0"/>
                          <a:stretch>
                            <a:fillRect/>
                          </a:stretch>
                        </pic:blipFill>
                        <pic:spPr>
                          <a:xfrm>
                            <a:off x="0" y="0"/>
                            <a:ext cx="238572" cy="22902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the non-linear interaction dependencies between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34"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ramps,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35"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gravity words, and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3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chameleon variables.</w:t>
            </w:r>
          </w:p>
        </w:tc>
      </w:tr>
    </w:tbl>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Transforming Non-Differentiable Rules via Differentiable Surrogates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reduced parameter space identified, the non-differentiability of the rule-based pendulum engine remains a critical barrier to optimization. Traditional gradient-free optimization strategies, such as Nelder-Mead, the DIRECT algorithm, or basic Simulated Annealing, become highly inefficient and suffer from exponential convergence times for search spaces larger than a few hundred parameters.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To harness the extreme scalability of modern gradient-based optimization frameworks (such as Adam or L-BFGS), the discrete physics engine must be mathematically approximated by a fully differentiable surrogate model.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Physics-Informed Differentiable Surrogates (DiffTune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system processes text as a sequence of discrete kinetic impulses applied to a continuous physical model. This dynamic behavior can be captured by treating the rule-based engine as a black-box function and fitting a Neural Ordinary Differential Equation (Neural ODE) or a specialized recurrent architecture to simulate the exact trajectory of the VADUG coordinates over time.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Let the VADUG state at word index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37"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 represented by the vector </w:t>
      </w:r>
      <w:r w:rsidDel="00000000" w:rsidR="00000000" w:rsidRPr="00000000">
        <w:rPr>
          <w:rFonts w:ascii="Google Sans" w:cs="Google Sans" w:eastAsia="Google Sans" w:hAnsi="Google Sans"/>
          <w:color w:val="1f1f1f"/>
        </w:rPr>
        <w:drawing>
          <wp:inline distB="19050" distT="19050" distL="19050" distR="19050">
            <wp:extent cx="760363" cy="237613"/>
            <wp:effectExtent b="0" l="0" r="0" t="0"/>
            <wp:docPr id="38" name="image34.png"/>
            <a:graphic>
              <a:graphicData uri="http://schemas.openxmlformats.org/drawingml/2006/picture">
                <pic:pic>
                  <pic:nvPicPr>
                    <pic:cNvPr id="0" name="image34.png"/>
                    <pic:cNvPicPr preferRelativeResize="0"/>
                  </pic:nvPicPr>
                  <pic:blipFill>
                    <a:blip r:embed="rId54"/>
                    <a:srcRect b="0" l="0" r="0" t="0"/>
                    <a:stretch>
                      <a:fillRect/>
                    </a:stretch>
                  </pic:blipFill>
                  <pic:spPr>
                    <a:xfrm>
                      <a:off x="0" y="0"/>
                      <a:ext cx="760363" cy="237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update rule of the engine can be approximated by a continuous-time formulation: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0177"/>
            <wp:effectExtent b="0" l="0" r="0" t="0"/>
            <wp:docPr id="39" name="image31.png"/>
            <a:graphic>
              <a:graphicData uri="http://schemas.openxmlformats.org/drawingml/2006/picture">
                <pic:pic>
                  <pic:nvPicPr>
                    <pic:cNvPr id="0" name="image31.png"/>
                    <pic:cNvPicPr preferRelativeResize="0"/>
                  </pic:nvPicPr>
                  <pic:blipFill>
                    <a:blip r:embed="rId55"/>
                    <a:srcRect b="0" l="0" r="0" t="0"/>
                    <a:stretch>
                      <a:fillRect/>
                    </a:stretch>
                  </pic:blipFill>
                  <pic:spPr>
                    <a:xfrm>
                      <a:off x="0" y="0"/>
                      <a:ext cx="5905500" cy="42017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63711" cy="231121"/>
            <wp:effectExtent b="0" l="0" r="0" t="0"/>
            <wp:docPr id="40"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163711" cy="231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deep neural network parameterized by continuous weights </w:t>
      </w:r>
      <w:r w:rsidDel="00000000" w:rsidR="00000000" w:rsidRPr="00000000">
        <w:rPr>
          <w:rFonts w:ascii="Google Sans" w:cs="Google Sans" w:eastAsia="Google Sans" w:hAnsi="Google Sans"/>
          <w:color w:val="1f1f1f"/>
        </w:rPr>
        <w:drawing>
          <wp:inline distB="19050" distT="19050" distL="19050" distR="19050">
            <wp:extent cx="91678" cy="220028"/>
            <wp:effectExtent b="0" l="0" r="0" t="0"/>
            <wp:docPr id="41" name="image27.png"/>
            <a:graphic>
              <a:graphicData uri="http://schemas.openxmlformats.org/drawingml/2006/picture">
                <pic:pic>
                  <pic:nvPicPr>
                    <pic:cNvPr id="0" name="image27.png"/>
                    <pic:cNvPicPr preferRelativeResize="0"/>
                  </pic:nvPicPr>
                  <pic:blipFill>
                    <a:blip r:embed="rId57"/>
                    <a:srcRect b="0" l="0" r="0" t="0"/>
                    <a:stretch>
                      <a:fillRect/>
                    </a:stretch>
                  </pic:blipFill>
                  <pic:spPr>
                    <a:xfrm>
                      <a:off x="0" y="0"/>
                      <a:ext cx="91678" cy="220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66266" cy="240964"/>
            <wp:effectExtent b="0" l="0" r="0" t="0"/>
            <wp:docPr id="31"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366266" cy="2409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continuous embedding of the word force tuple acting at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32"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generating a massive dataset of input texts and observing the exact deterministic VADUG outputs of the hardcoded rule-based engine, the neural surrogate </w:t>
      </w:r>
      <w:r w:rsidDel="00000000" w:rsidR="00000000" w:rsidRPr="00000000">
        <w:rPr>
          <w:rFonts w:ascii="Google Sans" w:cs="Google Sans" w:eastAsia="Google Sans" w:hAnsi="Google Sans"/>
          <w:color w:val="1f1f1f"/>
        </w:rPr>
        <w:drawing>
          <wp:inline distB="19050" distT="19050" distL="19050" distR="19050">
            <wp:extent cx="163711" cy="231121"/>
            <wp:effectExtent b="0" l="0" r="0" t="0"/>
            <wp:docPr id="78"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163711" cy="2311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trained to minimize the Mean Squared Error (MSE) between its continuous predictions and the rule-based engine's discrete outputs.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surrogate model achieves a near-zero replication error, a framework analogous to the "DiffTune" methodology can be deployed.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parameters of the surrogate—which directly correspond to the word forces, intensity ramps, and momentum coefficients—are now fully differentiable. By evaluating the surrogate's predictions against the gold-standard labels of the actual NLP benchmarks (utilizing cross-entropy loss for SST-2, multi-label binary cross-entropy for GoEmotions, and Pearson correlation loss for EmoBank), standard backpropagation can be used to compute gradients across the entire lexicon simultaneously: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80" name="image51.png"/>
            <a:graphic>
              <a:graphicData uri="http://schemas.openxmlformats.org/drawingml/2006/picture">
                <pic:pic>
                  <pic:nvPicPr>
                    <pic:cNvPr id="0" name="image51.png"/>
                    <pic:cNvPicPr preferRelativeResize="0"/>
                  </pic:nvPicPr>
                  <pic:blipFill>
                    <a:blip r:embed="rId59"/>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Gradient descent algorithms can smoothly update the </w:t>
      </w:r>
      <w:r w:rsidDel="00000000" w:rsidR="00000000" w:rsidRPr="00000000">
        <w:rPr>
          <w:rFonts w:ascii="Google Sans" w:cs="Google Sans" w:eastAsia="Google Sans" w:hAnsi="Google Sans"/>
          <w:color w:val="1f1f1f"/>
        </w:rPr>
        <w:drawing>
          <wp:inline distB="19050" distT="19050" distL="19050" distR="19050">
            <wp:extent cx="686544" cy="219313"/>
            <wp:effectExtent b="0" l="0" r="0" t="0"/>
            <wp:docPr id="81"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686544" cy="219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word force parameters in the continuous domain. After convergence is reached in the continuous space, these continuous floating-point vectors are quantized back into the discrete $$ integer space required by the original production engine. This surrogate optimization approach dramatically bypasses the computational limitations of purely gradient-free algorithms, efficiently navigating the high-dimensional landscape.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Coordinate Descent for Massive Parameter Spaces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Even with a differentiable surrogate, updating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82"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variables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84"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words </w:t>
      </w:r>
      <w:r w:rsidDel="00000000" w:rsidR="00000000" w:rsidRPr="00000000">
        <w:rPr>
          <w:rFonts w:ascii="Google Sans" w:cs="Google Sans" w:eastAsia="Google Sans" w:hAnsi="Google Sans"/>
          <w:color w:val="1f1f1f"/>
        </w:rPr>
        <w:drawing>
          <wp:inline distB="19050" distT="19050" distL="19050" distR="19050">
            <wp:extent cx="143470" cy="219988"/>
            <wp:effectExtent b="0" l="0" r="0" t="0"/>
            <wp:docPr id="86"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143470" cy="219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 dimensions) simultaneously can lead to catastrophic forgetting or severe memory bottlenecks during optimization. The application of Block Coordinate Descent (BCD), specifically paired with adaptive moment estimation algorithms (such as BAdam), provides a mathematically sound resolution.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coordinate descent operates by dividing the massive parameter vector </w:t>
      </w:r>
      <w:r w:rsidDel="00000000" w:rsidR="00000000" w:rsidRPr="00000000">
        <w:rPr>
          <w:rFonts w:ascii="Google Sans" w:cs="Google Sans" w:eastAsia="Google Sans" w:hAnsi="Google Sans"/>
          <w:color w:val="1f1f1f"/>
        </w:rPr>
        <w:drawing>
          <wp:inline distB="19050" distT="19050" distL="19050" distR="19050">
            <wp:extent cx="597545" cy="227636"/>
            <wp:effectExtent b="0" l="0" r="0" t="0"/>
            <wp:docPr id="88" name="image70.png"/>
            <a:graphic>
              <a:graphicData uri="http://schemas.openxmlformats.org/drawingml/2006/picture">
                <pic:pic>
                  <pic:nvPicPr>
                    <pic:cNvPr id="0" name="image70.png"/>
                    <pic:cNvPicPr preferRelativeResize="0"/>
                  </pic:nvPicPr>
                  <pic:blipFill>
                    <a:blip r:embed="rId63"/>
                    <a:srcRect b="0" l="0" r="0" t="0"/>
                    <a:stretch>
                      <a:fillRect/>
                    </a:stretch>
                  </pic:blipFill>
                  <pic:spPr>
                    <a:xfrm>
                      <a:off x="0" y="0"/>
                      <a:ext cx="597545" cy="2276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into mutually exclusive blocks </w:t>
      </w:r>
      <w:r w:rsidDel="00000000" w:rsidR="00000000" w:rsidRPr="00000000">
        <w:rPr>
          <w:rFonts w:ascii="Google Sans" w:cs="Google Sans" w:eastAsia="Google Sans" w:hAnsi="Google Sans"/>
          <w:color w:val="1f1f1f"/>
        </w:rPr>
        <w:drawing>
          <wp:inline distB="19050" distT="19050" distL="19050" distR="19050">
            <wp:extent cx="789087" cy="228170"/>
            <wp:effectExtent b="0" l="0" r="0" t="0"/>
            <wp:docPr id="90"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789087" cy="228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each iteration </w:t>
      </w:r>
      <w:r w:rsidDel="00000000" w:rsidR="00000000" w:rsidRPr="00000000">
        <w:rPr>
          <w:rFonts w:ascii="Google Sans" w:cs="Google Sans" w:eastAsia="Google Sans" w:hAnsi="Google Sans"/>
          <w:color w:val="1f1f1f"/>
        </w:rPr>
        <w:drawing>
          <wp:inline distB="19050" distT="19050" distL="19050" distR="19050">
            <wp:extent cx="86469" cy="230584"/>
            <wp:effectExtent b="0" l="0" r="0" t="0"/>
            <wp:docPr id="74"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86469" cy="2305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minimizes the objective function with respect to a single block while holding all other blocks constant: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91398"/>
            <wp:effectExtent b="0" l="0" r="0" t="0"/>
            <wp:docPr id="75" name="image58.png"/>
            <a:graphic>
              <a:graphicData uri="http://schemas.openxmlformats.org/drawingml/2006/picture">
                <pic:pic>
                  <pic:nvPicPr>
                    <pic:cNvPr id="0" name="image58.png"/>
                    <pic:cNvPicPr preferRelativeResize="0"/>
                  </pic:nvPicPr>
                  <pic:blipFill>
                    <a:blip r:embed="rId66"/>
                    <a:srcRect b="0" l="0" r="0" t="0"/>
                    <a:stretch>
                      <a:fillRect/>
                    </a:stretch>
                  </pic:blipFill>
                  <pic:spPr>
                    <a:xfrm>
                      <a:off x="0" y="0"/>
                      <a:ext cx="5905500" cy="39139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treating the Valence, Arousal, Dominance, Urgency, and Gravity arrays as separate functional blocks, the optimizer can isolate the gradients pertaining strictly to one physical dimension at a time. This prevents the gradients of the highly-performant Valence dimension (which currently drives the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7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TweetEval score) from aggressively overwhelming and destabilizing the fragile Arousal and Dominance dimensions during the backward pass.</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Optimization 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Algorithm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Constraint Addressed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Surrogate Construction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ODE / PINN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Bypasses the strict non-differentiability of the step-wise discrete mathematical formulas.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Global Lexicon Tuning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Backpropagation via DiffTune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the impossibility of using genetic algorithms on </w:t>
            </w:r>
            <w:r w:rsidDel="00000000" w:rsidR="00000000" w:rsidRPr="00000000">
              <w:rPr>
                <w:rFonts w:ascii="Google Sans" w:cs="Google Sans" w:eastAsia="Google Sans" w:hAnsi="Google Sans"/>
                <w:color w:val="1f1f1f"/>
              </w:rPr>
              <w:drawing>
                <wp:inline distB="19050" distT="19050" distL="19050" distR="19050">
                  <wp:extent cx="686544" cy="219313"/>
                  <wp:effectExtent b="0" l="0" r="0" t="0"/>
                  <wp:docPr id="61" name="image45.png"/>
                  <a:graphic>
                    <a:graphicData uri="http://schemas.openxmlformats.org/drawingml/2006/picture">
                      <pic:pic>
                        <pic:nvPicPr>
                          <pic:cNvPr id="0" name="image45.png"/>
                          <pic:cNvPicPr preferRelativeResize="0"/>
                        </pic:nvPicPr>
                        <pic:blipFill>
                          <a:blip r:embed="rId67"/>
                          <a:srcRect b="0" l="0" r="0" t="0"/>
                          <a:stretch>
                            <a:fillRect/>
                          </a:stretch>
                        </pic:blipFill>
                        <pic:spPr>
                          <a:xfrm>
                            <a:off x="0" y="0"/>
                            <a:ext cx="686544" cy="219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continuous numerical variables.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&amp; Stability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Block Coordinate Descent (BAdam)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gradient interference between orthogonal VADUG dimensions during parameter updates.</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High-Dimensional Bayesian Optimization for Kinematic Hyperparameters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differentiable surrogate excels at mass-tuning the independent 5-tuple word forces, it is mathematically suboptimal for tuning the overarching physical hyperparameters of the engine. The exponential decay momentum term (</w:t>
      </w:r>
      <w:r w:rsidDel="00000000" w:rsidR="00000000" w:rsidRPr="00000000">
        <w:rPr>
          <w:rFonts w:ascii="Google Sans" w:cs="Google Sans" w:eastAsia="Google Sans" w:hAnsi="Google Sans"/>
          <w:color w:val="1f1f1f"/>
        </w:rPr>
        <w:drawing>
          <wp:inline distB="19050" distT="19050" distL="19050" distR="19050">
            <wp:extent cx="471636" cy="226385"/>
            <wp:effectExtent b="0" l="0" r="0" t="0"/>
            <wp:docPr id="63"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71636" cy="22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kinetic cap scalar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65"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interaction scalars for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6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chameleon words, and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69"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multi-word decay intensity ramps govern the macro-behavior of the entire system. These represent a much smaller, yet highly non-linear and sensitive, continuous search space (approximately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70"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72"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that dictates the mathematical topology of the physical simulation.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Bayesian Optimization (BO) is universally recognized as the superior mathematical method for optimizing these types of global variables due to its extreme sample efficiency in exploring expensive, non-convex black-box functions.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standard Gaussian Process (GP) based BO scales poorly beyond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54" name="image43.png"/>
            <a:graphic>
              <a:graphicData uri="http://schemas.openxmlformats.org/drawingml/2006/picture">
                <pic:pic>
                  <pic:nvPicPr>
                    <pic:cNvPr id="0" name="image43.png"/>
                    <pic:cNvPicPr preferRelativeResize="0"/>
                  </pic:nvPicPr>
                  <pic:blipFill>
                    <a:blip r:embed="rId7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56" name="image44.png"/>
            <a:graphic>
              <a:graphicData uri="http://schemas.openxmlformats.org/drawingml/2006/picture">
                <pic:pic>
                  <pic:nvPicPr>
                    <pic:cNvPr id="0" name="image44.png"/>
                    <pic:cNvPicPr preferRelativeResize="0"/>
                  </pic:nvPicPr>
                  <pic:blipFill>
                    <a:blip r:embed="rId72"/>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adapt BO to this medium-to-high dimensional hyperparameter set, specialized, state-of-the-art frameworks must be combined.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Sparse Axis-Aligned Subspace BO (SAASBO)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SAASBO is specifically engineered for high-dimensional settings containing up to several hundred parameters. It operates on the mathematical premise that in complex systems, only a sparse subset of hyperparameters dictates the vast majority of the variance—a phenomenon closely related to the effective, or intrinsic, dimensionality of the objective function.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GP models struggle in high dimensions because their kernel lengthscales become uniformly large, leading to vanishing gradients and flat acquisition functions.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SAASBO mitigates this by applying a sparsity-inducing hierarchical prior to the inverse lengthscales (</w:t>
      </w:r>
      <w:r w:rsidDel="00000000" w:rsidR="00000000" w:rsidRPr="00000000">
        <w:rPr>
          <w:rFonts w:ascii="Google Sans" w:cs="Google Sans" w:eastAsia="Google Sans" w:hAnsi="Google Sans"/>
          <w:color w:val="1f1f1f"/>
        </w:rPr>
        <w:drawing>
          <wp:inline distB="19050" distT="19050" distL="19050" distR="19050">
            <wp:extent cx="171599" cy="228798"/>
            <wp:effectExtent b="0" l="0" r="0" t="0"/>
            <wp:docPr id="57" name="image42.png"/>
            <a:graphic>
              <a:graphicData uri="http://schemas.openxmlformats.org/drawingml/2006/picture">
                <pic:pic>
                  <pic:nvPicPr>
                    <pic:cNvPr id="0" name="image42.png"/>
                    <pic:cNvPicPr preferRelativeResize="0"/>
                  </pic:nvPicPr>
                  <pic:blipFill>
                    <a:blip r:embed="rId73"/>
                    <a:srcRect b="0" l="0" r="0" t="0"/>
                    <a:stretch>
                      <a:fillRect/>
                    </a:stretch>
                  </pic:blipFill>
                  <pic:spPr>
                    <a:xfrm>
                      <a:off x="0" y="0"/>
                      <a:ext cx="171599" cy="228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Automatic Relevance Determination (ARD) kernel: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59" name="image40.png"/>
            <a:graphic>
              <a:graphicData uri="http://schemas.openxmlformats.org/drawingml/2006/picture">
                <pic:pic>
                  <pic:nvPicPr>
                    <pic:cNvPr id="0" name="image40.png"/>
                    <pic:cNvPicPr preferRelativeResize="0"/>
                  </pic:nvPicPr>
                  <pic:blipFill>
                    <a:blip r:embed="rId7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22" name="image79.png"/>
            <a:graphic>
              <a:graphicData uri="http://schemas.openxmlformats.org/drawingml/2006/picture">
                <pic:pic>
                  <pic:nvPicPr>
                    <pic:cNvPr id="0" name="image79.png"/>
                    <pic:cNvPicPr preferRelativeResize="0"/>
                  </pic:nvPicPr>
                  <pic:blipFill>
                    <a:blip r:embed="rId75"/>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265509" cy="218097"/>
            <wp:effectExtent b="0" l="0" r="0" t="0"/>
            <wp:docPr id="125" name="image87.png"/>
            <a:graphic>
              <a:graphicData uri="http://schemas.openxmlformats.org/drawingml/2006/picture">
                <pic:pic>
                  <pic:nvPicPr>
                    <pic:cNvPr id="0" name="image87.png"/>
                    <pic:cNvPicPr preferRelativeResize="0"/>
                  </pic:nvPicPr>
                  <pic:blipFill>
                    <a:blip r:embed="rId76"/>
                    <a:srcRect b="0" l="0" r="0" t="0"/>
                    <a:stretch>
                      <a:fillRect/>
                    </a:stretch>
                  </pic:blipFill>
                  <pic:spPr>
                    <a:xfrm>
                      <a:off x="0" y="0"/>
                      <a:ext cx="265509" cy="218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heavily-tailed Half-Cauchy distribution.</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strong prior forces the inverse lengthscales of uninfluential parameters toward zero, effectively removing them from the covariance matrix computation. Inference is performed using Hamiltonian Monte Carlo (HMC) rather than simple Maximum a Posteriori (MAP) estimation. HMC preserves posterior uncertainty over the active subspace and prevents premature convergence on local optima.</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allows the optimization algorithm to discover optimal settings for the engine's critical decay vectors and interaction caps without being mathematically confused by the less relevant heuristic scalars.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Region Bayesian Optimization (TuRBO)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BO surrogate from being spread too thinly across the large volume of the parameter space, TuRBO is applied in conjunction with the SAASBO subspace identification. TuRBO replaces a single global GP with a collection of independent, local GPs operating within dynamically sized hyper-rectangular trust regions.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trust region limits the acquisition function (such as Expected Improvement or Upper Confidence Bound) to a localized neighborhood around the best-found solutions. If the search yields consecutive improvements, the trust region expands to accelerate descent; if it yields consecutive failures, the region contracts to pinpoint the exact local minimum. The side length of the trust region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128" name="image95.png"/>
            <a:graphic>
              <a:graphicData uri="http://schemas.openxmlformats.org/drawingml/2006/picture">
                <pic:pic>
                  <pic:nvPicPr>
                    <pic:cNvPr id="0" name="image95.png"/>
                    <pic:cNvPicPr preferRelativeResize="0"/>
                  </pic:nvPicPr>
                  <pic:blipFill>
                    <a:blip r:embed="rId77"/>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3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 iteration is updated via: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8026"/>
            <wp:effectExtent b="0" l="0" r="0" t="0"/>
            <wp:docPr id="133" name="image82.png"/>
            <a:graphic>
              <a:graphicData uri="http://schemas.openxmlformats.org/drawingml/2006/picture">
                <pic:pic>
                  <pic:nvPicPr>
                    <pic:cNvPr id="0" name="image82.png"/>
                    <pic:cNvPicPr preferRelativeResize="0"/>
                  </pic:nvPicPr>
                  <pic:blipFill>
                    <a:blip r:embed="rId78"/>
                    <a:srcRect b="0" l="0" r="0" t="0"/>
                    <a:stretch>
                      <a:fillRect/>
                    </a:stretch>
                  </pic:blipFill>
                  <pic:spPr>
                    <a:xfrm>
                      <a:off x="0" y="0"/>
                      <a:ext cx="5905500" cy="518026"/>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fundamentally converts global exploration into a highly efficient local search. TuRBO is ideal for fine-tuning the physics engine's momentum (</w:t>
      </w:r>
      <w:r w:rsidDel="00000000" w:rsidR="00000000" w:rsidRPr="00000000">
        <w:rPr>
          <w:rFonts w:ascii="Google Sans" w:cs="Google Sans" w:eastAsia="Google Sans" w:hAnsi="Google Sans"/>
          <w:color w:val="1f1f1f"/>
        </w:rPr>
        <w:drawing>
          <wp:inline distB="19050" distT="19050" distL="19050" distR="19050">
            <wp:extent cx="620464" cy="229094"/>
            <wp:effectExtent b="0" l="0" r="0" t="0"/>
            <wp:docPr id="136" name="image96.png"/>
            <a:graphic>
              <a:graphicData uri="http://schemas.openxmlformats.org/drawingml/2006/picture">
                <pic:pic>
                  <pic:nvPicPr>
                    <pic:cNvPr id="0" name="image96.png"/>
                    <pic:cNvPicPr preferRelativeResize="0"/>
                  </pic:nvPicPr>
                  <pic:blipFill>
                    <a:blip r:embed="rId23"/>
                    <a:srcRect b="0" l="0" r="0" t="0"/>
                    <a:stretch>
                      <a:fillRect/>
                    </a:stretch>
                  </pic:blipFill>
                  <pic:spPr>
                    <a:xfrm>
                      <a:off x="0" y="0"/>
                      <a:ext cx="620464" cy="2290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decay parameters once they are reasonably close to the optimum, achieving exceptional sample efficiency on high-dimensional non-convex surfaces.</w:t>
      </w:r>
      <w:r w:rsidDel="00000000" w:rsidR="00000000" w:rsidRPr="00000000">
        <w:rPr>
          <w:rFonts w:ascii="Google Sans" w:cs="Google Sans" w:eastAsia="Google Sans" w:hAnsi="Google Sans"/>
          <w:color w:val="444746"/>
          <w:sz w:val="24"/>
          <w:szCs w:val="24"/>
          <w:vertAlign w:val="superscript"/>
          <w:rtl w:val="0"/>
        </w:rPr>
        <w:t xml:space="preserve">37</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Bayesian Optimization Variant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to Emotional Physics Engine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Gaussian Process 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covariance matrix optimization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Fails due to vanishing gradients in spaces </w:t>
            </w:r>
            <w:r w:rsidDel="00000000" w:rsidR="00000000" w:rsidRPr="00000000">
              <w:rPr>
                <w:rFonts w:ascii="Google Sans" w:cs="Google Sans" w:eastAsia="Google Sans" w:hAnsi="Google Sans"/>
                <w:color w:val="1f1f1f"/>
              </w:rPr>
              <w:drawing>
                <wp:inline distB="19050" distT="19050" distL="19050" distR="19050">
                  <wp:extent cx="379065" cy="217963"/>
                  <wp:effectExtent b="0" l="0" r="0" t="0"/>
                  <wp:docPr id="18" name="image15.png"/>
                  <a:graphic>
                    <a:graphicData uri="http://schemas.openxmlformats.org/drawingml/2006/picture">
                      <pic:pic>
                        <pic:nvPicPr>
                          <pic:cNvPr id="0" name="image15.png"/>
                          <pic:cNvPicPr preferRelativeResize="0"/>
                        </pic:nvPicPr>
                        <pic:blipFill>
                          <a:blip r:embed="rId79"/>
                          <a:srcRect b="0" l="0" r="0" t="0"/>
                          <a:stretch>
                            <a:fillRect/>
                          </a:stretch>
                        </pic:blipFill>
                        <pic:spPr>
                          <a:xfrm>
                            <a:off x="0" y="0"/>
                            <a:ext cx="379065" cy="217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SAASBO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Half-Cauchy priors on inverse lengthscales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Identifies which of the </w:t>
            </w:r>
            <w:r w:rsidDel="00000000" w:rsidR="00000000" w:rsidRPr="00000000">
              <w:rPr>
                <w:rFonts w:ascii="Google Sans" w:cs="Google Sans" w:eastAsia="Google Sans" w:hAnsi="Google Sans"/>
                <w:color w:val="1f1f1f"/>
              </w:rPr>
              <w:drawing>
                <wp:inline distB="19050" distT="19050" distL="19050" distR="19050">
                  <wp:extent cx="276672" cy="219429"/>
                  <wp:effectExtent b="0" l="0" r="0" t="0"/>
                  <wp:docPr id="1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276672" cy="219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idioms and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2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chameleon words actually influence the trajectory, ignoring the 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TuRBO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hyper-rectangular trust regions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Rapidly fine-tunes the exponential decay variable (</w:t>
            </w:r>
            <w:r w:rsidDel="00000000" w:rsidR="00000000" w:rsidRPr="00000000">
              <w:rPr>
                <w:rFonts w:ascii="Google Sans" w:cs="Google Sans" w:eastAsia="Google Sans" w:hAnsi="Google Sans"/>
                <w:color w:val="1f1f1f"/>
              </w:rPr>
              <w:drawing>
                <wp:inline distB="19050" distT="19050" distL="19050" distR="19050">
                  <wp:extent cx="471636" cy="226385"/>
                  <wp:effectExtent b="0" l="0" r="0" t="0"/>
                  <wp:docPr id="19"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471636" cy="226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maximize Arousal accuracy without destroying existing functionality.</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Multi-Objective Optimization for Conflicting Benchmarks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performance metrics indicate a heavily imbalanced optimization state. The engine operates effectively on binary and categorical polarity tasks (SST-2 at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TweetEval at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fails severely on multi-label distribution (GoEmotions at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16"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continuous dimensional scaling (EmoBank Arousal at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multi-task evaluation, optimizing for binary accuracy often inherently degrades continuous dimensional correlation, creating a mathematically conflicting multi-objective optimization problem (MOP).</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objective function must be formulated as a vector </w:t>
      </w:r>
      <w:r w:rsidDel="00000000" w:rsidR="00000000" w:rsidRPr="00000000">
        <w:rPr>
          <w:rFonts w:ascii="Google Sans" w:cs="Google Sans" w:eastAsia="Google Sans" w:hAnsi="Google Sans"/>
          <w:color w:val="1f1f1f"/>
        </w:rPr>
        <w:drawing>
          <wp:inline distB="19050" distT="19050" distL="19050" distR="19050">
            <wp:extent cx="389186" cy="227816"/>
            <wp:effectExtent b="0" l="0" r="0" t="0"/>
            <wp:docPr id="12" name="image18.png"/>
            <a:graphic>
              <a:graphicData uri="http://schemas.openxmlformats.org/drawingml/2006/picture">
                <pic:pic>
                  <pic:nvPicPr>
                    <pic:cNvPr id="0" name="image18.png"/>
                    <pic:cNvPicPr preferRelativeResize="0"/>
                  </pic:nvPicPr>
                  <pic:blipFill>
                    <a:blip r:embed="rId80"/>
                    <a:srcRect b="0" l="0" r="0" t="0"/>
                    <a:stretch>
                      <a:fillRect/>
                    </a:stretch>
                  </pic:blipFill>
                  <pic:spPr>
                    <a:xfrm>
                      <a:off x="0" y="0"/>
                      <a:ext cx="389186" cy="2278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61164"/>
            <wp:effectExtent b="0" l="0" r="0" t="0"/>
            <wp:docPr id="11" name="image20.png"/>
            <a:graphic>
              <a:graphicData uri="http://schemas.openxmlformats.org/drawingml/2006/picture">
                <pic:pic>
                  <pic:nvPicPr>
                    <pic:cNvPr id="0" name="image20.png"/>
                    <pic:cNvPicPr preferRelativeResize="0"/>
                  </pic:nvPicPr>
                  <pic:blipFill>
                    <a:blip r:embed="rId81"/>
                    <a:srcRect b="0" l="0" r="0" t="0"/>
                    <a:stretch>
                      <a:fillRect/>
                    </a:stretch>
                  </pic:blipFill>
                  <pic:spPr>
                    <a:xfrm>
                      <a:off x="0" y="0"/>
                      <a:ext cx="5905500" cy="16116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 scalarization techniques (e.g., linear weighted sums) fail in this scenario because the Pareto front is highly likely to be non-convex; forcibly improving EmoBank Arousal correlation will inevitably reduce SST-2 accuracy until a complex, non-linear balance in the word forces is established by the optimizer.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NSGA-III and TensorNSGA-III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discover the true Pareto-optimal frontier across these six conflicting benchmarks, the Non-Dominated Sorting Genetic Algorithm III (NSGA-III) provides the most robust and mathematically sound framework. NSGA-III is specifically designed for "many-objective" optimization—defined as problems possessing four or more objectives.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multi-objective algorithms like NSGA-II rely on crowding distance to maintain population diversity. However, in higher-dimensional objective spaces (like our 6-dimensional benchmark array), the vast majority of the population quickly becomes non-dominated, rendering crowding distance mathematically useless and causing the algorithm to stall.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NSGA-III resolves this by relying on a set of widely distributed, predefined reference points spanning a normalized unit hyperplane in the objective space.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environmental selection phase, individuals in the non-dominated sorting fronts are associated with the closest reference line (calculated via perpendicular distance </w:t>
      </w:r>
      <w:r w:rsidDel="00000000" w:rsidR="00000000" w:rsidRPr="00000000">
        <w:rPr>
          <w:rFonts w:ascii="Google Sans" w:cs="Google Sans" w:eastAsia="Google Sans" w:hAnsi="Google Sans"/>
          <w:color w:val="1f1f1f"/>
        </w:rPr>
        <w:drawing>
          <wp:inline distB="19050" distT="19050" distL="19050" distR="19050">
            <wp:extent cx="205531" cy="224216"/>
            <wp:effectExtent b="0" l="0" r="0" t="0"/>
            <wp:docPr id="103" name="image83.png"/>
            <a:graphic>
              <a:graphicData uri="http://schemas.openxmlformats.org/drawingml/2006/picture">
                <pic:pic>
                  <pic:nvPicPr>
                    <pic:cNvPr id="0" name="image83.png"/>
                    <pic:cNvPicPr preferRelativeResize="0"/>
                  </pic:nvPicPr>
                  <pic:blipFill>
                    <a:blip r:embed="rId82"/>
                    <a:srcRect b="0" l="0" r="0" t="0"/>
                    <a:stretch>
                      <a:fillRect/>
                    </a:stretch>
                  </pic:blipFill>
                  <pic:spPr>
                    <a:xfrm>
                      <a:off x="0" y="0"/>
                      <a:ext cx="205531" cy="2242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algorithm preferentially selects individuals associated with underrepresented reference points, ensuring that the evolutionary population advances evenly and diversely across all benchmark objectives simultaneously.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the scale of the engine's parameter space, a standard CPU-based implementation of NSGA-III would be unacceptably slow. The implementation of </w:t>
      </w:r>
      <w:r w:rsidDel="00000000" w:rsidR="00000000" w:rsidRPr="00000000">
        <w:rPr>
          <w:rFonts w:ascii="Google Sans" w:cs="Google Sans" w:eastAsia="Google Sans" w:hAnsi="Google Sans"/>
          <w:b w:val="1"/>
          <w:bCs w:val="1"/>
          <w:color w:val="1f1f1f"/>
          <w:rtl w:val="0"/>
        </w:rPr>
        <w:t xml:space="preserve">TensorNSGA-III</w:t>
      </w:r>
      <w:r w:rsidDel="00000000" w:rsidR="00000000" w:rsidRPr="00000000">
        <w:rPr>
          <w:rFonts w:ascii="Google Sans" w:cs="Google Sans" w:eastAsia="Google Sans" w:hAnsi="Google Sans"/>
          <w:color w:val="1f1f1f"/>
          <w:rtl w:val="0"/>
        </w:rPr>
        <w:t xml:space="preserve"> is highly recommended. By vectorizing the non-dominated sorting and reference-point associations into tensor operations executed on GPUs, TensorNSGA-III achieves massive acceleration (documenting up to </w:t>
      </w:r>
      <w:r w:rsidDel="00000000" w:rsidR="00000000" w:rsidRPr="00000000">
        <w:rPr>
          <w:rFonts w:ascii="Google Sans" w:cs="Google Sans" w:eastAsia="Google Sans" w:hAnsi="Google Sans"/>
          <w:color w:val="1f1f1f"/>
        </w:rPr>
        <w:drawing>
          <wp:inline distB="19050" distT="19050" distL="19050" distR="19050">
            <wp:extent cx="512266" cy="218187"/>
            <wp:effectExtent b="0" l="0" r="0" t="0"/>
            <wp:docPr id="97" name="image73.png"/>
            <a:graphic>
              <a:graphicData uri="http://schemas.openxmlformats.org/drawingml/2006/picture">
                <pic:pic>
                  <pic:nvPicPr>
                    <pic:cNvPr id="0" name="image73.png"/>
                    <pic:cNvPicPr preferRelativeResize="0"/>
                  </pic:nvPicPr>
                  <pic:blipFill>
                    <a:blip r:embed="rId83"/>
                    <a:srcRect b="0" l="0" r="0" t="0"/>
                    <a:stretch>
                      <a:fillRect/>
                    </a:stretch>
                  </pic:blipFill>
                  <pic:spPr>
                    <a:xfrm>
                      <a:off x="0" y="0"/>
                      <a:ext cx="512266" cy="218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speedups). This permits the use of exceptionally large population sizes, which is strictly mathematically necessary to maintain genetic diversity across thousands of active parameters without premature convergence.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High-Order Gaussian Processes (HOGP) for Multi-Task Surrogates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Bayesian Optimization is preferred over evolutionary methods for navigating the multi-objective space, it must be carefully adapted. Standard Multi-Task Gaussian Processes (MTGP) scale exceptionally poorly with multiple objectives due to the </w:t>
      </w:r>
      <w:r w:rsidDel="00000000" w:rsidR="00000000" w:rsidRPr="00000000">
        <w:rPr>
          <w:rFonts w:ascii="Google Sans" w:cs="Google Sans" w:eastAsia="Google Sans" w:hAnsi="Google Sans"/>
          <w:color w:val="1f1f1f"/>
        </w:rPr>
        <w:drawing>
          <wp:inline distB="19050" distT="19050" distL="19050" distR="19050">
            <wp:extent cx="614065" cy="230275"/>
            <wp:effectExtent b="0" l="0" r="0" t="0"/>
            <wp:docPr id="96" name="image67.png"/>
            <a:graphic>
              <a:graphicData uri="http://schemas.openxmlformats.org/drawingml/2006/picture">
                <pic:pic>
                  <pic:nvPicPr>
                    <pic:cNvPr id="0" name="image67.png"/>
                    <pic:cNvPicPr preferRelativeResize="0"/>
                  </pic:nvPicPr>
                  <pic:blipFill>
                    <a:blip r:embed="rId84"/>
                    <a:srcRect b="0" l="0" r="0" t="0"/>
                    <a:stretch>
                      <a:fillRect/>
                    </a:stretch>
                  </pic:blipFill>
                  <pic:spPr>
                    <a:xfrm>
                      <a:off x="0" y="0"/>
                      <a:ext cx="614065" cy="2302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computational cost, where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99" name="image94.png"/>
            <a:graphic>
              <a:graphicData uri="http://schemas.openxmlformats.org/drawingml/2006/picture">
                <pic:pic>
                  <pic:nvPicPr>
                    <pic:cNvPr id="0" name="image94.png"/>
                    <pic:cNvPicPr preferRelativeResize="0"/>
                  </pic:nvPicPr>
                  <pic:blipFill>
                    <a:blip r:embed="rId85"/>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data points and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98" name="image23.png"/>
            <a:graphic>
              <a:graphicData uri="http://schemas.openxmlformats.org/drawingml/2006/picture">
                <pic:pic>
                  <pic:nvPicPr>
                    <pic:cNvPr id="0" name="image23.png"/>
                    <pic:cNvPicPr preferRelativeResize="0"/>
                  </pic:nvPicPr>
                  <pic:blipFill>
                    <a:blip r:embed="rId53"/>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tasks. Utilizing the High-Order Gaussian Process (HOGP) model, combined with Matheron's rule for exact posterior sampling, reduces this algorithmic complexity to an additive </w:t>
      </w:r>
      <w:r w:rsidDel="00000000" w:rsidR="00000000" w:rsidRPr="00000000">
        <w:rPr>
          <w:rFonts w:ascii="Google Sans" w:cs="Google Sans" w:eastAsia="Google Sans" w:hAnsi="Google Sans"/>
          <w:color w:val="1f1f1f"/>
        </w:rPr>
        <w:drawing>
          <wp:inline distB="19050" distT="19050" distL="19050" distR="19050">
            <wp:extent cx="839391" cy="228925"/>
            <wp:effectExtent b="0" l="0" r="0" t="0"/>
            <wp:docPr id="93" name="image65.png"/>
            <a:graphic>
              <a:graphicData uri="http://schemas.openxmlformats.org/drawingml/2006/picture">
                <pic:pic>
                  <pic:nvPicPr>
                    <pic:cNvPr id="0" name="image65.png"/>
                    <pic:cNvPicPr preferRelativeResize="0"/>
                  </pic:nvPicPr>
                  <pic:blipFill>
                    <a:blip r:embed="rId86"/>
                    <a:srcRect b="0" l="0" r="0" t="0"/>
                    <a:stretch>
                      <a:fillRect/>
                    </a:stretch>
                  </pic:blipFill>
                  <pic:spPr>
                    <a:xfrm>
                      <a:off x="0" y="0"/>
                      <a:ext cx="839391" cy="228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structural improvement allows the simultaneous multi-objective Bayesian optimization of the physics engine across all NLP datasets efficiently, evaluating the trade-offs between GoEmotions accuracy and EmoBank correlation without collapsing the surrogate model's covariance matrix.</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Rectification of Neutral Over-Reading and Dimensional Collapse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broad parameter tuning, the current benchmarks highlight two severe structural flaws in the model's physical translations: the neutral over-reading in GoEmotions (</w:t>
      </w:r>
      <w:r w:rsidDel="00000000" w:rsidR="00000000" w:rsidRPr="00000000">
        <w:rPr>
          <w:rFonts w:ascii="Google Sans" w:cs="Google Sans" w:eastAsia="Google Sans" w:hAnsi="Google Sans"/>
          <w:color w:val="1f1f1f"/>
        </w:rPr>
        <w:drawing>
          <wp:inline distB="19050" distT="19050" distL="19050" distR="19050">
            <wp:extent cx="481608" cy="217196"/>
            <wp:effectExtent b="0" l="0" r="0" t="0"/>
            <wp:docPr id="92"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481608" cy="217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collapsed correlations for Arousal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95"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Dominance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94"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EmoBank. Both issues stem from the fundamental mathematical formulas currently governing the pendulum's simulated motion.</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Correcting Neutral Over-Reading via Entropy Threshold Optimization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rule-based system currently utilizes the Shannon entropy of the VADUG trajectory to detect neutral intent. Shannon entropy is calculated as: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270"/>
            <wp:effectExtent b="0" l="0" r="0" t="0"/>
            <wp:docPr id="91" name="image63.png"/>
            <a:graphic>
              <a:graphicData uri="http://schemas.openxmlformats.org/drawingml/2006/picture">
                <pic:pic>
                  <pic:nvPicPr>
                    <pic:cNvPr id="0" name="image63.png"/>
                    <pic:cNvPicPr preferRelativeResize="0"/>
                  </pic:nvPicPr>
                  <pic:blipFill>
                    <a:blip r:embed="rId87"/>
                    <a:srcRect b="0" l="0" r="0" t="0"/>
                    <a:stretch>
                      <a:fillRect/>
                    </a:stretch>
                  </pic:blipFill>
                  <pic:spPr>
                    <a:xfrm>
                      <a:off x="0" y="0"/>
                      <a:ext cx="5905500" cy="51227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395585" cy="226048"/>
            <wp:effectExtent b="0" l="0" r="0" t="0"/>
            <wp:docPr id="139" name="image88.png"/>
            <a:graphic>
              <a:graphicData uri="http://schemas.openxmlformats.org/drawingml/2006/picture">
                <pic:pic>
                  <pic:nvPicPr>
                    <pic:cNvPr id="0" name="image88.png"/>
                    <pic:cNvPicPr preferRelativeResize="0"/>
                  </pic:nvPicPr>
                  <pic:blipFill>
                    <a:blip r:embed="rId88"/>
                    <a:srcRect b="0" l="0" r="0" t="0"/>
                    <a:stretch>
                      <a:fillRect/>
                    </a:stretch>
                  </pic:blipFill>
                  <pic:spPr>
                    <a:xfrm>
                      <a:off x="0" y="0"/>
                      <a:ext cx="395585" cy="2260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normalized probability distribution of emotional displacements over the sequence of words in the text.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model is heavily over-predicting the "Neutral" class on the GoEmotions benchmark, it indicates that the entropy threshold parameter (</w:t>
      </w:r>
      <w:r w:rsidDel="00000000" w:rsidR="00000000" w:rsidRPr="00000000">
        <w:rPr>
          <w:rFonts w:ascii="Google Sans" w:cs="Google Sans" w:eastAsia="Google Sans" w:hAnsi="Google Sans"/>
          <w:color w:val="1f1f1f"/>
        </w:rPr>
        <w:drawing>
          <wp:inline distB="19050" distT="19050" distL="19050" distR="19050">
            <wp:extent cx="707528" cy="229469"/>
            <wp:effectExtent b="0" l="0" r="0" t="0"/>
            <wp:docPr id="138" name="image90.png"/>
            <a:graphic>
              <a:graphicData uri="http://schemas.openxmlformats.org/drawingml/2006/picture">
                <pic:pic>
                  <pic:nvPicPr>
                    <pic:cNvPr id="0" name="image90.png"/>
                    <pic:cNvPicPr preferRelativeResize="0"/>
                  </pic:nvPicPr>
                  <pic:blipFill>
                    <a:blip r:embed="rId89"/>
                    <a:srcRect b="0" l="0" r="0" t="0"/>
                    <a:stretch>
                      <a:fillRect/>
                    </a:stretch>
                  </pic:blipFill>
                  <pic:spPr>
                    <a:xfrm>
                      <a:off x="0" y="0"/>
                      <a:ext cx="707528" cy="2294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configured excessively high, or that the function is overly sensitive to linguistic variance. In human language, complex sentences containing mixed or shifting sentiments (e.g., a sentence that begins negatively but resolves positively) generate highly disordered VADUG trajectories.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 naive high-entropy formulation interprets this trajectory variance as baseline "noise" or "neutrality," mathematically stripping the sentence of its implicit emotional weight.</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optimize this sub-system, two distinct mathematical adjustments are necessary:</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Term Sentiment Entropy (TSE) Weighting:</w:t>
      </w:r>
      <w:r w:rsidDel="00000000" w:rsidR="00000000" w:rsidRPr="00000000">
        <w:rPr>
          <w:rFonts w:ascii="Google Sans" w:cs="Google Sans" w:eastAsia="Google Sans" w:hAnsi="Google Sans"/>
          <w:color w:val="1f1f1f"/>
          <w:rtl w:val="0"/>
        </w:rPr>
        <w:t xml:space="preserve"> Instead of relying solely on the final trajectory entropy, the engine should incorporate Term Sentiment Entropy. Words with a high variance in emotional polarity across different contexts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12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chameleon words) inherently possess higher innate entropy.</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Integrating a TSE penalty ensures that localized entropy spikes caused by specific high-variance context words do not trigger a global false-neutral classification.</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Tikhonov Regularization for Intent Boundaries:</w:t>
      </w:r>
      <w:r w:rsidDel="00000000" w:rsidR="00000000" w:rsidRPr="00000000">
        <w:rPr>
          <w:rFonts w:ascii="Google Sans" w:cs="Google Sans" w:eastAsia="Google Sans" w:hAnsi="Google Sans"/>
          <w:color w:val="1f1f1f"/>
          <w:rtl w:val="0"/>
        </w:rPr>
        <w:t xml:space="preserve"> The intent-adaptive classification thresholds determining the boundary between emotional and neutral vectors must be stabilized. Converting the text classification rules into an ill-posed algebraic equation allows the application of Tikhonov regularization (Ridge regression penalty):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380233"/>
            <wp:effectExtent b="0" l="0" r="0" t="0"/>
            <wp:docPr id="120" name="image78.png"/>
            <a:graphic>
              <a:graphicData uri="http://schemas.openxmlformats.org/drawingml/2006/picture">
                <pic:pic>
                  <pic:nvPicPr>
                    <pic:cNvPr id="0" name="image78.png"/>
                    <pic:cNvPicPr preferRelativeResize="0"/>
                  </pic:nvPicPr>
                  <pic:blipFill>
                    <a:blip r:embed="rId90"/>
                    <a:srcRect b="0" l="0" r="0" t="0"/>
                    <a:stretch>
                      <a:fillRect/>
                    </a:stretch>
                  </pic:blipFill>
                  <pic:spPr>
                    <a:xfrm>
                      <a:off x="0" y="0"/>
                      <a:ext cx="5905500" cy="3802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non-probabilistic, deterministic approach enforces strict smoothness in the decision boundary. By penalizing large fluctuations in the threshold parameters (</w:t>
      </w:r>
      <w:r w:rsidDel="00000000" w:rsidR="00000000" w:rsidRPr="00000000">
        <w:rPr>
          <w:rFonts w:ascii="Google Sans" w:cs="Google Sans" w:eastAsia="Google Sans" w:hAnsi="Google Sans"/>
          <w:color w:val="1f1f1f"/>
        </w:rPr>
        <w:drawing>
          <wp:inline distB="19050" distT="19050" distL="19050" distR="19050">
            <wp:extent cx="605433" cy="236497"/>
            <wp:effectExtent b="0" l="0" r="0" t="0"/>
            <wp:docPr id="129" name="image80.png"/>
            <a:graphic>
              <a:graphicData uri="http://schemas.openxmlformats.org/drawingml/2006/picture">
                <pic:pic>
                  <pic:nvPicPr>
                    <pic:cNvPr id="0" name="image80.png"/>
                    <pic:cNvPicPr preferRelativeResize="0"/>
                  </pic:nvPicPr>
                  <pic:blipFill>
                    <a:blip r:embed="rId91"/>
                    <a:srcRect b="0" l="0" r="0" t="0"/>
                    <a:stretch>
                      <a:fillRect/>
                    </a:stretch>
                  </pic:blipFill>
                  <pic:spPr>
                    <a:xfrm>
                      <a:off x="0" y="0"/>
                      <a:ext cx="605433" cy="2364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regularization mathematically dampens the algorithm's tendency to collapse highly complex, multi-polar sentences into the neutral class, directly addressing the core deficiency suppressing the GoEmotions score.</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Re-calibrating Arousal and Dominance Kinematics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severe underperformance in the Arousal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26"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Dominance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15" name="image68.png"/>
            <a:graphic>
              <a:graphicData uri="http://schemas.openxmlformats.org/drawingml/2006/picture">
                <pic:pic>
                  <pic:nvPicPr>
                    <pic:cNvPr id="0" name="image68.png"/>
                    <pic:cNvPicPr preferRelativeResize="0"/>
                  </pic:nvPicPr>
                  <pic:blipFill>
                    <a:blip r:embed="rId31"/>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dimensions, when compared to the functional Valence score (</w:t>
      </w:r>
      <w:r w:rsidDel="00000000" w:rsidR="00000000" w:rsidRPr="00000000">
        <w:rPr>
          <w:rFonts w:ascii="Google Sans" w:cs="Google Sans" w:eastAsia="Google Sans" w:hAnsi="Google Sans"/>
          <w:color w:val="1f1f1f"/>
        </w:rPr>
        <w:drawing>
          <wp:inline distB="19050" distT="19050" distL="19050" distR="19050">
            <wp:extent cx="661988" cy="226967"/>
            <wp:effectExtent b="0" l="0" r="0" t="0"/>
            <wp:docPr id="112" name="image75.png"/>
            <a:graphic>
              <a:graphicData uri="http://schemas.openxmlformats.org/drawingml/2006/picture">
                <pic:pic>
                  <pic:nvPicPr>
                    <pic:cNvPr id="0" name="image75.png"/>
                    <pic:cNvPicPr preferRelativeResize="0"/>
                  </pic:nvPicPr>
                  <pic:blipFill>
                    <a:blip r:embed="rId29"/>
                    <a:srcRect b="0" l="0" r="0" t="0"/>
                    <a:stretch>
                      <a:fillRect/>
                    </a:stretch>
                  </pic:blipFill>
                  <pic:spPr>
                    <a:xfrm>
                      <a:off x="0" y="0"/>
                      <a:ext cx="661988" cy="226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on the EmoBank dataset, highlights a fundamental failure in how the pendulum kinematics are mapped to psychological dimensions.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dimensional affect theory, Valence represents a bipolar scale (positive to negative), mapping intuitively to the left-to-right spatial displacement of a simple pendulum. However, Arousal represents physiological activation (ranging from calm to excited), and Dominance represents situational control (ranging from submissive to dominant).</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Attempting to map all three variables to static spatial displacement is physically and mathematically unsound.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optimization process must redefine how the physics engine parameters interact with these specific dimensions: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Arousal as Kinetic Energy:</w:t>
      </w:r>
      <w:r w:rsidDel="00000000" w:rsidR="00000000" w:rsidRPr="00000000">
        <w:rPr>
          <w:rFonts w:ascii="Google Sans" w:cs="Google Sans" w:eastAsia="Google Sans" w:hAnsi="Google Sans"/>
          <w:color w:val="1f1f1f"/>
          <w:rtl w:val="0"/>
        </w:rPr>
        <w:t xml:space="preserve"> Arousal must be mathematically tied directly to the momentum equation: </w:t>
      </w:r>
      <w:r w:rsidDel="00000000" w:rsidR="00000000" w:rsidRPr="00000000">
        <w:rPr>
          <w:rFonts w:ascii="Google Sans" w:cs="Google Sans" w:eastAsia="Google Sans" w:hAnsi="Google Sans"/>
          <w:color w:val="1f1f1f"/>
        </w:rPr>
        <w:drawing>
          <wp:inline distB="19050" distT="19050" distL="19050" distR="19050">
            <wp:extent cx="2852585" cy="228970"/>
            <wp:effectExtent b="0" l="0" r="0" t="0"/>
            <wp:docPr id="118" name="image74.png"/>
            <a:graphic>
              <a:graphicData uri="http://schemas.openxmlformats.org/drawingml/2006/picture">
                <pic:pic>
                  <pic:nvPicPr>
                    <pic:cNvPr id="0" name="image74.png"/>
                    <pic:cNvPicPr preferRelativeResize="0"/>
                  </pic:nvPicPr>
                  <pic:blipFill>
                    <a:blip r:embed="rId92"/>
                    <a:srcRect b="0" l="0" r="0" t="0"/>
                    <a:stretch>
                      <a:fillRect/>
                    </a:stretch>
                  </pic:blipFill>
                  <pic:spPr>
                    <a:xfrm>
                      <a:off x="0" y="0"/>
                      <a:ext cx="2852585" cy="2289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decay constant </w:t>
      </w:r>
      <w:r w:rsidDel="00000000" w:rsidR="00000000" w:rsidRPr="00000000">
        <w:rPr>
          <w:rFonts w:ascii="Google Sans" w:cs="Google Sans" w:eastAsia="Google Sans" w:hAnsi="Google Sans"/>
          <w:color w:val="1f1f1f"/>
        </w:rPr>
        <w:drawing>
          <wp:inline distB="19050" distT="19050" distL="19050" distR="19050">
            <wp:extent cx="327869" cy="221793"/>
            <wp:effectExtent b="0" l="0" r="0" t="0"/>
            <wp:docPr id="116" name="image59.png"/>
            <a:graphic>
              <a:graphicData uri="http://schemas.openxmlformats.org/drawingml/2006/picture">
                <pic:pic>
                  <pic:nvPicPr>
                    <pic:cNvPr id="0" name="image59.png"/>
                    <pic:cNvPicPr preferRelativeResize="0"/>
                  </pic:nvPicPr>
                  <pic:blipFill>
                    <a:blip r:embed="rId93"/>
                    <a:srcRect b="0" l="0" r="0" t="0"/>
                    <a:stretch>
                      <a:fillRect/>
                    </a:stretch>
                  </pic:blipFill>
                  <pic:spPr>
                    <a:xfrm>
                      <a:off x="0" y="0"/>
                      <a:ext cx="327869" cy="22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too steep, the simulated "activation" of the sentence dies out too rapidly, preventing the terminal Arousal score from accumulating. The hyperparameter optimization (via TuRBO and SAASBO) must target the </w:t>
      </w:r>
      <w:r w:rsidDel="00000000" w:rsidR="00000000" w:rsidRPr="00000000">
        <w:rPr>
          <w:rFonts w:ascii="Google Sans" w:cs="Google Sans" w:eastAsia="Google Sans" w:hAnsi="Google Sans"/>
          <w:color w:val="1f1f1f"/>
        </w:rPr>
        <w:drawing>
          <wp:inline distB="19050" distT="19050" distL="19050" distR="19050">
            <wp:extent cx="327869" cy="221793"/>
            <wp:effectExtent b="0" l="0" r="0" t="0"/>
            <wp:docPr id="68" name="image59.png"/>
            <a:graphic>
              <a:graphicData uri="http://schemas.openxmlformats.org/drawingml/2006/picture">
                <pic:pic>
                  <pic:nvPicPr>
                    <pic:cNvPr id="0" name="image59.png"/>
                    <pic:cNvPicPr preferRelativeResize="0"/>
                  </pic:nvPicPr>
                  <pic:blipFill>
                    <a:blip r:embed="rId93"/>
                    <a:srcRect b="0" l="0" r="0" t="0"/>
                    <a:stretch>
                      <a:fillRect/>
                    </a:stretch>
                  </pic:blipFill>
                  <pic:spPr>
                    <a:xfrm>
                      <a:off x="0" y="0"/>
                      <a:ext cx="327869" cy="2217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constant, establishing a much longer decay half-life specifically for the Arousal axis. Arousal correlates strongly with the velocity and total kinetic energy of the pendulum arc, not merely its positional displacement.</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Dominance as the Restoring Force:</w:t>
      </w:r>
      <w:r w:rsidDel="00000000" w:rsidR="00000000" w:rsidRPr="00000000">
        <w:rPr>
          <w:rFonts w:ascii="Google Sans" w:cs="Google Sans" w:eastAsia="Google Sans" w:hAnsi="Google Sans"/>
          <w:color w:val="1f1f1f"/>
          <w:rtl w:val="0"/>
        </w:rPr>
        <w:t xml:space="preserve"> Dominance represents the feeling of control. In a pendulum physics engine, this correlates to the "Gravity" (</w:t>
      </w:r>
      <w:r w:rsidDel="00000000" w:rsidR="00000000" w:rsidRPr="00000000">
        <w:rPr>
          <w:rFonts w:ascii="Google Sans" w:cs="Google Sans" w:eastAsia="Google Sans" w:hAnsi="Google Sans"/>
          <w:color w:val="1f1f1f"/>
        </w:rPr>
        <w:drawing>
          <wp:inline distB="19050" distT="19050" distL="19050" distR="19050">
            <wp:extent cx="352128" cy="228407"/>
            <wp:effectExtent b="0" l="0" r="0" t="0"/>
            <wp:docPr id="73"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352128" cy="228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parameters and the restoring force, which pull the pendulum back to a resting state. Strong dominance words should act as high-gravity anchors, dictating a rigid trajectory that resists subsequent weak modifiers. Conversely, low dominance implies high susceptibility to environmental perturbations. The multi-objective optimization process must heavily penalize EmoBank Dominance errors to force the optimizer to increase the respective magnitudes of the </w:t>
      </w:r>
      <w:r w:rsidDel="00000000" w:rsidR="00000000" w:rsidRPr="00000000">
        <w:rPr>
          <w:rFonts w:ascii="Google Sans" w:cs="Google Sans" w:eastAsia="Google Sans" w:hAnsi="Google Sans"/>
          <w:color w:val="1f1f1f"/>
        </w:rPr>
        <w:drawing>
          <wp:inline distB="19050" distT="19050" distL="19050" distR="19050">
            <wp:extent cx="184398" cy="223219"/>
            <wp:effectExtent b="0" l="0" r="0" t="0"/>
            <wp:docPr id="7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84398" cy="2232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relationship gravity words.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Synthesized Sequential Optimization Architecture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optimize the 5-dimensional rule-based emotional physics engine across the </w:t>
      </w:r>
      <w:r w:rsidDel="00000000" w:rsidR="00000000" w:rsidRPr="00000000">
        <w:rPr>
          <w:rFonts w:ascii="Google Sans" w:cs="Google Sans" w:eastAsia="Google Sans" w:hAnsi="Google Sans"/>
          <w:color w:val="1f1f1f"/>
        </w:rPr>
        <w:drawing>
          <wp:inline distB="19050" distT="19050" distL="19050" distR="19050">
            <wp:extent cx="778817" cy="218449"/>
            <wp:effectExtent b="0" l="0" r="0" t="0"/>
            <wp:docPr id="62" name="image46.png"/>
            <a:graphic>
              <a:graphicData uri="http://schemas.openxmlformats.org/drawingml/2006/picture">
                <pic:pic>
                  <pic:nvPicPr>
                    <pic:cNvPr id="0" name="image46.png"/>
                    <pic:cNvPicPr preferRelativeResize="0"/>
                  </pic:nvPicPr>
                  <pic:blipFill>
                    <a:blip r:embed="rId33"/>
                    <a:srcRect b="0" l="0" r="0" t="0"/>
                    <a:stretch>
                      <a:fillRect/>
                    </a:stretch>
                  </pic:blipFill>
                  <pic:spPr>
                    <a:xfrm>
                      <a:off x="0" y="0"/>
                      <a:ext cx="778817" cy="2184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parameter space, and to satisfy the competing demands of the SST-2, TweetEval, GoEmotions, and EmoBank benchmarks, a rigid, sequentially staged mathematical architecture is required. Attempting to apply these methods concurrently or out of order will result in non-convergence, gradient collapse, or computational intractability.</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Parameter Subspace Isolation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must first reduce the search space by eliminating mathematically irrelevant variables.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 of Morris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43074" cy="219135"/>
                  <wp:effectExtent b="0" l="0" r="0" t="0"/>
                  <wp:docPr id="6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Word 5-tuples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56299" cy="248244"/>
                  <wp:effectExtent b="0" l="0" r="0" t="0"/>
                  <wp:docPr id="66" name="image48.png"/>
                  <a:graphic>
                    <a:graphicData uri="http://schemas.openxmlformats.org/drawingml/2006/picture">
                      <pic:pic>
                        <pic:nvPicPr>
                          <pic:cNvPr id="0" name="image48.png"/>
                          <pic:cNvPicPr preferRelativeResize="0"/>
                        </pic:nvPicPr>
                        <pic:blipFill>
                          <a:blip r:embed="rId94"/>
                          <a:srcRect b="0" l="0" r="0" t="0"/>
                          <a:stretch>
                            <a:fillRect/>
                          </a:stretch>
                        </pic:blipFill>
                        <pic:spPr>
                          <a:xfrm>
                            <a:off x="0" y="0"/>
                            <a:ext cx="1556299" cy="2482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Screen out </w:t>
            </w:r>
            <w:r w:rsidDel="00000000" w:rsidR="00000000" w:rsidRPr="00000000">
              <w:rPr>
                <w:rFonts w:ascii="Google Sans" w:cs="Google Sans" w:eastAsia="Google Sans" w:hAnsi="Google Sans"/>
                <w:color w:val="1f1f1f"/>
              </w:rPr>
              <w:drawing>
                <wp:inline distB="19050" distT="19050" distL="19050" distR="19050">
                  <wp:extent cx="747861" cy="217732"/>
                  <wp:effectExtent b="0" l="0" r="0" t="0"/>
                  <wp:docPr id="64" name="image47.png"/>
                  <a:graphic>
                    <a:graphicData uri="http://schemas.openxmlformats.org/drawingml/2006/picture">
                      <pic:pic>
                        <pic:nvPicPr>
                          <pic:cNvPr id="0" name="image47.png"/>
                          <pic:cNvPicPr preferRelativeResize="0"/>
                        </pic:nvPicPr>
                        <pic:blipFill>
                          <a:blip r:embed="rId95"/>
                          <a:srcRect b="0" l="0" r="0" t="0"/>
                          <a:stretch>
                            <a:fillRect/>
                          </a:stretch>
                        </pic:blipFill>
                        <pic:spPr>
                          <a:xfrm>
                            <a:off x="0" y="0"/>
                            <a:ext cx="747861" cy="2177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lexically inactive terms based on low </w:t>
            </w: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55"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scores to prevent the curse of dimensionality.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Sobol Variance Decomposition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Retained Active Words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901276" cy="294698"/>
                  <wp:effectExtent b="0" l="0" r="0" t="0"/>
                  <wp:docPr id="53" name="image53.png"/>
                  <a:graphic>
                    <a:graphicData uri="http://schemas.openxmlformats.org/drawingml/2006/picture">
                      <pic:pic>
                        <pic:nvPicPr>
                          <pic:cNvPr id="0" name="image53.png"/>
                          <pic:cNvPicPr preferRelativeResize="0"/>
                        </pic:nvPicPr>
                        <pic:blipFill>
                          <a:blip r:embed="rId96"/>
                          <a:srcRect b="0" l="0" r="0" t="0"/>
                          <a:stretch>
                            <a:fillRect/>
                          </a:stretch>
                        </pic:blipFill>
                        <pic:spPr>
                          <a:xfrm>
                            <a:off x="0" y="0"/>
                            <a:ext cx="1901276" cy="29469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 isolated vs. highly interactive parameters to group variables for block coordinate descent.</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Lexicon Force Vector Tuning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non-differentiable rules must be bypassed to leverage the power of massive gradient descent.</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Differentiable Surrogate (DiffTune)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Filtered </w:t>
            </w:r>
            <w:r w:rsidDel="00000000" w:rsidR="00000000" w:rsidRPr="00000000">
              <w:rPr>
                <w:rFonts w:ascii="Google Sans" w:cs="Google Sans" w:eastAsia="Google Sans" w:hAnsi="Google Sans"/>
                <w:color w:val="1f1f1f"/>
              </w:rPr>
              <w:drawing>
                <wp:inline distB="19050" distT="19050" distL="19050" distR="19050">
                  <wp:extent cx="543074" cy="219135"/>
                  <wp:effectExtent b="0" l="0" r="0" t="0"/>
                  <wp:docPr id="58"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543074" cy="219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5-tuples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818980" cy="247610"/>
                  <wp:effectExtent b="0" l="0" r="0" t="0"/>
                  <wp:docPr id="85" name="image69.png"/>
                  <a:graphic>
                    <a:graphicData uri="http://schemas.openxmlformats.org/drawingml/2006/picture">
                      <pic:pic>
                        <pic:nvPicPr>
                          <pic:cNvPr id="0" name="image69.png"/>
                          <pic:cNvPicPr preferRelativeResize="0"/>
                        </pic:nvPicPr>
                        <pic:blipFill>
                          <a:blip r:embed="rId97"/>
                          <a:srcRect b="0" l="0" r="0" t="0"/>
                          <a:stretch>
                            <a:fillRect/>
                          </a:stretch>
                        </pic:blipFill>
                        <pic:spPr>
                          <a:xfrm>
                            <a:off x="0" y="0"/>
                            <a:ext cx="1818980" cy="247610"/>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the discrete pendulum physics to a continuous Neural ODE, enabling exact gradient backpropagation.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Block Coordinate Descent (BAdam)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Force Vectors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582341" cy="266901"/>
                  <wp:effectExtent b="0" l="0" r="0" t="0"/>
                  <wp:docPr id="83" name="image61.png"/>
                  <a:graphic>
                    <a:graphicData uri="http://schemas.openxmlformats.org/drawingml/2006/picture">
                      <pic:pic>
                        <pic:nvPicPr>
                          <pic:cNvPr id="0" name="image61.png"/>
                          <pic:cNvPicPr preferRelativeResize="0"/>
                        </pic:nvPicPr>
                        <pic:blipFill>
                          <a:blip r:embed="rId98"/>
                          <a:srcRect b="0" l="0" r="0" t="0"/>
                          <a:stretch>
                            <a:fillRect/>
                          </a:stretch>
                        </pic:blipFill>
                        <pic:spPr>
                          <a:xfrm>
                            <a:off x="0" y="0"/>
                            <a:ext cx="1582341" cy="26690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 rapid, high-dimensional pre-training of the force vectors dimension-by-dimension before re-quantization.</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Kinematic and Threshold Hyperparameter Optimization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physical constants defining the VADUG space's macroscopic behavior must be globally optimized.</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SAASBO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Intensity, Momentum, Caps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27944" cy="229594"/>
                  <wp:effectExtent b="0" l="0" r="0" t="0"/>
                  <wp:docPr id="89" name="image64.png"/>
                  <a:graphic>
                    <a:graphicData uri="http://schemas.openxmlformats.org/drawingml/2006/picture">
                      <pic:pic>
                        <pic:nvPicPr>
                          <pic:cNvPr id="0" name="image64.png"/>
                          <pic:cNvPicPr preferRelativeResize="0"/>
                        </pic:nvPicPr>
                        <pic:blipFill>
                          <a:blip r:embed="rId99"/>
                          <a:srcRect b="0" l="0" r="0" t="0"/>
                          <a:stretch>
                            <a:fillRect/>
                          </a:stretch>
                        </pic:blipFill>
                        <pic:spPr>
                          <a:xfrm>
                            <a:off x="0" y="0"/>
                            <a:ext cx="927944" cy="22959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Determine which kinematic parameters strictly govern the variance of Arousal and Dominance scaling, suppressing noise.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TuRBO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Regions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10223" cy="228651"/>
                  <wp:effectExtent b="0" l="0" r="0" t="0"/>
                  <wp:docPr id="87"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2010223" cy="228651"/>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 highly sample-efficient local fine-tuning around the optimal decay and gravity parameters discovered by SAASBO.</w:t>
            </w:r>
          </w:p>
        </w:tc>
      </w:tr>
    </w:tbl>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Multi-Objective Alignment and Regularization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competing benchmarks must be balanced along a Pareto front without sacrificing existing binary accuracy.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Space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TensorNSGA-III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 Pareto Front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159373" cy="237577"/>
                  <wp:effectExtent b="0" l="0" r="0" t="0"/>
                  <wp:docPr id="79" name="image55.png"/>
                  <a:graphic>
                    <a:graphicData uri="http://schemas.openxmlformats.org/drawingml/2006/picture">
                      <pic:pic>
                        <pic:nvPicPr>
                          <pic:cNvPr id="0" name="image55.png"/>
                          <pic:cNvPicPr preferRelativeResize="0"/>
                        </pic:nvPicPr>
                        <pic:blipFill>
                          <a:blip r:embed="rId101"/>
                          <a:srcRect b="0" l="0" r="0" t="0"/>
                          <a:stretch>
                            <a:fillRect/>
                          </a:stretch>
                        </pic:blipFill>
                        <pic:spPr>
                          <a:xfrm>
                            <a:off x="0" y="0"/>
                            <a:ext cx="1159373" cy="237577"/>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 SST-2 binary metrics with EmoBank continuous dimensional metrics across reference hyperplanes.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Tikhonov Regularization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Shannon Entropy Bounds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1947120" cy="238618"/>
                  <wp:effectExtent b="0" l="0" r="0" t="0"/>
                  <wp:docPr id="77"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1947120" cy="238618"/>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Smooth the intent-adaptive thresholds to mathematically eliminate the neutral over-reading on GoEmotions.</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variance-based screening, continuous-space differentiable surrogates, sparse-prior Bayesian optimization, and reference-point evolutionary sorting represents the optimal mathematical paradigm for this specific domain. By systematically isolating the lexical features from the kinematic hyperparameters, transforming the discrete physics into a differentiable landscape, and treating the competing benchmarks as an explicit many-objective surface, the emotional physics engine's baseline accuracies can be preserved while its critical deficiencies in dimensional emotion tracking are rigorously and mathematically resolved.</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Starting with Rule-Based Sentiment Analysis - Project Guru, accessed March 26, 2026, </w:t>
      </w:r>
      <w:hyperlink r:id="rId103">
        <w:r w:rsidDel="00000000" w:rsidR="00000000" w:rsidRPr="00000000">
          <w:rPr>
            <w:rFonts w:ascii="Google Sans" w:cs="Google Sans" w:eastAsia="Google Sans" w:hAnsi="Google Sans"/>
            <w:color w:val="0000ee"/>
            <w:sz w:val="24"/>
            <w:szCs w:val="24"/>
            <w:u w:val="single"/>
            <w:rtl w:val="0"/>
          </w:rPr>
          <w:t xml:space="preserve">https://www.projectguru.in/starting-with-rule-based-sentiment-analysis/</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VADER: A Parsimonious Rule-based Model for Sentiment Analysis of Social Media Text - Eric Gilbert, accessed March 26, 2026, </w:t>
      </w:r>
      <w:hyperlink r:id="rId104">
        <w:r w:rsidDel="00000000" w:rsidR="00000000" w:rsidRPr="00000000">
          <w:rPr>
            <w:rFonts w:ascii="Google Sans" w:cs="Google Sans" w:eastAsia="Google Sans" w:hAnsi="Google Sans"/>
            <w:color w:val="0000ee"/>
            <w:sz w:val="24"/>
            <w:szCs w:val="24"/>
            <w:u w:val="single"/>
            <w:rtl w:val="0"/>
          </w:rPr>
          <w:t xml:space="preserve">http://eegilbert.org/papers/icwsm14.vader.hutto.pdf</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KB Sentiment Analysis — Rule-Based vs. ML Approaches | by Prof. Frenzel - Medium, accessed March 26, 2026, </w:t>
      </w:r>
      <w:hyperlink r:id="rId105">
        <w:r w:rsidDel="00000000" w:rsidR="00000000" w:rsidRPr="00000000">
          <w:rPr>
            <w:rFonts w:ascii="Google Sans" w:cs="Google Sans" w:eastAsia="Google Sans" w:hAnsi="Google Sans"/>
            <w:color w:val="0000ee"/>
            <w:sz w:val="24"/>
            <w:szCs w:val="24"/>
            <w:u w:val="single"/>
            <w:rtl w:val="0"/>
          </w:rPr>
          <w:t xml:space="preserve">https://prof-frenzel.medium.com/kb-sentiment-analysis-rule-based-vs-ml-approaches-984a29503716</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GoEmotions: A Dataset of Fine-Grained Emotions | Request PDF - ResearchGate, accessed March 26, 2026, </w:t>
      </w:r>
      <w:hyperlink r:id="rId106">
        <w:r w:rsidDel="00000000" w:rsidR="00000000" w:rsidRPr="00000000">
          <w:rPr>
            <w:rFonts w:ascii="Google Sans" w:cs="Google Sans" w:eastAsia="Google Sans" w:hAnsi="Google Sans"/>
            <w:color w:val="0000ee"/>
            <w:sz w:val="24"/>
            <w:szCs w:val="24"/>
            <w:u w:val="single"/>
            <w:rtl w:val="0"/>
          </w:rPr>
          <w:t xml:space="preserve">https://www.researchgate.net/publication/343300732_GoEmotions_A_Dataset_of_Fine-Grained_Emotions</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GoEmotions: A Dataset of Fine-Grained Emotions - ACL Anthology, accessed March 26, 2026, </w:t>
      </w:r>
      <w:hyperlink r:id="rId107">
        <w:r w:rsidDel="00000000" w:rsidR="00000000" w:rsidRPr="00000000">
          <w:rPr>
            <w:rFonts w:ascii="Google Sans" w:cs="Google Sans" w:eastAsia="Google Sans" w:hAnsi="Google Sans"/>
            <w:color w:val="0000ee"/>
            <w:sz w:val="24"/>
            <w:szCs w:val="24"/>
            <w:u w:val="single"/>
            <w:rtl w:val="0"/>
          </w:rPr>
          <w:t xml:space="preserve">https://aclanthology.org/2020.acl-main.372/</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EmoBank: Building Valence-Arousal Resources for Dimensional Sentiment Analysis - National Central University - Scholars, accessed March 26, 2026, </w:t>
      </w:r>
      <w:hyperlink r:id="rId108">
        <w:r w:rsidDel="00000000" w:rsidR="00000000" w:rsidRPr="00000000">
          <w:rPr>
            <w:rFonts w:ascii="Google Sans" w:cs="Google Sans" w:eastAsia="Google Sans" w:hAnsi="Google Sans"/>
            <w:color w:val="0000ee"/>
            <w:sz w:val="24"/>
            <w:szCs w:val="24"/>
            <w:u w:val="single"/>
            <w:rtl w:val="0"/>
          </w:rPr>
          <w:t xml:space="preserve">https://scholars.ncu.edu.tw/en/publications/chinese-emobank-building-valence-arousal-resources-for-dimensiona/</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learning-based dimensional emotion recognition for conversational agent-based cognitive behavioral therapy - PMC, accessed March 26, 2026, </w:t>
      </w:r>
      <w:hyperlink r:id="rId109">
        <w:r w:rsidDel="00000000" w:rsidR="00000000" w:rsidRPr="00000000">
          <w:rPr>
            <w:rFonts w:ascii="Google Sans" w:cs="Google Sans" w:eastAsia="Google Sans" w:hAnsi="Google Sans"/>
            <w:color w:val="0000ee"/>
            <w:sz w:val="24"/>
            <w:szCs w:val="24"/>
            <w:u w:val="single"/>
            <w:rtl w:val="0"/>
          </w:rPr>
          <w:t xml:space="preserve">https://pmc.ncbi.nlm.nih.gov/articles/PMC11232613/</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DiffTune: Optimizing CPU Simulator Parameters with Learned Differentiable Surrogates - ADAPT @ Illinois, accessed March 26, 2026, </w:t>
      </w:r>
      <w:hyperlink r:id="rId110">
        <w:r w:rsidDel="00000000" w:rsidR="00000000" w:rsidRPr="00000000">
          <w:rPr>
            <w:rFonts w:ascii="Google Sans" w:cs="Google Sans" w:eastAsia="Google Sans" w:hAnsi="Google Sans"/>
            <w:color w:val="0000ee"/>
            <w:sz w:val="24"/>
            <w:szCs w:val="24"/>
            <w:u w:val="single"/>
            <w:rtl w:val="0"/>
          </w:rPr>
          <w:t xml:space="preserve">https://adapt.cs.illinois.edu/papers/difftune.pdf</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[2010.04017] DiffTune: Optimizing CPU Simulator Parameters with Learned Differentiable Surrogates - arXiv, accessed March 26, 2026, </w:t>
      </w:r>
      <w:hyperlink r:id="rId111">
        <w:r w:rsidDel="00000000" w:rsidR="00000000" w:rsidRPr="00000000">
          <w:rPr>
            <w:rFonts w:ascii="Google Sans" w:cs="Google Sans" w:eastAsia="Google Sans" w:hAnsi="Google Sans"/>
            <w:color w:val="0000ee"/>
            <w:sz w:val="24"/>
            <w:szCs w:val="24"/>
            <w:u w:val="single"/>
            <w:rtl w:val="0"/>
          </w:rPr>
          <w:t xml:space="preserve">https://arxiv.org/abs/2010.04017</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LLMs with Non-Differentiable Human Feedback + RL | by Kanak Raj - Medium, accessed March 26, 2026, </w:t>
      </w:r>
      <w:hyperlink r:id="rId112">
        <w:r w:rsidDel="00000000" w:rsidR="00000000" w:rsidRPr="00000000">
          <w:rPr>
            <w:rFonts w:ascii="Google Sans" w:cs="Google Sans" w:eastAsia="Google Sans" w:hAnsi="Google Sans"/>
            <w:color w:val="0000ee"/>
            <w:sz w:val="24"/>
            <w:szCs w:val="24"/>
            <w:u w:val="single"/>
            <w:rtl w:val="0"/>
          </w:rPr>
          <w:t xml:space="preserve">https://medium.com/tr-labs-ml-engineering-blog/fine-tuning-llms-with-non-differentiable-human-feedback-rl-ec6c33a45928</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Physics-Informed Surrogate Modelling in Fire Safety Engineering: A Systematic Review, accessed March 26, 2026, </w:t>
      </w:r>
      <w:hyperlink r:id="rId113">
        <w:r w:rsidDel="00000000" w:rsidR="00000000" w:rsidRPr="00000000">
          <w:rPr>
            <w:rFonts w:ascii="Google Sans" w:cs="Google Sans" w:eastAsia="Google Sans" w:hAnsi="Google Sans"/>
            <w:color w:val="0000ee"/>
            <w:sz w:val="24"/>
            <w:szCs w:val="24"/>
            <w:u w:val="single"/>
            <w:rtl w:val="0"/>
          </w:rPr>
          <w:t xml:space="preserve">https://www.mdpi.com/2076-3417/15/15/8740</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High-Dimensional Bayesian Optimization - arXiv, accessed March 26, 2026, </w:t>
      </w:r>
      <w:hyperlink r:id="rId114">
        <w:r w:rsidDel="00000000" w:rsidR="00000000" w:rsidRPr="00000000">
          <w:rPr>
            <w:rFonts w:ascii="Google Sans" w:cs="Google Sans" w:eastAsia="Google Sans" w:hAnsi="Google Sans"/>
            <w:color w:val="0000ee"/>
            <w:sz w:val="24"/>
            <w:szCs w:val="24"/>
            <w:u w:val="single"/>
            <w:rtl w:val="0"/>
          </w:rPr>
          <w:t xml:space="preserve">https://arxiv.org/html/2502.09198v1</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ICML Poster Understanding High-Dimensional Bayesian Optimization, accessed March 26, 2026, </w:t>
      </w:r>
      <w:hyperlink r:id="rId115">
        <w:r w:rsidDel="00000000" w:rsidR="00000000" w:rsidRPr="00000000">
          <w:rPr>
            <w:rFonts w:ascii="Google Sans" w:cs="Google Sans" w:eastAsia="Google Sans" w:hAnsi="Google Sans"/>
            <w:color w:val="0000ee"/>
            <w:sz w:val="24"/>
            <w:szCs w:val="24"/>
            <w:u w:val="single"/>
            <w:rtl w:val="0"/>
          </w:rPr>
          <w:t xml:space="preserve">https://icml.cc/virtual/2025/poster/46626</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expensive model with many parameters, accessed March 26, 2026, </w:t>
      </w:r>
      <w:hyperlink r:id="rId116">
        <w:r w:rsidDel="00000000" w:rsidR="00000000" w:rsidRPr="00000000">
          <w:rPr>
            <w:rFonts w:ascii="Google Sans" w:cs="Google Sans" w:eastAsia="Google Sans" w:hAnsi="Google Sans"/>
            <w:color w:val="0000ee"/>
            <w:sz w:val="24"/>
            <w:szCs w:val="24"/>
            <w:u w:val="single"/>
            <w:rtl w:val="0"/>
          </w:rPr>
          <w:t xml:space="preserve">https://scicomp.stackexchange.com/questions/35583/optimization-of-expensive-model-with-many-parameters</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Note: Method of Morris effectively reduces the computational demands of global sensitivity analysis for distributed watershed models - HESS, accessed March 26, 2026, </w:t>
      </w:r>
      <w:hyperlink r:id="rId117">
        <w:r w:rsidDel="00000000" w:rsidR="00000000" w:rsidRPr="00000000">
          <w:rPr>
            <w:rFonts w:ascii="Google Sans" w:cs="Google Sans" w:eastAsia="Google Sans" w:hAnsi="Google Sans"/>
            <w:color w:val="0000ee"/>
            <w:sz w:val="24"/>
            <w:szCs w:val="24"/>
            <w:u w:val="single"/>
            <w:rtl w:val="0"/>
          </w:rPr>
          <w:t xml:space="preserve">https://hess.copernicus.org/articles/17/2893/2013/hess-17-2893-2013.html</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sensitivity analysis methods for computationally expensive models with multi-dimensional output - GMD, accessed March 26, 2026, </w:t>
      </w:r>
      <w:hyperlink r:id="rId118">
        <w:r w:rsidDel="00000000" w:rsidR="00000000" w:rsidRPr="00000000">
          <w:rPr>
            <w:rFonts w:ascii="Google Sans" w:cs="Google Sans" w:eastAsia="Google Sans" w:hAnsi="Google Sans"/>
            <w:color w:val="0000ee"/>
            <w:sz w:val="24"/>
            <w:szCs w:val="24"/>
            <w:u w:val="single"/>
            <w:rtl w:val="0"/>
          </w:rPr>
          <w:t xml:space="preserve">https://gmd.copernicus.org/articles/11/3131/2018/</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Considerations and Caveats when Applying Global Sensitivity Analysis Methods to Physiologically Based Pharmacokinetic Models - PMC, accessed March 26, 2026, </w:t>
      </w:r>
      <w:hyperlink r:id="rId119">
        <w:r w:rsidDel="00000000" w:rsidR="00000000" w:rsidRPr="00000000">
          <w:rPr>
            <w:rFonts w:ascii="Google Sans" w:cs="Google Sans" w:eastAsia="Google Sans" w:hAnsi="Google Sans"/>
            <w:color w:val="0000ee"/>
            <w:sz w:val="24"/>
            <w:szCs w:val="24"/>
            <w:u w:val="single"/>
            <w:rtl w:val="0"/>
          </w:rPr>
          <w:t xml:space="preserve">https://pmc.ncbi.nlm.nih.gov/articles/PMC7367914/</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Sobol' Sensitivity Indices — gsa-module 0.5.3 documentation, accessed March 26, 2026, </w:t>
      </w:r>
      <w:hyperlink r:id="rId120">
        <w:r w:rsidDel="00000000" w:rsidR="00000000" w:rsidRPr="00000000">
          <w:rPr>
            <w:rFonts w:ascii="Google Sans" w:cs="Google Sans" w:eastAsia="Google Sans" w:hAnsi="Google Sans"/>
            <w:color w:val="0000ee"/>
            <w:sz w:val="24"/>
            <w:szCs w:val="24"/>
            <w:u w:val="single"/>
            <w:rtl w:val="0"/>
          </w:rPr>
          <w:t xml:space="preserve">https://gsa-module.readthedocs.io/en/stable/implementation/sobol_indices.html</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Global Sensitivity Analysis Methods and a comparative case study on Digit Classification - arXiv, accessed March 26, 2026, </w:t>
      </w:r>
      <w:hyperlink r:id="rId121">
        <w:r w:rsidDel="00000000" w:rsidR="00000000" w:rsidRPr="00000000">
          <w:rPr>
            <w:rFonts w:ascii="Google Sans" w:cs="Google Sans" w:eastAsia="Google Sans" w:hAnsi="Google Sans"/>
            <w:color w:val="0000ee"/>
            <w:sz w:val="24"/>
            <w:szCs w:val="24"/>
            <w:u w:val="single"/>
            <w:rtl w:val="0"/>
          </w:rPr>
          <w:t xml:space="preserve">https://arxiv.org/html/2406.16975v1</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and Comparison of Different Sensitivity Analysis Techniques in Practice - arXiv, accessed March 26, 2026, </w:t>
      </w:r>
      <w:hyperlink r:id="rId122">
        <w:r w:rsidDel="00000000" w:rsidR="00000000" w:rsidRPr="00000000">
          <w:rPr>
            <w:rFonts w:ascii="Google Sans" w:cs="Google Sans" w:eastAsia="Google Sans" w:hAnsi="Google Sans"/>
            <w:color w:val="0000ee"/>
            <w:sz w:val="24"/>
            <w:szCs w:val="24"/>
            <w:u w:val="single"/>
            <w:rtl w:val="0"/>
          </w:rPr>
          <w:t xml:space="preserve">https://arxiv.org/html/2506.11471</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Gradient-Free Optimization, accessed March 26, 2026, </w:t>
      </w:r>
      <w:hyperlink r:id="rId123">
        <w:r w:rsidDel="00000000" w:rsidR="00000000" w:rsidRPr="00000000">
          <w:rPr>
            <w:rFonts w:ascii="Google Sans" w:cs="Google Sans" w:eastAsia="Google Sans" w:hAnsi="Google Sans"/>
            <w:color w:val="0000ee"/>
            <w:sz w:val="24"/>
            <w:szCs w:val="24"/>
            <w:u w:val="single"/>
            <w:rtl w:val="0"/>
          </w:rPr>
          <w:t xml:space="preserve">https://mdobook.github.io/html/gradfree/</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non-smooth functions via differentiable surrogates | PLOS One, accessed March 26, 2026, </w:t>
      </w:r>
      <w:hyperlink r:id="rId124">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https://journals.plos.org/plosone/article?id=10.1371/journal.pone.0321862</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What is the point of physics-informed neural networks if you need to know the actual physics? : r/MachineLearning - Reddit, accessed March 26, 2026, </w:t>
      </w:r>
      <w:hyperlink r:id="rId125">
        <w:r w:rsidDel="00000000" w:rsidR="00000000" w:rsidRPr="00000000">
          <w:rPr>
            <w:rFonts w:ascii="Google Sans" w:cs="Google Sans" w:eastAsia="Google Sans" w:hAnsi="Google Sans"/>
            <w:color w:val="0000ee"/>
            <w:sz w:val="24"/>
            <w:szCs w:val="24"/>
            <w:u w:val="single"/>
            <w:rtl w:val="0"/>
          </w:rPr>
          <w:t xml:space="preserve">https://www.reddit.com/r/MachineLearning/comments/12lzzv6/d_what_is_the_point_of_physicsinformed_neural/</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Physics-Informed Neural Networks (PINNs)? - MATLAB &amp; Simulink - MathWorks, accessed March 26, 2026, </w:t>
      </w:r>
      <w:hyperlink r:id="rId126">
        <w:r w:rsidDel="00000000" w:rsidR="00000000" w:rsidRPr="00000000">
          <w:rPr>
            <w:rFonts w:ascii="Google Sans" w:cs="Google Sans" w:eastAsia="Google Sans" w:hAnsi="Google Sans"/>
            <w:color w:val="0000ee"/>
            <w:sz w:val="24"/>
            <w:szCs w:val="24"/>
            <w:u w:val="single"/>
            <w:rtl w:val="0"/>
          </w:rPr>
          <w:t xml:space="preserve">https://www.mathworks.com/discovery/physics-informed-neural-networks.html</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Understanding Physics-Informed Neural Networks: Techniques, Applications, Trends, and Challenges - ResearchGate, accessed March 26, 2026, </w:t>
      </w:r>
      <w:hyperlink r:id="rId127">
        <w:r w:rsidDel="00000000" w:rsidR="00000000" w:rsidRPr="00000000">
          <w:rPr>
            <w:rFonts w:ascii="Google Sans" w:cs="Google Sans" w:eastAsia="Google Sans" w:hAnsi="Google Sans"/>
            <w:color w:val="0000ee"/>
            <w:sz w:val="24"/>
            <w:szCs w:val="24"/>
            <w:u w:val="single"/>
            <w:rtl w:val="0"/>
          </w:rPr>
          <w:t xml:space="preserve">https://www.researchgate.net/publication/383547496_Understanding_Physics-Informed_Neural_Networks_Techniques_Applications_Trends_and_Challenges</w:t>
        </w:r>
      </w:hyperlink>
      <w:r w:rsidDel="00000000" w:rsidR="00000000" w:rsidRPr="00000000">
        <w:rPr>
          <w:rtl w:val="0"/>
        </w:rPr>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DiffTune: Optimizing CPU Simulator Parameters with Learned Differentiable Surrogates - Charith Mendis, accessed March 26, 2026, </w:t>
      </w:r>
      <w:hyperlink r:id="rId128">
        <w:r w:rsidDel="00000000" w:rsidR="00000000" w:rsidRPr="00000000">
          <w:rPr>
            <w:rFonts w:ascii="Google Sans" w:cs="Google Sans" w:eastAsia="Google Sans" w:hAnsi="Google Sans"/>
            <w:color w:val="0000ee"/>
            <w:sz w:val="24"/>
            <w:szCs w:val="24"/>
            <w:u w:val="single"/>
            <w:rtl w:val="0"/>
          </w:rPr>
          <w:t xml:space="preserve">https://charithmendis.com/assets/pdf/20-micro-difftune.pdf</w:t>
        </w:r>
      </w:hyperlink>
      <w:r w:rsidDel="00000000" w:rsidR="00000000" w:rsidRPr="00000000">
        <w:rPr>
          <w:rtl w:val="0"/>
        </w:rPr>
      </w:r>
    </w:p>
    <w:p w:rsidR="00000000" w:rsidDel="00000000" w:rsidP="00000000" w:rsidRDefault="00000000" w:rsidRPr="00000000" w14:paraId="000000C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BESA: Pruning Large Language Models with Blockwise Parameter-Efficient Sparsity Allocation - arXiv.org, accessed March 26, 2026, </w:t>
      </w:r>
      <w:hyperlink r:id="rId129">
        <w:r w:rsidDel="00000000" w:rsidR="00000000" w:rsidRPr="00000000">
          <w:rPr>
            <w:rFonts w:ascii="Google Sans" w:cs="Google Sans" w:eastAsia="Google Sans" w:hAnsi="Google Sans"/>
            <w:color w:val="0000ee"/>
            <w:sz w:val="24"/>
            <w:szCs w:val="24"/>
            <w:u w:val="single"/>
            <w:rtl w:val="0"/>
          </w:rPr>
          <w:t xml:space="preserve">https://arxiv.org/html/2402.16880v2</w:t>
        </w:r>
      </w:hyperlink>
      <w:r w:rsidDel="00000000" w:rsidR="00000000" w:rsidRPr="00000000">
        <w:rPr>
          <w:rtl w:val="0"/>
        </w:rPr>
      </w:r>
    </w:p>
    <w:p w:rsidR="00000000" w:rsidDel="00000000" w:rsidP="00000000" w:rsidRDefault="00000000" w:rsidRPr="00000000" w14:paraId="000000C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BAdam: A Memory Efficient Full Parameter Optimization Method for Large Language Models - OpenReview, accessed March 26, 2026, </w:t>
      </w:r>
      <w:hyperlink r:id="rId130">
        <w:r w:rsidDel="00000000" w:rsidR="00000000" w:rsidRPr="00000000">
          <w:rPr>
            <w:rFonts w:ascii="Google Sans" w:cs="Google Sans" w:eastAsia="Google Sans" w:hAnsi="Google Sans"/>
            <w:color w:val="0000ee"/>
            <w:sz w:val="24"/>
            <w:szCs w:val="24"/>
            <w:u w:val="single"/>
            <w:rtl w:val="0"/>
          </w:rPr>
          <w:t xml:space="preserve">https://openreview.net/pdf?id=0uXtFk5KNJ</w:t>
        </w:r>
      </w:hyperlink>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High-Dimensional Bayesian Optimization via Nested Riemannian Manifolds - NeurIPS, accessed March 26, 2026, </w:t>
      </w:r>
      <w:hyperlink r:id="rId131">
        <w:r w:rsidDel="00000000" w:rsidR="00000000" w:rsidRPr="00000000">
          <w:rPr>
            <w:rFonts w:ascii="Google Sans" w:cs="Google Sans" w:eastAsia="Google Sans" w:hAnsi="Google Sans"/>
            <w:color w:val="0000ee"/>
            <w:sz w:val="24"/>
            <w:szCs w:val="24"/>
            <w:u w:val="single"/>
            <w:rtl w:val="0"/>
          </w:rPr>
          <w:t xml:space="preserve">https://papers.neurips.cc/paper_files/paper/2020/file/f05da679342107f92111ad9d65959cd3-Paper.pdf</w:t>
        </w:r>
      </w:hyperlink>
      <w:r w:rsidDel="00000000" w:rsidR="00000000" w:rsidRPr="00000000">
        <w:rPr>
          <w:rtl w:val="0"/>
        </w:rPr>
      </w:r>
    </w:p>
    <w:p w:rsidR="00000000" w:rsidDel="00000000" w:rsidP="00000000" w:rsidRDefault="00000000" w:rsidRPr="00000000" w14:paraId="000000C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Eriksson | "High-Dimensional Bayesian Optimization" - YouTube, accessed March 26, 2026, </w:t>
      </w:r>
      <w:hyperlink r:id="rId132">
        <w:r w:rsidDel="00000000" w:rsidR="00000000" w:rsidRPr="00000000">
          <w:rPr>
            <w:rFonts w:ascii="Google Sans" w:cs="Google Sans" w:eastAsia="Google Sans" w:hAnsi="Google Sans"/>
            <w:color w:val="0000ee"/>
            <w:sz w:val="24"/>
            <w:szCs w:val="24"/>
            <w:u w:val="single"/>
            <w:rtl w:val="0"/>
          </w:rPr>
          <w:t xml:space="preserve">https://www.youtube.com/watch?v=jjaOWe29krU</w:t>
        </w:r>
      </w:hyperlink>
      <w:r w:rsidDel="00000000" w:rsidR="00000000" w:rsidRPr="00000000">
        <w:rPr>
          <w:rtl w:val="0"/>
        </w:rPr>
      </w:r>
    </w:p>
    <w:p w:rsidR="00000000" w:rsidDel="00000000" w:rsidP="00000000" w:rsidRDefault="00000000" w:rsidRPr="00000000" w14:paraId="000000C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High-Dimensional Bayesian Optimization with Sparse Axis-Aligned Subspaces - Proceedings of Machine Learning Research, accessed March 26, 2026, </w:t>
      </w:r>
      <w:hyperlink r:id="rId133">
        <w:r w:rsidDel="00000000" w:rsidR="00000000" w:rsidRPr="00000000">
          <w:rPr>
            <w:rFonts w:ascii="Google Sans" w:cs="Google Sans" w:eastAsia="Google Sans" w:hAnsi="Google Sans"/>
            <w:color w:val="0000ee"/>
            <w:sz w:val="24"/>
            <w:szCs w:val="24"/>
            <w:u w:val="single"/>
            <w:rtl w:val="0"/>
          </w:rPr>
          <w:t xml:space="preserve">https://proceedings.mlr.press/v161/eriksson21a/eriksson21a.pdf</w:t>
        </w:r>
      </w:hyperlink>
      <w:r w:rsidDel="00000000" w:rsidR="00000000" w:rsidRPr="00000000">
        <w:rPr>
          <w:rtl w:val="0"/>
        </w:rPr>
      </w:r>
    </w:p>
    <w:p w:rsidR="00000000" w:rsidDel="00000000" w:rsidP="00000000" w:rsidRDefault="00000000" w:rsidRPr="00000000" w14:paraId="000000C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Posterior Inference with Diffusion Models for High-dimensional Black-box Optimization, accessed March 26, 2026, </w:t>
      </w:r>
      <w:hyperlink r:id="rId134">
        <w:r w:rsidDel="00000000" w:rsidR="00000000" w:rsidRPr="00000000">
          <w:rPr>
            <w:rFonts w:ascii="Google Sans" w:cs="Google Sans" w:eastAsia="Google Sans" w:hAnsi="Google Sans"/>
            <w:color w:val="0000ee"/>
            <w:sz w:val="24"/>
            <w:szCs w:val="24"/>
            <w:u w:val="single"/>
            <w:rtl w:val="0"/>
          </w:rPr>
          <w:t xml:space="preserve">https://icml.cc/virtual/2025/poster/45940</w:t>
        </w:r>
      </w:hyperlink>
      <w:r w:rsidDel="00000000" w:rsidR="00000000" w:rsidRPr="00000000">
        <w:rPr>
          <w:rtl w:val="0"/>
        </w:rPr>
      </w:r>
    </w:p>
    <w:p w:rsidR="00000000" w:rsidDel="00000000" w:rsidP="00000000" w:rsidRDefault="00000000" w:rsidRPr="00000000" w14:paraId="000000D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High-Dimensional Bayesian Optimization Algorithms on BBOB - arXiv, accessed March 26, 2026, </w:t>
      </w:r>
      <w:hyperlink r:id="rId135">
        <w:r w:rsidDel="00000000" w:rsidR="00000000" w:rsidRPr="00000000">
          <w:rPr>
            <w:rFonts w:ascii="Google Sans" w:cs="Google Sans" w:eastAsia="Google Sans" w:hAnsi="Google Sans"/>
            <w:color w:val="0000ee"/>
            <w:sz w:val="24"/>
            <w:szCs w:val="24"/>
            <w:u w:val="single"/>
            <w:rtl w:val="0"/>
          </w:rPr>
          <w:t xml:space="preserve">https://arxiv.org/html/2303.00890v3</w:t>
        </w:r>
      </w:hyperlink>
      <w:r w:rsidDel="00000000" w:rsidR="00000000" w:rsidRPr="00000000">
        <w:rPr>
          <w:rtl w:val="0"/>
        </w:rPr>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Batched Large-scale Bayesian Optimization in High-dimensional Spaces, accessed March 26, 2026, </w:t>
      </w:r>
      <w:hyperlink r:id="rId136">
        <w:r w:rsidDel="00000000" w:rsidR="00000000" w:rsidRPr="00000000">
          <w:rPr>
            <w:rFonts w:ascii="Google Sans" w:cs="Google Sans" w:eastAsia="Google Sans" w:hAnsi="Google Sans"/>
            <w:color w:val="0000ee"/>
            <w:sz w:val="24"/>
            <w:szCs w:val="24"/>
            <w:u w:val="single"/>
            <w:rtl w:val="0"/>
          </w:rPr>
          <w:t xml:space="preserve">https://www.cl.cam.ac.uk/~ey204/teaching/ACS/R244_2025_2026/papers/HDBO_AISTATS_2018.pdf</w:t>
        </w:r>
      </w:hyperlink>
      <w:r w:rsidDel="00000000" w:rsidR="00000000" w:rsidRPr="00000000">
        <w:rPr>
          <w:rtl w:val="0"/>
        </w:rPr>
      </w:r>
    </w:p>
    <w:p w:rsidR="00000000" w:rsidDel="00000000" w:rsidP="00000000" w:rsidRDefault="00000000" w:rsidRPr="00000000" w14:paraId="000000D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High-dimensional Bayesian optimization with SAASBO - BoTorch, accessed March 26, 2026, </w:t>
      </w:r>
      <w:hyperlink r:id="rId137">
        <w:r w:rsidDel="00000000" w:rsidR="00000000" w:rsidRPr="00000000">
          <w:rPr>
            <w:rFonts w:ascii="Google Sans" w:cs="Google Sans" w:eastAsia="Google Sans" w:hAnsi="Google Sans"/>
            <w:color w:val="0000ee"/>
            <w:sz w:val="24"/>
            <w:szCs w:val="24"/>
            <w:u w:val="single"/>
            <w:rtl w:val="0"/>
          </w:rPr>
          <w:t xml:space="preserve">https://botorch.org/docs/tutorials/saasbo/</w:t>
        </w:r>
      </w:hyperlink>
      <w:r w:rsidDel="00000000" w:rsidR="00000000" w:rsidRPr="00000000">
        <w:rPr>
          <w:rtl w:val="0"/>
        </w:rPr>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High-Dimensional Bayesian Optimization with Sparse Axis-Aligned Subspaces (SAASBO), accessed March 26, 2026, </w:t>
      </w:r>
      <w:hyperlink r:id="rId138">
        <w:r w:rsidDel="00000000" w:rsidR="00000000" w:rsidRPr="00000000">
          <w:rPr>
            <w:rFonts w:ascii="Google Sans" w:cs="Google Sans" w:eastAsia="Google Sans" w:hAnsi="Google Sans"/>
            <w:color w:val="0000ee"/>
            <w:sz w:val="24"/>
            <w:szCs w:val="24"/>
            <w:u w:val="single"/>
            <w:rtl w:val="0"/>
          </w:rPr>
          <w:t xml:space="preserve">https://ax.dev/docs/0.5.0/tutorials/saasbo/</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GIT-BO: High-Dimensional Bayesian Optimization using Tabular Foundation Models, accessed March 26, 2026, </w:t>
      </w:r>
      <w:hyperlink r:id="rId139">
        <w:r w:rsidDel="00000000" w:rsidR="00000000" w:rsidRPr="00000000">
          <w:rPr>
            <w:rFonts w:ascii="Google Sans" w:cs="Google Sans" w:eastAsia="Google Sans" w:hAnsi="Google Sans"/>
            <w:color w:val="0000ee"/>
            <w:sz w:val="24"/>
            <w:szCs w:val="24"/>
            <w:u w:val="single"/>
            <w:rtl w:val="0"/>
          </w:rPr>
          <w:t xml:space="preserve">https://arxiv.org/html/2505.20685v4</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BOIDS: High-Dimensional Bayesian Optimization via Incumbent-Guided Direction Lines and Subspace Embeddings, accessed March 26, 2026, </w:t>
      </w:r>
      <w:hyperlink r:id="rId140">
        <w:r w:rsidDel="00000000" w:rsidR="00000000" w:rsidRPr="00000000">
          <w:rPr>
            <w:rFonts w:ascii="Google Sans" w:cs="Google Sans" w:eastAsia="Google Sans" w:hAnsi="Google Sans"/>
            <w:color w:val="0000ee"/>
            <w:sz w:val="24"/>
            <w:szCs w:val="24"/>
            <w:u w:val="single"/>
            <w:rtl w:val="0"/>
          </w:rPr>
          <w:t xml:space="preserve">https://ojs.aaai.org/index.php/AAAI/article/view/34165/36320</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High-Dimensional Bayesian Optimization Algorithms on BBOB - SciSpace, accessed March 26, 2026, </w:t>
      </w:r>
      <w:hyperlink r:id="rId141">
        <w:r w:rsidDel="00000000" w:rsidR="00000000" w:rsidRPr="00000000">
          <w:rPr>
            <w:rFonts w:ascii="Google Sans" w:cs="Google Sans" w:eastAsia="Google Sans" w:hAnsi="Google Sans"/>
            <w:color w:val="0000ee"/>
            <w:sz w:val="24"/>
            <w:szCs w:val="24"/>
            <w:u w:val="single"/>
            <w:rtl w:val="0"/>
          </w:rPr>
          <w:t xml:space="preserve">https://scispace.com/pdf/comparison-of-high-dimensional-bayesian-optimization-35iasnf1.pdf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Multi-Task Learning as Multi-Objective Optimization - NIPS, accessed March 26, 2026, </w:t>
      </w:r>
      <w:hyperlink r:id="rId142">
        <w:r w:rsidDel="00000000" w:rsidR="00000000" w:rsidRPr="00000000">
          <w:rPr>
            <w:rFonts w:ascii="Google Sans" w:cs="Google Sans" w:eastAsia="Google Sans" w:hAnsi="Google Sans"/>
            <w:color w:val="0000ee"/>
            <w:sz w:val="24"/>
            <w:szCs w:val="24"/>
            <w:u w:val="single"/>
            <w:rtl w:val="0"/>
          </w:rPr>
          <w:t xml:space="preserve">http://papers.neurips.cc/paper/7334-multi-task-learning-as-multi-objective-optimization.pdf</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[2106.12997] Bayesian Optimization with High-Dimensional Outputs - arXiv, accessed March 26, 2026, </w:t>
      </w:r>
      <w:hyperlink r:id="rId143">
        <w:r w:rsidDel="00000000" w:rsidR="00000000" w:rsidRPr="00000000">
          <w:rPr>
            <w:rFonts w:ascii="Google Sans" w:cs="Google Sans" w:eastAsia="Google Sans" w:hAnsi="Google Sans"/>
            <w:color w:val="0000ee"/>
            <w:sz w:val="24"/>
            <w:szCs w:val="24"/>
            <w:u w:val="single"/>
            <w:rtl w:val="0"/>
          </w:rPr>
          <w:t xml:space="preserve">https://arxiv.org/abs/2106.12997</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[2507.16717] Multi-objective Portfolio Optimization Via Gradient Descent - arXiv, accessed March 26, 2026, </w:t>
      </w:r>
      <w:hyperlink r:id="rId144">
        <w:r w:rsidDel="00000000" w:rsidR="00000000" w:rsidRPr="00000000">
          <w:rPr>
            <w:rFonts w:ascii="Google Sans" w:cs="Google Sans" w:eastAsia="Google Sans" w:hAnsi="Google Sans"/>
            <w:color w:val="0000ee"/>
            <w:sz w:val="24"/>
            <w:szCs w:val="24"/>
            <w:u w:val="single"/>
            <w:rtl w:val="0"/>
          </w:rPr>
          <w:t xml:space="preserve">https://arxiv.org/abs/2507.16717</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Scalarization for Optimizing Multi-Objective "Blackbox" Functions (i.e. Gradient Free), accessed March 26, 2026, </w:t>
      </w:r>
      <w:hyperlink r:id="rId145">
        <w:r w:rsidDel="00000000" w:rsidR="00000000" w:rsidRPr="00000000">
          <w:rPr>
            <w:rFonts w:ascii="Google Sans" w:cs="Google Sans" w:eastAsia="Google Sans" w:hAnsi="Google Sans"/>
            <w:color w:val="0000ee"/>
            <w:sz w:val="24"/>
            <w:szCs w:val="24"/>
            <w:u w:val="single"/>
            <w:rtl w:val="0"/>
          </w:rPr>
          <w:t xml:space="preserve">https://www.reddit.com/r/optimization/comments/ontap4/scalarization_for_optimizing_multiobjective/</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Runtime Analyses of NSGA-III on Many-Objective Problems - arXiv, accessed March 26, 2026, </w:t>
      </w:r>
      <w:hyperlink r:id="rId146">
        <w:r w:rsidDel="00000000" w:rsidR="00000000" w:rsidRPr="00000000">
          <w:rPr>
            <w:rFonts w:ascii="Google Sans" w:cs="Google Sans" w:eastAsia="Google Sans" w:hAnsi="Google Sans"/>
            <w:color w:val="0000ee"/>
            <w:sz w:val="24"/>
            <w:szCs w:val="24"/>
            <w:u w:val="single"/>
            <w:rtl w:val="0"/>
          </w:rPr>
          <w:t xml:space="preserve">https://arxiv.org/html/2404.11433v1</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Runtime Analyses of NSGA-III on Many-Objective Problems - arXiv, accessed March 26, 2026, </w:t>
      </w:r>
      <w:hyperlink r:id="rId147">
        <w:r w:rsidDel="00000000" w:rsidR="00000000" w:rsidRPr="00000000">
          <w:rPr>
            <w:rFonts w:ascii="Google Sans" w:cs="Google Sans" w:eastAsia="Google Sans" w:hAnsi="Google Sans"/>
            <w:color w:val="0000ee"/>
            <w:sz w:val="24"/>
            <w:szCs w:val="24"/>
            <w:u w:val="single"/>
            <w:rtl w:val="0"/>
          </w:rPr>
          <w:t xml:space="preserve">https://arxiv.org/html/2404.11433v2</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Evolutionary Many-Objective Optimization Algorithm Using Reference-point Based Non-dominated Sorting Approach, Part I: Solving Problems with Box Constraints - Michigan State University, accessed March 26, 2026, </w:t>
      </w:r>
      <w:hyperlink r:id="rId148">
        <w:r w:rsidDel="00000000" w:rsidR="00000000" w:rsidRPr="00000000">
          <w:rPr>
            <w:rFonts w:ascii="Google Sans" w:cs="Google Sans" w:eastAsia="Google Sans" w:hAnsi="Google Sans"/>
            <w:color w:val="0000ee"/>
            <w:sz w:val="24"/>
            <w:szCs w:val="24"/>
            <w:u w:val="single"/>
            <w:rtl w:val="0"/>
          </w:rPr>
          <w:t xml:space="preserve">https://www.egr.msu.edu/~kdeb/papers/k2012009.pdf</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EliteNSGA-III: An Improved Evolutionary Many- Objective Optimization Algorithm - Michigan State University, accessed March 26, 2026, </w:t>
      </w:r>
      <w:hyperlink r:id="rId149">
        <w:r w:rsidDel="00000000" w:rsidR="00000000" w:rsidRPr="00000000">
          <w:rPr>
            <w:rFonts w:ascii="Google Sans" w:cs="Google Sans" w:eastAsia="Google Sans" w:hAnsi="Google Sans"/>
            <w:color w:val="0000ee"/>
            <w:sz w:val="24"/>
            <w:szCs w:val="24"/>
            <w:u w:val="single"/>
            <w:rtl w:val="0"/>
          </w:rPr>
          <w:t xml:space="preserve">https://www.egr.msu.edu/~kdeb/papers/c2016011.pdf</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NSGA-III — pymoo: Multi-objective Optimization in Python 0.6.1.6 documentation, accessed March 26, 2026, </w:t>
      </w:r>
      <w:hyperlink r:id="rId150">
        <w:r w:rsidDel="00000000" w:rsidR="00000000" w:rsidRPr="00000000">
          <w:rPr>
            <w:rFonts w:ascii="Google Sans" w:cs="Google Sans" w:eastAsia="Google Sans" w:hAnsi="Google Sans"/>
            <w:color w:val="0000ee"/>
            <w:sz w:val="24"/>
            <w:szCs w:val="24"/>
            <w:u w:val="single"/>
            <w:rtl w:val="0"/>
          </w:rPr>
          <w:t xml:space="preserve">https://pymoo.org/algorithms/moo/nsga3.html</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Improved NSGA-III with a Comprehensive Adaptive Penalty Scheme for Many-Objective Optimization - MDPI, accessed March 26, 2026, </w:t>
      </w:r>
      <w:hyperlink r:id="rId151">
        <w:r w:rsidDel="00000000" w:rsidR="00000000" w:rsidRPr="00000000">
          <w:rPr>
            <w:rFonts w:ascii="Google Sans" w:cs="Google Sans" w:eastAsia="Google Sans" w:hAnsi="Google Sans"/>
            <w:color w:val="0000ee"/>
            <w:sz w:val="24"/>
            <w:szCs w:val="24"/>
            <w:u w:val="single"/>
            <w:rtl w:val="0"/>
          </w:rPr>
          <w:t xml:space="preserve">https://www.mdpi.com/2073-8994/16/10/1289</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GPU-accelerated Evolutionary Many-objective Optimization Using Tensorized NSGA-III, accessed March 26, 2026, </w:t>
      </w:r>
      <w:hyperlink r:id="rId152">
        <w:r w:rsidDel="00000000" w:rsidR="00000000" w:rsidRPr="00000000">
          <w:rPr>
            <w:rFonts w:ascii="Google Sans" w:cs="Google Sans" w:eastAsia="Google Sans" w:hAnsi="Google Sans"/>
            <w:color w:val="0000ee"/>
            <w:sz w:val="24"/>
            <w:szCs w:val="24"/>
            <w:u w:val="single"/>
            <w:rtl w:val="0"/>
          </w:rPr>
          <w:t xml:space="preserve">https://arxiv.org/html/2504.06067v1</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Optimization with High-Dimensional Outputs, accessed March 26, 2026, </w:t>
      </w:r>
      <w:hyperlink r:id="rId153">
        <w:r w:rsidDel="00000000" w:rsidR="00000000" w:rsidRPr="00000000">
          <w:rPr>
            <w:rFonts w:ascii="Google Sans" w:cs="Google Sans" w:eastAsia="Google Sans" w:hAnsi="Google Sans"/>
            <w:color w:val="0000ee"/>
            <w:sz w:val="24"/>
            <w:szCs w:val="24"/>
            <w:u w:val="single"/>
            <w:rtl w:val="0"/>
          </w:rPr>
          <w:t xml:space="preserve">https://proceedings.neurips.cc/paper_files/paper/2021/file/a0d3973ad100ad83a64c304bb58677dd-Paper.pdf</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Human-Alignment and Calibration of Inference-Time Uncertainty in Large Language Models, accessed March 26, 2026, </w:t>
      </w:r>
      <w:hyperlink r:id="rId154">
        <w:r w:rsidDel="00000000" w:rsidR="00000000" w:rsidRPr="00000000">
          <w:rPr>
            <w:rFonts w:ascii="Google Sans" w:cs="Google Sans" w:eastAsia="Google Sans" w:hAnsi="Google Sans"/>
            <w:color w:val="0000ee"/>
            <w:sz w:val="24"/>
            <w:szCs w:val="24"/>
            <w:u w:val="single"/>
            <w:rtl w:val="0"/>
          </w:rPr>
          <w:t xml:space="preserve">https://arxiv.org/html/2508.08204v1</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Text Entropy Reveals AI Content: Detection Guide - Hastewire, accessed March 26, 2026, </w:t>
      </w:r>
      <w:hyperlink r:id="rId155">
        <w:r w:rsidDel="00000000" w:rsidR="00000000" w:rsidRPr="00000000">
          <w:rPr>
            <w:rFonts w:ascii="Google Sans" w:cs="Google Sans" w:eastAsia="Google Sans" w:hAnsi="Google Sans"/>
            <w:color w:val="0000ee"/>
            <w:sz w:val="24"/>
            <w:szCs w:val="24"/>
            <w:u w:val="single"/>
            <w:rtl w:val="0"/>
          </w:rPr>
          <w:t xml:space="preserve">https://hastewire.com/blog/how-text-entropy-reveals-ai-content-detection-guide</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Entropy for Machine Learning (December 2025 Guide) - Thunder Compute, accessed March 26, 2026, </w:t>
      </w:r>
      <w:hyperlink r:id="rId156">
        <w:r w:rsidDel="00000000" w:rsidR="00000000" w:rsidRPr="00000000">
          <w:rPr>
            <w:rFonts w:ascii="Google Sans" w:cs="Google Sans" w:eastAsia="Google Sans" w:hAnsi="Google Sans"/>
            <w:color w:val="0000ee"/>
            <w:sz w:val="24"/>
            <w:szCs w:val="24"/>
            <w:u w:val="single"/>
            <w:rtl w:val="0"/>
          </w:rPr>
          <w:t xml:space="preserve">https://www.thundercompute.com/blog/shannon-entropy-machine-learning-guide</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Neutral Class in Sentiment Analysis : r/MachineLearning - Reddit, accessed March 26, 2026, </w:t>
      </w:r>
      <w:hyperlink r:id="rId157">
        <w:r w:rsidDel="00000000" w:rsidR="00000000" w:rsidRPr="00000000">
          <w:rPr>
            <w:rFonts w:ascii="Google Sans" w:cs="Google Sans" w:eastAsia="Google Sans" w:hAnsi="Google Sans"/>
            <w:color w:val="0000ee"/>
            <w:sz w:val="24"/>
            <w:szCs w:val="24"/>
            <w:u w:val="single"/>
            <w:rtl w:val="0"/>
          </w:rPr>
          <w:t xml:space="preserve">https://www.reddit.com/r/MachineLearning/comments/1my83q/the_importance_of_neutral_class_in_sentiment/</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Neutral Class in Sentiment Analysis - Datumbox Blog, accessed March 26, 2026, </w:t>
      </w:r>
      <w:hyperlink r:id="rId158">
        <w:r w:rsidDel="00000000" w:rsidR="00000000" w:rsidRPr="00000000">
          <w:rPr>
            <w:rFonts w:ascii="Google Sans" w:cs="Google Sans" w:eastAsia="Google Sans" w:hAnsi="Google Sans"/>
            <w:color w:val="0000ee"/>
            <w:sz w:val="24"/>
            <w:szCs w:val="24"/>
            <w:u w:val="single"/>
            <w:rtl w:val="0"/>
          </w:rPr>
          <w:t xml:space="preserve">https://blog.datumbox.com/the-importance-of-neutral-class-in-sentiment-analysis/</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the Entropy of Linguistic Distributions - ACL Anthology, accessed March 26, 2026, </w:t>
      </w:r>
      <w:hyperlink r:id="rId159">
        <w:r w:rsidDel="00000000" w:rsidR="00000000" w:rsidRPr="00000000">
          <w:rPr>
            <w:rFonts w:ascii="Google Sans" w:cs="Google Sans" w:eastAsia="Google Sans" w:hAnsi="Google Sans"/>
            <w:color w:val="0000ee"/>
            <w:sz w:val="24"/>
            <w:szCs w:val="24"/>
            <w:u w:val="single"/>
            <w:rtl w:val="0"/>
          </w:rPr>
          <w:t xml:space="preserve">https://aclanthology.org/2022.acl-short.20/</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Algorithmic Trading with Machine Learning and Entropy-Based Decision Making, accessed March 26, 2026, </w:t>
      </w:r>
      <w:hyperlink r:id="rId160">
        <w:r w:rsidDel="00000000" w:rsidR="00000000" w:rsidRPr="00000000">
          <w:rPr>
            <w:rFonts w:ascii="Google Sans" w:cs="Google Sans" w:eastAsia="Google Sans" w:hAnsi="Google Sans"/>
            <w:color w:val="0000ee"/>
            <w:sz w:val="24"/>
            <w:szCs w:val="24"/>
            <w:u w:val="single"/>
            <w:rtl w:val="0"/>
          </w:rPr>
          <w:t xml:space="preserve">https://www.preprints.org/manuscript/202502.1717</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complete guide to Sentiment Analysis approaches with AI - Thematic, accessed March 26, 2026, </w:t>
      </w:r>
      <w:hyperlink r:id="rId161">
        <w:r w:rsidDel="00000000" w:rsidR="00000000" w:rsidRPr="00000000">
          <w:rPr>
            <w:rFonts w:ascii="Google Sans" w:cs="Google Sans" w:eastAsia="Google Sans" w:hAnsi="Google Sans"/>
            <w:color w:val="0000ee"/>
            <w:sz w:val="24"/>
            <w:szCs w:val="24"/>
            <w:u w:val="single"/>
            <w:rtl w:val="0"/>
          </w:rPr>
          <w:t xml:space="preserve">https://getthematic.com/sentiment-analysis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Sentiment Analysis with Term Sentiment Entropy: Capturing Nuanced Sentiment in Text Classification - Preprints.org, accessed March 26, 2026, </w:t>
      </w:r>
      <w:hyperlink r:id="rId162">
        <w:r w:rsidDel="00000000" w:rsidR="00000000" w:rsidRPr="00000000">
          <w:rPr>
            <w:rFonts w:ascii="Google Sans" w:cs="Google Sans" w:eastAsia="Google Sans" w:hAnsi="Google Sans"/>
            <w:color w:val="0000ee"/>
            <w:sz w:val="24"/>
            <w:szCs w:val="24"/>
            <w:u w:val="single"/>
            <w:rtl w:val="0"/>
          </w:rPr>
          <w:t xml:space="preserve">https://www.preprints.org/manuscript/202403.1364/v1</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Deterministic solution of algebraic equations in sentiment analysis - PMC, accessed March 26, 2026, </w:t>
      </w:r>
      <w:hyperlink r:id="rId163">
        <w:r w:rsidDel="00000000" w:rsidR="00000000" w:rsidRPr="00000000">
          <w:rPr>
            <w:rFonts w:ascii="Google Sans" w:cs="Google Sans" w:eastAsia="Google Sans" w:hAnsi="Google Sans"/>
            <w:color w:val="0000ee"/>
            <w:sz w:val="24"/>
            <w:szCs w:val="24"/>
            <w:u w:val="single"/>
            <w:rtl w:val="0"/>
          </w:rPr>
          <w:t xml:space="preserve">https://pmc.ncbi.nlm.nih.gov/articles/PMC10054214/</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A-Situ: a computational framework for affective labeling from psychological behaviors in real-life situations - PMC, accessed March 26, 2026, </w:t>
      </w:r>
      <w:hyperlink r:id="rId164">
        <w:r w:rsidDel="00000000" w:rsidR="00000000" w:rsidRPr="00000000">
          <w:rPr>
            <w:rFonts w:ascii="Google Sans" w:cs="Google Sans" w:eastAsia="Google Sans" w:hAnsi="Google Sans"/>
            <w:color w:val="0000ee"/>
            <w:sz w:val="24"/>
            <w:szCs w:val="24"/>
            <w:u w:val="single"/>
            <w:rtl w:val="0"/>
          </w:rPr>
          <w:t xml:space="preserve">https://pmc.ncbi.nlm.nih.gov/articles/PMC7522975/</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Dimensions: Valence, Arousal, Dominance - Emergent Mind, accessed March 26, 2026, </w:t>
      </w:r>
      <w:hyperlink r:id="rId165">
        <w:r w:rsidDel="00000000" w:rsidR="00000000" w:rsidRPr="00000000">
          <w:rPr>
            <w:rFonts w:ascii="Google Sans" w:cs="Google Sans" w:eastAsia="Google Sans" w:hAnsi="Google Sans"/>
            <w:color w:val="0000ee"/>
            <w:sz w:val="24"/>
            <w:szCs w:val="24"/>
            <w:u w:val="single"/>
            <w:rtl w:val="0"/>
          </w:rPr>
          <w:t xml:space="preserve">https://www.emergentmind.com/topics/emotional-dimensions-valence-arousal-and-dominance</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Valence-Arousal-Dominance Framework - Emergent Mind, accessed March 26, 2026, </w:t>
      </w:r>
      <w:hyperlink r:id="rId166">
        <w:r w:rsidDel="00000000" w:rsidR="00000000" w:rsidRPr="00000000">
          <w:rPr>
            <w:rFonts w:ascii="Google Sans" w:cs="Google Sans" w:eastAsia="Google Sans" w:hAnsi="Google Sans"/>
            <w:color w:val="0000ee"/>
            <w:sz w:val="24"/>
            <w:szCs w:val="24"/>
            <w:u w:val="single"/>
            <w:rtl w:val="0"/>
          </w:rPr>
          <w:t xml:space="preserve">https://www.emergentmind.com/topics/valence-arousal-dominance-framework</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Emotions States Recognition Based on Physiological Parameters by Employing of Fuzzy-Adaptive Resonance Theory - Scirp.org., accessed March 26, 2026, </w:t>
      </w:r>
      <w:hyperlink r:id="rId167">
        <w:r w:rsidDel="00000000" w:rsidR="00000000" w:rsidRPr="00000000">
          <w:rPr>
            <w:rFonts w:ascii="Google Sans" w:cs="Google Sans" w:eastAsia="Google Sans" w:hAnsi="Google Sans"/>
            <w:color w:val="0000ee"/>
            <w:sz w:val="24"/>
            <w:szCs w:val="24"/>
            <w:u w:val="single"/>
            <w:rtl w:val="0"/>
          </w:rPr>
          <w:t xml:space="preserve">https://www.scirp.org/journal/paperinformation?paperid=24190</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mathematical model captures the structure of subjective affect - PMC - NIH, accessed March 26, 2026, </w:t>
      </w:r>
      <w:hyperlink r:id="rId168">
        <w:r w:rsidDel="00000000" w:rsidR="00000000" w:rsidRPr="00000000">
          <w:rPr>
            <w:rFonts w:ascii="Google Sans" w:cs="Google Sans" w:eastAsia="Google Sans" w:hAnsi="Google Sans"/>
            <w:color w:val="0000ee"/>
            <w:sz w:val="24"/>
            <w:szCs w:val="24"/>
            <w:u w:val="single"/>
            <w:rtl w:val="0"/>
          </w:rPr>
          <w:t xml:space="preserve">https://pmc.ncbi.nlm.nih.gov/articles/PMC5445940/</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innovative methodology in analyzing certain pendulum oscillators - PMC, accessed March 26, 2026, </w:t>
      </w:r>
      <w:hyperlink r:id="rId169">
        <w:r w:rsidDel="00000000" w:rsidR="00000000" w:rsidRPr="00000000">
          <w:rPr>
            <w:rFonts w:ascii="Google Sans" w:cs="Google Sans" w:eastAsia="Google Sans" w:hAnsi="Google Sans"/>
            <w:color w:val="0000ee"/>
            <w:sz w:val="24"/>
            <w:szCs w:val="24"/>
            <w:u w:val="single"/>
            <w:rtl w:val="0"/>
          </w:rPr>
          <w:t xml:space="preserve">https://pmc.ncbi.nlm.nih.gov/articles/PMC12059020/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3.png"/><Relationship Id="rId41" Type="http://schemas.openxmlformats.org/officeDocument/2006/relationships/image" Target="media/image28.png"/><Relationship Id="rId44" Type="http://schemas.openxmlformats.org/officeDocument/2006/relationships/image" Target="media/image26.png"/><Relationship Id="rId43" Type="http://schemas.openxmlformats.org/officeDocument/2006/relationships/image" Target="media/image32.png"/><Relationship Id="rId46" Type="http://schemas.openxmlformats.org/officeDocument/2006/relationships/image" Target="media/image2.png"/><Relationship Id="rId45" Type="http://schemas.openxmlformats.org/officeDocument/2006/relationships/image" Target="media/image1.png"/><Relationship Id="rId107" Type="http://schemas.openxmlformats.org/officeDocument/2006/relationships/hyperlink" Target="https://aclanthology.org/2020.acl-main.372/" TargetMode="External"/><Relationship Id="rId106" Type="http://schemas.openxmlformats.org/officeDocument/2006/relationships/hyperlink" Target="https://www.researchgate.net/publication/343300732_GoEmotions_A_Dataset_of_Fine-Grained_Emotions" TargetMode="External"/><Relationship Id="rId105" Type="http://schemas.openxmlformats.org/officeDocument/2006/relationships/hyperlink" Target="https://prof-frenzel.medium.com/kb-sentiment-analysis-rule-based-vs-ml-approaches-984a29503716" TargetMode="External"/><Relationship Id="rId104" Type="http://schemas.openxmlformats.org/officeDocument/2006/relationships/hyperlink" Target="http://eegilbert.org/papers/icwsm14.vader.hutto.pdf" TargetMode="External"/><Relationship Id="rId109" Type="http://schemas.openxmlformats.org/officeDocument/2006/relationships/hyperlink" Target="https://pmc.ncbi.nlm.nih.gov/articles/PMC11232613/" TargetMode="External"/><Relationship Id="rId108" Type="http://schemas.openxmlformats.org/officeDocument/2006/relationships/hyperlink" Target="https://scholars.ncu.edu.tw/en/publications/chinese-emobank-building-valence-arousal-resources-for-dimensiona/" TargetMode="External"/><Relationship Id="rId48" Type="http://schemas.openxmlformats.org/officeDocument/2006/relationships/image" Target="media/image39.png"/><Relationship Id="rId47" Type="http://schemas.openxmlformats.org/officeDocument/2006/relationships/image" Target="media/image19.png"/><Relationship Id="rId49" Type="http://schemas.openxmlformats.org/officeDocument/2006/relationships/image" Target="media/image30.png"/><Relationship Id="rId103" Type="http://schemas.openxmlformats.org/officeDocument/2006/relationships/hyperlink" Target="https://www.projectguru.in/starting-with-rule-based-sentiment-analysis/" TargetMode="External"/><Relationship Id="rId102" Type="http://schemas.openxmlformats.org/officeDocument/2006/relationships/image" Target="media/image50.png"/><Relationship Id="rId101" Type="http://schemas.openxmlformats.org/officeDocument/2006/relationships/image" Target="media/image55.png"/><Relationship Id="rId100" Type="http://schemas.openxmlformats.org/officeDocument/2006/relationships/image" Target="media/image60.png"/><Relationship Id="rId31" Type="http://schemas.openxmlformats.org/officeDocument/2006/relationships/image" Target="media/image68.png"/><Relationship Id="rId30" Type="http://schemas.openxmlformats.org/officeDocument/2006/relationships/image" Target="media/image17.png"/><Relationship Id="rId33" Type="http://schemas.openxmlformats.org/officeDocument/2006/relationships/image" Target="media/image46.png"/><Relationship Id="rId32" Type="http://schemas.openxmlformats.org/officeDocument/2006/relationships/image" Target="media/image66.png"/><Relationship Id="rId35" Type="http://schemas.openxmlformats.org/officeDocument/2006/relationships/image" Target="media/image5.png"/><Relationship Id="rId34" Type="http://schemas.openxmlformats.org/officeDocument/2006/relationships/image" Target="media/image12.png"/><Relationship Id="rId37" Type="http://schemas.openxmlformats.org/officeDocument/2006/relationships/image" Target="media/image9.png"/><Relationship Id="rId36" Type="http://schemas.openxmlformats.org/officeDocument/2006/relationships/image" Target="media/image24.png"/><Relationship Id="rId39" Type="http://schemas.openxmlformats.org/officeDocument/2006/relationships/image" Target="media/image21.png"/><Relationship Id="rId38" Type="http://schemas.openxmlformats.org/officeDocument/2006/relationships/image" Target="media/image14.png"/><Relationship Id="rId20" Type="http://schemas.openxmlformats.org/officeDocument/2006/relationships/image" Target="media/image97.png"/><Relationship Id="rId22" Type="http://schemas.openxmlformats.org/officeDocument/2006/relationships/image" Target="media/image4.png"/><Relationship Id="rId21" Type="http://schemas.openxmlformats.org/officeDocument/2006/relationships/image" Target="media/image7.png"/><Relationship Id="rId24" Type="http://schemas.openxmlformats.org/officeDocument/2006/relationships/image" Target="media/image86.png"/><Relationship Id="rId23" Type="http://schemas.openxmlformats.org/officeDocument/2006/relationships/image" Target="media/image96.png"/><Relationship Id="rId129" Type="http://schemas.openxmlformats.org/officeDocument/2006/relationships/hyperlink" Target="https://arxiv.org/html/2402.16880v2" TargetMode="External"/><Relationship Id="rId128" Type="http://schemas.openxmlformats.org/officeDocument/2006/relationships/hyperlink" Target="https://charithmendis.com/assets/pdf/20-micro-difftune.pdf" TargetMode="External"/><Relationship Id="rId127" Type="http://schemas.openxmlformats.org/officeDocument/2006/relationships/hyperlink" Target="https://www.researchgate.net/publication/383547496_Understanding_Physics-Informed_Neural_Networks_Techniques_Applications_Trends_and_Challenges" TargetMode="External"/><Relationship Id="rId126" Type="http://schemas.openxmlformats.org/officeDocument/2006/relationships/hyperlink" Target="https://www.mathworks.com/discovery/physics-informed-neural-networks.html" TargetMode="External"/><Relationship Id="rId26" Type="http://schemas.openxmlformats.org/officeDocument/2006/relationships/image" Target="media/image6.png"/><Relationship Id="rId121" Type="http://schemas.openxmlformats.org/officeDocument/2006/relationships/hyperlink" Target="https://arxiv.org/html/2406.16975v1" TargetMode="External"/><Relationship Id="rId25" Type="http://schemas.openxmlformats.org/officeDocument/2006/relationships/image" Target="media/image8.png"/><Relationship Id="rId120" Type="http://schemas.openxmlformats.org/officeDocument/2006/relationships/hyperlink" Target="https://gsa-module.readthedocs.io/en/stable/implementation/sobol_indices.html" TargetMode="External"/><Relationship Id="rId28" Type="http://schemas.openxmlformats.org/officeDocument/2006/relationships/image" Target="media/image13.png"/><Relationship Id="rId27" Type="http://schemas.openxmlformats.org/officeDocument/2006/relationships/image" Target="media/image11.png"/><Relationship Id="rId125" Type="http://schemas.openxmlformats.org/officeDocument/2006/relationships/hyperlink" Target="https://www.reddit.com/r/MachineLearning/comments/12lzzv6/d_what_is_the_point_of_physicsinformed_neural/" TargetMode="External"/><Relationship Id="rId29" Type="http://schemas.openxmlformats.org/officeDocument/2006/relationships/image" Target="media/image75.png"/><Relationship Id="rId124" Type="http://schemas.openxmlformats.org/officeDocument/2006/relationships/hyperlink" Target="https://journals.plos.org/plosone/article?id=10.1371/journal.pone.0321862" TargetMode="External"/><Relationship Id="rId123" Type="http://schemas.openxmlformats.org/officeDocument/2006/relationships/hyperlink" Target="https://mdobook.github.io/html/gradfree/" TargetMode="External"/><Relationship Id="rId122" Type="http://schemas.openxmlformats.org/officeDocument/2006/relationships/hyperlink" Target="https://arxiv.org/html/2506.11471" TargetMode="External"/><Relationship Id="rId95" Type="http://schemas.openxmlformats.org/officeDocument/2006/relationships/image" Target="media/image47.png"/><Relationship Id="rId94" Type="http://schemas.openxmlformats.org/officeDocument/2006/relationships/image" Target="media/image48.png"/><Relationship Id="rId97" Type="http://schemas.openxmlformats.org/officeDocument/2006/relationships/image" Target="media/image69.png"/><Relationship Id="rId96" Type="http://schemas.openxmlformats.org/officeDocument/2006/relationships/image" Target="media/image53.png"/><Relationship Id="rId11" Type="http://schemas.openxmlformats.org/officeDocument/2006/relationships/image" Target="media/image92.png"/><Relationship Id="rId99" Type="http://schemas.openxmlformats.org/officeDocument/2006/relationships/image" Target="media/image64.png"/><Relationship Id="rId10" Type="http://schemas.openxmlformats.org/officeDocument/2006/relationships/image" Target="media/image16.png"/><Relationship Id="rId98" Type="http://schemas.openxmlformats.org/officeDocument/2006/relationships/image" Target="media/image61.png"/><Relationship Id="rId13" Type="http://schemas.openxmlformats.org/officeDocument/2006/relationships/image" Target="media/image36.png"/><Relationship Id="rId12" Type="http://schemas.openxmlformats.org/officeDocument/2006/relationships/image" Target="media/image85.png"/><Relationship Id="rId91" Type="http://schemas.openxmlformats.org/officeDocument/2006/relationships/image" Target="media/image80.png"/><Relationship Id="rId90" Type="http://schemas.openxmlformats.org/officeDocument/2006/relationships/image" Target="media/image78.png"/><Relationship Id="rId93" Type="http://schemas.openxmlformats.org/officeDocument/2006/relationships/image" Target="media/image59.png"/><Relationship Id="rId92" Type="http://schemas.openxmlformats.org/officeDocument/2006/relationships/image" Target="media/image74.png"/><Relationship Id="rId118" Type="http://schemas.openxmlformats.org/officeDocument/2006/relationships/hyperlink" Target="https://gmd.copernicus.org/articles/11/3131/2018/" TargetMode="External"/><Relationship Id="rId117" Type="http://schemas.openxmlformats.org/officeDocument/2006/relationships/hyperlink" Target="https://hess.copernicus.org/articles/17/2893/2013/hess-17-2893-2013.html" TargetMode="External"/><Relationship Id="rId116" Type="http://schemas.openxmlformats.org/officeDocument/2006/relationships/hyperlink" Target="https://scicomp.stackexchange.com/questions/35583/optimization-of-expensive-model-with-many-parameters" TargetMode="External"/><Relationship Id="rId115" Type="http://schemas.openxmlformats.org/officeDocument/2006/relationships/hyperlink" Target="https://icml.cc/virtual/2025/poster/46626" TargetMode="External"/><Relationship Id="rId119" Type="http://schemas.openxmlformats.org/officeDocument/2006/relationships/hyperlink" Target="https://pmc.ncbi.nlm.nih.gov/articles/PMC7367914/" TargetMode="External"/><Relationship Id="rId15" Type="http://schemas.openxmlformats.org/officeDocument/2006/relationships/image" Target="media/image91.png"/><Relationship Id="rId110" Type="http://schemas.openxmlformats.org/officeDocument/2006/relationships/hyperlink" Target="https://adapt.cs.illinois.edu/papers/difftune.pdf" TargetMode="External"/><Relationship Id="rId14" Type="http://schemas.openxmlformats.org/officeDocument/2006/relationships/image" Target="media/image89.png"/><Relationship Id="rId17" Type="http://schemas.openxmlformats.org/officeDocument/2006/relationships/image" Target="media/image22.png"/><Relationship Id="rId16" Type="http://schemas.openxmlformats.org/officeDocument/2006/relationships/image" Target="media/image84.png"/><Relationship Id="rId19" Type="http://schemas.openxmlformats.org/officeDocument/2006/relationships/image" Target="media/image93.png"/><Relationship Id="rId114" Type="http://schemas.openxmlformats.org/officeDocument/2006/relationships/hyperlink" Target="https://arxiv.org/html/2502.09198v1" TargetMode="External"/><Relationship Id="rId18" Type="http://schemas.openxmlformats.org/officeDocument/2006/relationships/image" Target="media/image56.png"/><Relationship Id="rId113" Type="http://schemas.openxmlformats.org/officeDocument/2006/relationships/hyperlink" Target="https://www.mdpi.com/2076-3417/15/15/8740" TargetMode="External"/><Relationship Id="rId112" Type="http://schemas.openxmlformats.org/officeDocument/2006/relationships/hyperlink" Target="https://medium.com/tr-labs-ml-engineering-blog/fine-tuning-llms-with-non-differentiable-human-feedback-rl-ec6c33a45928" TargetMode="External"/><Relationship Id="rId111" Type="http://schemas.openxmlformats.org/officeDocument/2006/relationships/hyperlink" Target="https://arxiv.org/abs/2010.04017" TargetMode="External"/><Relationship Id="rId84" Type="http://schemas.openxmlformats.org/officeDocument/2006/relationships/image" Target="media/image67.png"/><Relationship Id="rId83" Type="http://schemas.openxmlformats.org/officeDocument/2006/relationships/image" Target="media/image73.png"/><Relationship Id="rId86" Type="http://schemas.openxmlformats.org/officeDocument/2006/relationships/image" Target="media/image65.png"/><Relationship Id="rId85" Type="http://schemas.openxmlformats.org/officeDocument/2006/relationships/image" Target="media/image94.png"/><Relationship Id="rId88" Type="http://schemas.openxmlformats.org/officeDocument/2006/relationships/image" Target="media/image88.png"/><Relationship Id="rId150" Type="http://schemas.openxmlformats.org/officeDocument/2006/relationships/hyperlink" Target="https://pymoo.org/algorithms/moo/nsga3.html" TargetMode="External"/><Relationship Id="rId87" Type="http://schemas.openxmlformats.org/officeDocument/2006/relationships/image" Target="media/image63.png"/><Relationship Id="rId89" Type="http://schemas.openxmlformats.org/officeDocument/2006/relationships/image" Target="media/image90.png"/><Relationship Id="rId80" Type="http://schemas.openxmlformats.org/officeDocument/2006/relationships/image" Target="media/image18.png"/><Relationship Id="rId82" Type="http://schemas.openxmlformats.org/officeDocument/2006/relationships/image" Target="media/image83.png"/><Relationship Id="rId81"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egr.msu.edu/~kdeb/papers/c2016011.pdf" TargetMode="External"/><Relationship Id="rId4" Type="http://schemas.openxmlformats.org/officeDocument/2006/relationships/numbering" Target="numbering.xml"/><Relationship Id="rId148" Type="http://schemas.openxmlformats.org/officeDocument/2006/relationships/hyperlink" Target="https://www.egr.msu.edu/~kdeb/papers/k2012009.pdf" TargetMode="External"/><Relationship Id="rId9" Type="http://schemas.openxmlformats.org/officeDocument/2006/relationships/image" Target="media/image81.png"/><Relationship Id="rId143" Type="http://schemas.openxmlformats.org/officeDocument/2006/relationships/hyperlink" Target="https://arxiv.org/abs/2106.12997" TargetMode="External"/><Relationship Id="rId142" Type="http://schemas.openxmlformats.org/officeDocument/2006/relationships/hyperlink" Target="http://papers.neurips.cc/paper/7334-multi-task-learning-as-multi-objective-optimization.pdf" TargetMode="External"/><Relationship Id="rId141" Type="http://schemas.openxmlformats.org/officeDocument/2006/relationships/hyperlink" Target="https://scispace.com/pdf/comparison-of-high-dimensional-bayesian-optimization-35iasnf1.pdf" TargetMode="External"/><Relationship Id="rId140" Type="http://schemas.openxmlformats.org/officeDocument/2006/relationships/hyperlink" Target="https://ojs.aaai.org/index.php/AAAI/article/view/34165/36320" TargetMode="External"/><Relationship Id="rId5" Type="http://schemas.openxmlformats.org/officeDocument/2006/relationships/styles" Target="styles.xml"/><Relationship Id="rId147" Type="http://schemas.openxmlformats.org/officeDocument/2006/relationships/hyperlink" Target="https://arxiv.org/html/2404.11433v2" TargetMode="External"/><Relationship Id="rId6" Type="http://schemas.openxmlformats.org/officeDocument/2006/relationships/image" Target="media/image72.png"/><Relationship Id="rId146" Type="http://schemas.openxmlformats.org/officeDocument/2006/relationships/hyperlink" Target="https://arxiv.org/html/2404.11433v1" TargetMode="External"/><Relationship Id="rId7" Type="http://schemas.openxmlformats.org/officeDocument/2006/relationships/image" Target="media/image77.png"/><Relationship Id="rId145" Type="http://schemas.openxmlformats.org/officeDocument/2006/relationships/hyperlink" Target="https://www.reddit.com/r/optimization/comments/ontap4/scalarization_for_optimizing_multiobjective/" TargetMode="External"/><Relationship Id="rId8" Type="http://schemas.openxmlformats.org/officeDocument/2006/relationships/image" Target="media/image76.png"/><Relationship Id="rId144" Type="http://schemas.openxmlformats.org/officeDocument/2006/relationships/hyperlink" Target="https://arxiv.org/abs/2507.16717" TargetMode="External"/><Relationship Id="rId73" Type="http://schemas.openxmlformats.org/officeDocument/2006/relationships/image" Target="media/image42.png"/><Relationship Id="rId72" Type="http://schemas.openxmlformats.org/officeDocument/2006/relationships/image" Target="media/image44.png"/><Relationship Id="rId75" Type="http://schemas.openxmlformats.org/officeDocument/2006/relationships/image" Target="media/image79.png"/><Relationship Id="rId74" Type="http://schemas.openxmlformats.org/officeDocument/2006/relationships/image" Target="media/image40.png"/><Relationship Id="rId77" Type="http://schemas.openxmlformats.org/officeDocument/2006/relationships/image" Target="media/image95.png"/><Relationship Id="rId76" Type="http://schemas.openxmlformats.org/officeDocument/2006/relationships/image" Target="media/image87.png"/><Relationship Id="rId79" Type="http://schemas.openxmlformats.org/officeDocument/2006/relationships/image" Target="media/image15.png"/><Relationship Id="rId78" Type="http://schemas.openxmlformats.org/officeDocument/2006/relationships/image" Target="media/image82.png"/><Relationship Id="rId71" Type="http://schemas.openxmlformats.org/officeDocument/2006/relationships/image" Target="media/image43.png"/><Relationship Id="rId70" Type="http://schemas.openxmlformats.org/officeDocument/2006/relationships/image" Target="media/image38.png"/><Relationship Id="rId139" Type="http://schemas.openxmlformats.org/officeDocument/2006/relationships/hyperlink" Target="https://arxiv.org/html/2505.20685v4" TargetMode="External"/><Relationship Id="rId138" Type="http://schemas.openxmlformats.org/officeDocument/2006/relationships/hyperlink" Target="https://ax.dev/docs/0.5.0/tutorials/saasbo/" TargetMode="External"/><Relationship Id="rId137" Type="http://schemas.openxmlformats.org/officeDocument/2006/relationships/hyperlink" Target="https://botorch.org/docs/tutorials/saasbo/" TargetMode="External"/><Relationship Id="rId132" Type="http://schemas.openxmlformats.org/officeDocument/2006/relationships/hyperlink" Target="https://www.youtube.com/watch?v=jjaOWe29krU" TargetMode="External"/><Relationship Id="rId131" Type="http://schemas.openxmlformats.org/officeDocument/2006/relationships/hyperlink" Target="https://papers.neurips.cc/paper_files/paper/2020/file/f05da679342107f92111ad9d65959cd3-Paper.pdf" TargetMode="External"/><Relationship Id="rId130" Type="http://schemas.openxmlformats.org/officeDocument/2006/relationships/hyperlink" Target="https://openreview.net/pdf?id=0uXtFk5KNJ" TargetMode="External"/><Relationship Id="rId136" Type="http://schemas.openxmlformats.org/officeDocument/2006/relationships/hyperlink" Target="https://www.cl.cam.ac.uk/~ey204/teaching/ACS/R244_2025_2026/papers/HDBO_AISTATS_2018.pdf" TargetMode="External"/><Relationship Id="rId135" Type="http://schemas.openxmlformats.org/officeDocument/2006/relationships/hyperlink" Target="https://arxiv.org/html/2303.00890v3" TargetMode="External"/><Relationship Id="rId134" Type="http://schemas.openxmlformats.org/officeDocument/2006/relationships/hyperlink" Target="https://icml.cc/virtual/2025/poster/45940" TargetMode="External"/><Relationship Id="rId133" Type="http://schemas.openxmlformats.org/officeDocument/2006/relationships/hyperlink" Target="https://proceedings.mlr.press/v161/eriksson21a/eriksson21a.pdf" TargetMode="External"/><Relationship Id="rId62" Type="http://schemas.openxmlformats.org/officeDocument/2006/relationships/image" Target="media/image49.png"/><Relationship Id="rId61" Type="http://schemas.openxmlformats.org/officeDocument/2006/relationships/image" Target="media/image71.png"/><Relationship Id="rId64" Type="http://schemas.openxmlformats.org/officeDocument/2006/relationships/image" Target="media/image62.png"/><Relationship Id="rId63" Type="http://schemas.openxmlformats.org/officeDocument/2006/relationships/image" Target="media/image70.png"/><Relationship Id="rId66" Type="http://schemas.openxmlformats.org/officeDocument/2006/relationships/image" Target="media/image58.png"/><Relationship Id="rId65" Type="http://schemas.openxmlformats.org/officeDocument/2006/relationships/image" Target="media/image54.png"/><Relationship Id="rId68" Type="http://schemas.openxmlformats.org/officeDocument/2006/relationships/image" Target="media/image41.png"/><Relationship Id="rId67" Type="http://schemas.openxmlformats.org/officeDocument/2006/relationships/image" Target="media/image45.png"/><Relationship Id="rId60" Type="http://schemas.openxmlformats.org/officeDocument/2006/relationships/image" Target="media/image57.png"/><Relationship Id="rId165" Type="http://schemas.openxmlformats.org/officeDocument/2006/relationships/hyperlink" Target="https://www.emergentmind.com/topics/emotional-dimensions-valence-arousal-and-dominance" TargetMode="External"/><Relationship Id="rId69" Type="http://schemas.openxmlformats.org/officeDocument/2006/relationships/image" Target="media/image52.png"/><Relationship Id="rId164" Type="http://schemas.openxmlformats.org/officeDocument/2006/relationships/hyperlink" Target="https://pmc.ncbi.nlm.nih.gov/articles/PMC7522975/" TargetMode="External"/><Relationship Id="rId163" Type="http://schemas.openxmlformats.org/officeDocument/2006/relationships/hyperlink" Target="https://pmc.ncbi.nlm.nih.gov/articles/PMC10054214/" TargetMode="External"/><Relationship Id="rId162" Type="http://schemas.openxmlformats.org/officeDocument/2006/relationships/hyperlink" Target="https://www.preprints.org/manuscript/202403.1364/v1" TargetMode="External"/><Relationship Id="rId169" Type="http://schemas.openxmlformats.org/officeDocument/2006/relationships/hyperlink" Target="https://pmc.ncbi.nlm.nih.gov/articles/PMC12059020/" TargetMode="External"/><Relationship Id="rId168" Type="http://schemas.openxmlformats.org/officeDocument/2006/relationships/hyperlink" Target="https://pmc.ncbi.nlm.nih.gov/articles/PMC5445940/" TargetMode="External"/><Relationship Id="rId167" Type="http://schemas.openxmlformats.org/officeDocument/2006/relationships/hyperlink" Target="https://www.scirp.org/journal/paperinformation?paperid=24190" TargetMode="External"/><Relationship Id="rId166" Type="http://schemas.openxmlformats.org/officeDocument/2006/relationships/hyperlink" Target="https://www.emergentmind.com/topics/valence-arousal-dominance-framework" TargetMode="External"/><Relationship Id="rId51" Type="http://schemas.openxmlformats.org/officeDocument/2006/relationships/image" Target="media/image35.png"/><Relationship Id="rId50" Type="http://schemas.openxmlformats.org/officeDocument/2006/relationships/image" Target="media/image29.png"/><Relationship Id="rId53" Type="http://schemas.openxmlformats.org/officeDocument/2006/relationships/image" Target="media/image23.png"/><Relationship Id="rId52" Type="http://schemas.openxmlformats.org/officeDocument/2006/relationships/image" Target="media/image33.png"/><Relationship Id="rId55" Type="http://schemas.openxmlformats.org/officeDocument/2006/relationships/image" Target="media/image31.png"/><Relationship Id="rId161" Type="http://schemas.openxmlformats.org/officeDocument/2006/relationships/hyperlink" Target="https://getthematic.com/sentiment-analysis" TargetMode="External"/><Relationship Id="rId54" Type="http://schemas.openxmlformats.org/officeDocument/2006/relationships/image" Target="media/image34.png"/><Relationship Id="rId160" Type="http://schemas.openxmlformats.org/officeDocument/2006/relationships/hyperlink" Target="https://www.preprints.org/manuscript/202502.1717" TargetMode="External"/><Relationship Id="rId57" Type="http://schemas.openxmlformats.org/officeDocument/2006/relationships/image" Target="media/image27.png"/><Relationship Id="rId56" Type="http://schemas.openxmlformats.org/officeDocument/2006/relationships/image" Target="media/image37.png"/><Relationship Id="rId159" Type="http://schemas.openxmlformats.org/officeDocument/2006/relationships/hyperlink" Target="https://aclanthology.org/2022.acl-short.20/" TargetMode="External"/><Relationship Id="rId59" Type="http://schemas.openxmlformats.org/officeDocument/2006/relationships/image" Target="media/image51.png"/><Relationship Id="rId154" Type="http://schemas.openxmlformats.org/officeDocument/2006/relationships/hyperlink" Target="https://arxiv.org/html/2508.08204v1" TargetMode="External"/><Relationship Id="rId58" Type="http://schemas.openxmlformats.org/officeDocument/2006/relationships/image" Target="media/image25.png"/><Relationship Id="rId153" Type="http://schemas.openxmlformats.org/officeDocument/2006/relationships/hyperlink" Target="https://proceedings.neurips.cc/paper_files/paper/2021/file/a0d3973ad100ad83a64c304bb58677dd-Paper.pdf" TargetMode="External"/><Relationship Id="rId152" Type="http://schemas.openxmlformats.org/officeDocument/2006/relationships/hyperlink" Target="https://arxiv.org/html/2504.06067v1" TargetMode="External"/><Relationship Id="rId151" Type="http://schemas.openxmlformats.org/officeDocument/2006/relationships/hyperlink" Target="https://www.mdpi.com/2073-8994/16/10/1289" TargetMode="External"/><Relationship Id="rId158" Type="http://schemas.openxmlformats.org/officeDocument/2006/relationships/hyperlink" Target="https://blog.datumbox.com/the-importance-of-neutral-class-in-sentiment-analysis/" TargetMode="External"/><Relationship Id="rId157" Type="http://schemas.openxmlformats.org/officeDocument/2006/relationships/hyperlink" Target="https://www.reddit.com/r/MachineLearning/comments/1my83q/the_importance_of_neutral_class_in_sentiment/" TargetMode="External"/><Relationship Id="rId156" Type="http://schemas.openxmlformats.org/officeDocument/2006/relationships/hyperlink" Target="https://www.thundercompute.com/blog/shannon-entropy-machine-learning-guide" TargetMode="External"/><Relationship Id="rId155" Type="http://schemas.openxmlformats.org/officeDocument/2006/relationships/hyperlink" Target="https://hastewire.com/blog/how-text-entropy-reveals-ai-content-detection-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