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0E4FA3"/>
          <w:sz w:val="24"/>
          <w:szCs w:val="24"/>
        </w:rPr>
        <w:t xml:space="preserve">RooZ Youth Development Network</w:t>
      </w:r>
    </w:p>
    <w:p>
      <w:pPr>
        <w:spacing w:after="240"/>
        <w:jc w:val="center"/>
      </w:pPr>
      <w:r>
        <w:rPr>
          <w:i/>
          <w:iCs/>
          <w:color w:val="6B7280"/>
          <w:sz w:val="20"/>
          <w:szCs w:val="20"/>
        </w:rPr>
        <w:t xml:space="preserve">Réseau de développement de la jeunesse RooZ</w:t>
      </w:r>
    </w:p>
    <w:p>
      <w:pPr>
        <w:spacing w:after="60"/>
        <w:jc w:val="center"/>
      </w:pPr>
      <w:r>
        <w:rPr>
          <w:b/>
          <w:bCs/>
          <w:color w:val="1F2937"/>
          <w:sz w:val="44"/>
          <w:szCs w:val="44"/>
        </w:rPr>
        <w:t xml:space="preserve">Conflict of Interest Policy</w:t>
      </w:r>
    </w:p>
    <w:p>
      <w:pPr>
        <w:spacing w:after="60"/>
        <w:jc w:val="center"/>
      </w:pPr>
      <w:r>
        <w:rPr>
          <w:color w:val="6B7280"/>
          <w:sz w:val="22"/>
          <w:szCs w:val="22"/>
        </w:rPr>
        <w:t xml:space="preserve">Governance policy for directors, officers, staff, and key volunteers</w:t>
      </w:r>
    </w:p>
    <w:p>
      <w:pPr>
        <w:pBdr>
          <w:bottom w:val="single" w:color="F59E0B" w:sz="4" w:space="8"/>
        </w:pBdr>
        <w:spacing w:after="320"/>
        <w:jc w:val="center"/>
      </w:pPr>
      <w:r>
        <w:rPr>
          <w:i/>
          <w:iCs/>
          <w:color w:val="6B7280"/>
          <w:sz w:val="18"/>
          <w:szCs w:val="18"/>
        </w:rPr>
        <w:t xml:space="preserve">Last updated: June 2, 2026</w:t>
      </w:r>
    </w:p>
    <w:p>
      <w:pPr>
        <w:pStyle w:val="Heading1"/>
      </w:pPr>
      <w:r>
        <w:t xml:space="preserve">1. Purpose</w:t>
      </w:r>
    </w:p>
    <w:p>
      <w:pPr>
        <w:spacing w:after="120"/>
      </w:pPr>
      <w:r>
        <w:t xml:space="preserve">This policy protects RooZ Youth Development Network (operating as RYDN) when it considers a transaction or arrangement that might benefit the private interest of a director, officer, staff member, or other person in a position of authority. It supplements, but does not replace, federal and provincial laws governing conflicts of interest for not-for-profit corporations and registered charities in Canada.</w:t>
      </w:r>
    </w:p>
    <w:p>
      <w:pPr>
        <w:pStyle w:val="Heading1"/>
      </w:pPr>
      <w:r>
        <w:t xml:space="preserve">2. Who this applies to</w:t>
      </w:r>
    </w:p>
    <w:p>
      <w:pPr>
        <w:spacing w:after="120"/>
      </w:pPr>
      <w:r>
        <w:t xml:space="preserve">This policy applies to:</w:t>
      </w:r>
    </w:p>
    <w:p>
      <w:pPr>
        <w:pStyle w:val="ListParagraph"/>
        <w:numPr>
          <w:ilvl w:val="0"/>
          <w:numId w:val="2"/>
        </w:numPr>
        <w:spacing w:after="80"/>
      </w:pPr>
      <w:r>
        <w:t xml:space="preserve">All members of the Board of Directors</w:t>
      </w:r>
    </w:p>
    <w:p>
      <w:pPr>
        <w:pStyle w:val="ListParagraph"/>
        <w:numPr>
          <w:ilvl w:val="0"/>
          <w:numId w:val="2"/>
        </w:numPr>
        <w:spacing w:after="80"/>
      </w:pPr>
      <w:r>
        <w:t xml:space="preserve">All officers (e.g., Chair, Treasurer, Secretary)</w:t>
      </w:r>
    </w:p>
    <w:p>
      <w:pPr>
        <w:pStyle w:val="ListParagraph"/>
        <w:numPr>
          <w:ilvl w:val="0"/>
          <w:numId w:val="2"/>
        </w:numPr>
        <w:spacing w:after="80"/>
      </w:pPr>
      <w:r>
        <w:t xml:space="preserve">All paid staff and contractors</w:t>
      </w:r>
    </w:p>
    <w:p>
      <w:pPr>
        <w:pStyle w:val="ListParagraph"/>
        <w:numPr>
          <w:ilvl w:val="0"/>
          <w:numId w:val="2"/>
        </w:numPr>
        <w:spacing w:after="80"/>
      </w:pPr>
      <w:r>
        <w:t xml:space="preserve">Committee chairs and senior volunteers with decision-making authority</w:t>
      </w:r>
    </w:p>
    <w:p>
      <w:pPr>
        <w:pStyle w:val="ListParagraph"/>
        <w:numPr>
          <w:ilvl w:val="0"/>
          <w:numId w:val="2"/>
        </w:numPr>
        <w:spacing w:after="80"/>
      </w:pPr>
      <w:r>
        <w:t xml:space="preserve">Any volunteer or advisor whose role meaningfully influences RYDN spending, partnerships, or programs</w:t>
      </w:r>
    </w:p>
    <w:p>
      <w:pPr>
        <w:pStyle w:val="Heading1"/>
      </w:pPr>
      <w:r>
        <w:t xml:space="preserve">3. Definitions</w:t>
      </w:r>
    </w:p>
    <w:p>
      <w:pPr>
        <w:pStyle w:val="Heading2"/>
      </w:pPr>
      <w:r>
        <w:t xml:space="preserve">3.1 Conflict of interest</w:t>
      </w:r>
    </w:p>
    <w:p>
      <w:pPr>
        <w:spacing w:after="120"/>
      </w:pPr>
      <w:r>
        <w:t xml:space="preserve">A conflict of interest exists when an individual’s personal, financial, family, professional, or business interests could reasonably be seen as influencing their judgment, decisions, or actions on behalf of RYDN.</w:t>
      </w:r>
    </w:p>
    <w:p>
      <w:pPr>
        <w:spacing w:after="120"/>
      </w:pPr>
      <w:r>
        <w:t xml:space="preserve">Conflicts may be:</w:t>
      </w:r>
    </w:p>
    <w:p>
      <w:pPr>
        <w:pStyle w:val="ListParagraph"/>
        <w:numPr>
          <w:ilvl w:val="0"/>
          <w:numId w:val="2"/>
        </w:numPr>
        <w:spacing w:after="80"/>
      </w:pPr>
      <w:r>
        <w:t xml:space="preserve">Actual — the individual’s interest is in direct conflict with RYDN’s interest.</w:t>
      </w:r>
    </w:p>
    <w:p>
      <w:pPr>
        <w:pStyle w:val="ListParagraph"/>
        <w:numPr>
          <w:ilvl w:val="0"/>
          <w:numId w:val="2"/>
        </w:numPr>
        <w:spacing w:after="80"/>
      </w:pPr>
      <w:r>
        <w:t xml:space="preserve">Potential — a future situation could create a conflict if circumstances change.</w:t>
      </w:r>
    </w:p>
    <w:p>
      <w:pPr>
        <w:pStyle w:val="ListParagraph"/>
        <w:numPr>
          <w:ilvl w:val="0"/>
          <w:numId w:val="2"/>
        </w:numPr>
        <w:spacing w:after="80"/>
      </w:pPr>
      <w:r>
        <w:t xml:space="preserve">Perceived — a reasonable outside observer might believe a conflict exists, even if it does not.</w:t>
      </w:r>
    </w:p>
    <w:p>
      <w:pPr>
        <w:pStyle w:val="Heading2"/>
      </w:pPr>
      <w:r>
        <w:t xml:space="preserve">3.2 Examples</w:t>
      </w:r>
    </w:p>
    <w:p>
      <w:pPr>
        <w:spacing w:after="120"/>
      </w:pPr>
      <w:r>
        <w:t xml:space="preserve">Common situations that require disclosure include, but are not limited to:</w:t>
      </w:r>
    </w:p>
    <w:p>
      <w:pPr>
        <w:pStyle w:val="ListParagraph"/>
        <w:numPr>
          <w:ilvl w:val="0"/>
          <w:numId w:val="2"/>
        </w:numPr>
        <w:spacing w:after="80"/>
      </w:pPr>
      <w:r>
        <w:t xml:space="preserve">Contracting RYDN to a vendor owned in whole or part by a director, officer, staff member, or their close family.</w:t>
      </w:r>
    </w:p>
    <w:p>
      <w:pPr>
        <w:pStyle w:val="ListParagraph"/>
        <w:numPr>
          <w:ilvl w:val="0"/>
          <w:numId w:val="2"/>
        </w:numPr>
        <w:spacing w:after="80"/>
      </w:pPr>
      <w:r>
        <w:t xml:space="preserve">Recommending or hiring a close family member for a paid or volunteer role.</w:t>
      </w:r>
    </w:p>
    <w:p>
      <w:pPr>
        <w:pStyle w:val="ListParagraph"/>
        <w:numPr>
          <w:ilvl w:val="0"/>
          <w:numId w:val="2"/>
        </w:numPr>
        <w:spacing w:after="80"/>
      </w:pPr>
      <w:r>
        <w:t xml:space="preserve">Recommending a paid service or program from which the individual or a close family member would financially benefit.</w:t>
      </w:r>
    </w:p>
    <w:p>
      <w:pPr>
        <w:pStyle w:val="ListParagraph"/>
        <w:numPr>
          <w:ilvl w:val="0"/>
          <w:numId w:val="2"/>
        </w:numPr>
        <w:spacing w:after="80"/>
      </w:pPr>
      <w:r>
        <w:t xml:space="preserve">Accepting gifts, hospitality, or honoraria valued above $100 CAD from anyone doing or seeking to do business with RYDN.</w:t>
      </w:r>
    </w:p>
    <w:p>
      <w:pPr>
        <w:pStyle w:val="ListParagraph"/>
        <w:numPr>
          <w:ilvl w:val="0"/>
          <w:numId w:val="2"/>
        </w:numPr>
        <w:spacing w:after="80"/>
      </w:pPr>
      <w:r>
        <w:t xml:space="preserve">Serving on the board or staff of another organization that has a material relationship with RYDN.</w:t>
      </w:r>
    </w:p>
    <w:p>
      <w:pPr>
        <w:pStyle w:val="ListParagraph"/>
        <w:numPr>
          <w:ilvl w:val="0"/>
          <w:numId w:val="2"/>
        </w:numPr>
        <w:spacing w:after="80"/>
      </w:pPr>
      <w:r>
        <w:t xml:space="preserve">Using RYDN information, resources, or relationships for personal or third-party benefit.</w:t>
      </w:r>
    </w:p>
    <w:p>
      <w:pPr>
        <w:pStyle w:val="Heading1"/>
      </w:pPr>
      <w:r>
        <w:t xml:space="preserve">4. Duty to disclose</w:t>
      </w:r>
    </w:p>
    <w:p>
      <w:pPr>
        <w:spacing w:after="120"/>
      </w:pPr>
      <w:r>
        <w:t xml:space="preserve">Every individual covered by this policy has an ongoing duty to disclose, in writing, any actual, potential, or perceived conflict of interest as soon as they become aware of it.</w:t>
      </w:r>
    </w:p>
    <w:p>
      <w:pPr>
        <w:spacing w:after="120"/>
      </w:pPr>
      <w:r>
        <w:t xml:space="preserve">Disclosure should be made to:</w:t>
      </w:r>
    </w:p>
    <w:p>
      <w:pPr>
        <w:pStyle w:val="ListParagraph"/>
        <w:numPr>
          <w:ilvl w:val="0"/>
          <w:numId w:val="2"/>
        </w:numPr>
        <w:spacing w:after="80"/>
      </w:pPr>
      <w:r>
        <w:t xml:space="preserve">The Chair of the Board (for board members and officers); or</w:t>
      </w:r>
    </w:p>
    <w:p>
      <w:pPr>
        <w:pStyle w:val="ListParagraph"/>
        <w:numPr>
          <w:ilvl w:val="0"/>
          <w:numId w:val="2"/>
        </w:numPr>
        <w:spacing w:after="80"/>
      </w:pPr>
      <w:r>
        <w:t xml:space="preserve">The Executive Director or equivalent senior staff lead (for staff, contractors, and volunteers).</w:t>
      </w:r>
    </w:p>
    <w:p>
      <w:pPr>
        <w:spacing w:after="120"/>
      </w:pPr>
      <w:r>
        <w:t xml:space="preserve">If the conflict involves the Chair, disclosure should be made to the Vice-Chair or another disinterested officer.</w:t>
      </w:r>
    </w:p>
    <w:p>
      <w:pPr>
        <w:pStyle w:val="Heading1"/>
      </w:pPr>
      <w:r>
        <w:t xml:space="preserve">5. Procedure once disclosed</w:t>
      </w:r>
    </w:p>
    <w:p>
      <w:pPr>
        <w:pStyle w:val="Heading2"/>
      </w:pPr>
      <w:r>
        <w:t xml:space="preserve">5.1 Review</w:t>
      </w:r>
    </w:p>
    <w:p>
      <w:pPr>
        <w:pStyle w:val="ListParagraph"/>
        <w:numPr>
          <w:ilvl w:val="0"/>
          <w:numId w:val="3"/>
        </w:numPr>
        <w:spacing w:after="80"/>
      </w:pPr>
      <w:r>
        <w:t xml:space="preserve">The person receiving the disclosure documents it in the meeting minutes or in writing within 7 days.</w:t>
      </w:r>
    </w:p>
    <w:p>
      <w:pPr>
        <w:pStyle w:val="ListParagraph"/>
        <w:numPr>
          <w:ilvl w:val="0"/>
          <w:numId w:val="3"/>
        </w:numPr>
        <w:spacing w:after="80"/>
      </w:pPr>
      <w:r>
        <w:t xml:space="preserve">If the conflict relates to a specific board decision, the Board considers whether the conflict is significant enough to require recusal or other action.</w:t>
      </w:r>
    </w:p>
    <w:p>
      <w:pPr>
        <w:pStyle w:val="Heading2"/>
      </w:pPr>
      <w:r>
        <w:t xml:space="preserve">5.2 Recusal and decision-making</w:t>
      </w:r>
    </w:p>
    <w:p>
      <w:pPr>
        <w:pStyle w:val="ListParagraph"/>
        <w:numPr>
          <w:ilvl w:val="0"/>
          <w:numId w:val="2"/>
        </w:numPr>
        <w:spacing w:after="80"/>
      </w:pPr>
      <w:r>
        <w:t xml:space="preserve">The interested person presents the facts and answers questions, then leaves the room (or virtual meeting) for the discussion and vote.</w:t>
      </w:r>
    </w:p>
    <w:p>
      <w:pPr>
        <w:pStyle w:val="ListParagraph"/>
        <w:numPr>
          <w:ilvl w:val="0"/>
          <w:numId w:val="2"/>
        </w:numPr>
        <w:spacing w:after="80"/>
      </w:pPr>
      <w:r>
        <w:t xml:space="preserve">The interested person does not participate in the discussion or vote on the matter.</w:t>
      </w:r>
    </w:p>
    <w:p>
      <w:pPr>
        <w:pStyle w:val="ListParagraph"/>
        <w:numPr>
          <w:ilvl w:val="0"/>
          <w:numId w:val="2"/>
        </w:numPr>
        <w:spacing w:after="80"/>
      </w:pPr>
      <w:r>
        <w:t xml:space="preserve">The remaining directors decide whether to approve, reject, or modify the proposed arrangement, in accordance with what they reasonably believe is in RYDN’s best interest.</w:t>
      </w:r>
    </w:p>
    <w:p>
      <w:pPr>
        <w:pStyle w:val="ListParagraph"/>
        <w:numPr>
          <w:ilvl w:val="0"/>
          <w:numId w:val="2"/>
        </w:numPr>
        <w:spacing w:after="80"/>
      </w:pPr>
      <w:r>
        <w:t xml:space="preserve">The decision and the rationale are recorded in the board minutes, including the names of those who participated and how each voted.</w:t>
      </w:r>
    </w:p>
    <w:p>
      <w:pPr>
        <w:pStyle w:val="Heading2"/>
      </w:pPr>
      <w:r>
        <w:t xml:space="preserve">5.3 Alternative arrangements</w:t>
      </w:r>
    </w:p>
    <w:p>
      <w:pPr>
        <w:spacing w:after="120"/>
      </w:pPr>
      <w:r>
        <w:t xml:space="preserve">Before approving any arrangement that involves a conflict, the Board should ensure that the arrangement is fair, reasonable, and on terms that are at least as advantageous to RYDN as any reasonable alternative.</w:t>
      </w:r>
    </w:p>
    <w:p>
      <w:pPr>
        <w:pStyle w:val="Heading1"/>
      </w:pPr>
      <w:r>
        <w:t xml:space="preserve">6. Annual disclosure</w:t>
      </w:r>
    </w:p>
    <w:p>
      <w:pPr>
        <w:spacing w:after="120"/>
      </w:pPr>
      <w:r>
        <w:t xml:space="preserve">Each year, every individual covered by this policy must sign an annual disclosure statement listing any actual, potential, or perceived conflicts known at the time of signing, or affirming that none exist. Signed disclosures are kept by the Secretary for at least seven (7) years.</w:t>
      </w:r>
    </w:p>
    <w:p>
      <w:pPr>
        <w:pStyle w:val="Heading1"/>
      </w:pPr>
      <w:r>
        <w:t xml:space="preserve">7. Violations</w:t>
      </w:r>
    </w:p>
    <w:p>
      <w:pPr>
        <w:spacing w:after="120"/>
      </w:pPr>
      <w:r>
        <w:t xml:space="preserve">If the Board has reasonable cause to believe a member has failed to disclose an actual, potential, or perceived conflict, the Board shall:</w:t>
      </w:r>
    </w:p>
    <w:p>
      <w:pPr>
        <w:pStyle w:val="ListParagraph"/>
        <w:numPr>
          <w:ilvl w:val="0"/>
          <w:numId w:val="3"/>
        </w:numPr>
        <w:spacing w:after="80"/>
      </w:pPr>
      <w:r>
        <w:t xml:space="preserve">Provide the member with the basis for the concern and an opportunity to explain.</w:t>
      </w:r>
    </w:p>
    <w:p>
      <w:pPr>
        <w:pStyle w:val="ListParagraph"/>
        <w:numPr>
          <w:ilvl w:val="0"/>
          <w:numId w:val="3"/>
        </w:numPr>
        <w:spacing w:after="80"/>
      </w:pPr>
      <w:r>
        <w:t xml:space="preserve">If the explanation is unsatisfactory, take appropriate corrective action, which may include censure, removal from a committee, removal from the Board (subject to applicable bylaws and law), termination of employment, or referral to legal counsel or regulatory authorities.</w:t>
      </w:r>
    </w:p>
    <w:p>
      <w:pPr>
        <w:pStyle w:val="Heading1"/>
      </w:pPr>
      <w:r>
        <w:t xml:space="preserve">8. Records</w:t>
      </w:r>
    </w:p>
    <w:p>
      <w:pPr>
        <w:spacing w:after="120"/>
      </w:pPr>
      <w:r>
        <w:t xml:space="preserve">The Secretary keeps the following records related to this policy:</w:t>
      </w:r>
    </w:p>
    <w:p>
      <w:pPr>
        <w:pStyle w:val="ListParagraph"/>
        <w:numPr>
          <w:ilvl w:val="0"/>
          <w:numId w:val="2"/>
        </w:numPr>
        <w:spacing w:after="80"/>
      </w:pPr>
      <w:r>
        <w:t xml:space="preserve">Signed annual disclosure statements</w:t>
      </w:r>
    </w:p>
    <w:p>
      <w:pPr>
        <w:pStyle w:val="ListParagraph"/>
        <w:numPr>
          <w:ilvl w:val="0"/>
          <w:numId w:val="2"/>
        </w:numPr>
        <w:spacing w:after="80"/>
      </w:pPr>
      <w:r>
        <w:t xml:space="preserve">Minutes of meetings at which any conflict was discussed, including the nature of the conflict, who was present, what alternatives were considered, and how the matter was resolved</w:t>
      </w:r>
    </w:p>
    <w:p>
      <w:pPr>
        <w:pStyle w:val="ListParagraph"/>
        <w:numPr>
          <w:ilvl w:val="0"/>
          <w:numId w:val="2"/>
        </w:numPr>
        <w:spacing w:after="80"/>
      </w:pPr>
      <w:r>
        <w:t xml:space="preserve">Copies of this policy and any amendments</w:t>
      </w:r>
    </w:p>
    <w:p>
      <w:pPr>
        <w:pStyle w:val="Heading1"/>
      </w:pPr>
      <w:r>
        <w:t xml:space="preserve">9. Review of policy</w:t>
      </w:r>
    </w:p>
    <w:p>
      <w:pPr>
        <w:spacing w:after="120"/>
      </w:pPr>
      <w:r>
        <w:t xml:space="preserve">This policy is reviewed by the Board at least once every two (2) years, or sooner if material changes in law or operations require it.</w:t>
      </w:r>
    </w:p>
    <w:p>
      <w:pPr>
        <w:pStyle w:val="Heading1"/>
      </w:pPr>
      <w:r>
        <w:t xml:space="preserve">10. Questions</w:t>
      </w:r>
    </w:p>
    <w:p>
      <w:pPr>
        <w:spacing w:after="120"/>
      </w:pPr>
      <w:r>
        <w:t xml:space="preserve">Direct questions about this policy to info@rydn.ca.</w:t>
      </w:r>
    </w:p>
    <w:p>
      <w:pPr>
        <w:spacing w:before="360"/>
      </w:pPr>
      <w:r>
        <w:rPr>
          <w:b/>
          <w:bCs/>
          <w:color w:val="0E4FA3"/>
          <w:sz w:val="26"/>
          <w:szCs w:val="26"/>
        </w:rPr>
        <w:t xml:space="preserve">Acknowledgement</w:t>
      </w:r>
    </w:p>
    <w:p>
      <w:pPr>
        <w:spacing w:after="120"/>
      </w:pPr>
      <w:r>
        <w:t xml:space="preserve">I have read, understood, and agree to abide by this document in my role as a board member, officer, staff member, or covered volunteer with RooZ Youth Development Network.</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2937" w:sz="6"/>
              <w:left w:val="none" w:color="FFFFFF" w:sz="0"/>
              <w:bottom w:val="single" w:color="1F2937" w:sz="6"/>
              <w:right w:val="none" w:color="FFFFFF" w:sz="0"/>
            </w:tcBorders>
            <w:tcMar>
              <w:top w:type="dxa" w:w="280"/>
              <w:left w:type="dxa" w:w="80"/>
              <w:bottom w:type="dxa" w:w="80"/>
              <w:right w:type="dxa" w:w="80"/>
            </w:tcMar>
          </w:tcPr>
          <w:p>
            <w:pPr>
              <w:spacing w:after="60"/>
            </w:pPr>
            <w:r>
              <w:t xml:space="preserve"> </w:t>
            </w:r>
          </w:p>
          <w:p>
            <w:r>
              <w:rPr>
                <w:color w:val="6B7280"/>
                <w:sz w:val="18"/>
                <w:szCs w:val="18"/>
              </w:rPr>
              <w:t xml:space="preserve">Full name (printed)</w:t>
            </w:r>
          </w:p>
        </w:tc>
        <w:tc>
          <w:tcPr>
            <w:tcW w:type="dxa" w:w="3120"/>
            <w:tcBorders>
              <w:top w:val="single" w:color="1F2937" w:sz="6"/>
              <w:left w:val="none" w:color="FFFFFF" w:sz="0"/>
              <w:bottom w:val="single" w:color="1F2937" w:sz="6"/>
              <w:right w:val="none" w:color="FFFFFF" w:sz="0"/>
            </w:tcBorders>
            <w:tcMar>
              <w:top w:type="dxa" w:w="280"/>
              <w:left w:type="dxa" w:w="80"/>
              <w:bottom w:type="dxa" w:w="80"/>
              <w:right w:type="dxa" w:w="80"/>
            </w:tcMar>
          </w:tcPr>
          <w:p>
            <w:pPr>
              <w:spacing w:after="60"/>
            </w:pPr>
            <w:r>
              <w:t xml:space="preserve"> </w:t>
            </w:r>
          </w:p>
          <w:p>
            <w:r>
              <w:rPr>
                <w:color w:val="6B7280"/>
                <w:sz w:val="18"/>
                <w:szCs w:val="18"/>
              </w:rPr>
              <w:t xml:space="preserve">Signature</w:t>
            </w:r>
          </w:p>
        </w:tc>
        <w:tc>
          <w:tcPr>
            <w:tcW w:type="dxa" w:w="3120"/>
            <w:tcBorders>
              <w:top w:val="single" w:color="1F2937" w:sz="6"/>
              <w:left w:val="none" w:color="FFFFFF" w:sz="0"/>
              <w:bottom w:val="single" w:color="1F2937" w:sz="6"/>
              <w:right w:val="none" w:color="FFFFFF" w:sz="0"/>
            </w:tcBorders>
            <w:tcMar>
              <w:top w:type="dxa" w:w="280"/>
              <w:left w:type="dxa" w:w="80"/>
              <w:bottom w:type="dxa" w:w="80"/>
              <w:right w:type="dxa" w:w="80"/>
            </w:tcMar>
          </w:tcPr>
          <w:p>
            <w:pPr>
              <w:spacing w:after="60"/>
            </w:pPr>
            <w:r>
              <w:t xml:space="preserve"> </w:t>
            </w:r>
          </w:p>
          <w:p>
            <w:r>
              <w:rPr>
                <w:color w:val="6B7280"/>
                <w:sz w:val="18"/>
                <w:szCs w:val="18"/>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RooZ Youth Development Network · Réseau de développement de la jeunesse RooZ · Conflict of Interest Policy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FA3" w:sz="6" w:space="4"/>
      </w:pBdr>
    </w:pPr>
    <w:r>
      <w:rPr>
        <w:b/>
        <w:bCs/>
        <w:color w:val="0E4FA3"/>
        <w:sz w:val="22"/>
        <w:szCs w:val="22"/>
      </w:rPr>
      <w:t xml:space="preserve">RYDN</w:t>
    </w:r>
    <w:r>
      <w:rPr>
        <w:color w:val="6B7280"/>
        <w:sz w:val="22"/>
        <w:szCs w:val="22"/>
      </w:rPr>
      <w:t xml:space="preserve">  •  </w:t>
    </w:r>
    <w:r>
      <w:rPr>
        <w:color w:val="6B7280"/>
        <w:sz w:val="22"/>
        <w:szCs w:val="22"/>
      </w:rPr>
      <w:t xml:space="preserve">Conflict of Interest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E4FA3"/>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E4FA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2026-06-02T16:00:34.604Z</dcterms:created>
  <dcterms:modified xsi:type="dcterms:W3CDTF">2026-06-02T16:00:34.604Z</dcterms:modified>
</cp:coreProperties>
</file>

<file path=docProps/custom.xml><?xml version="1.0" encoding="utf-8"?>
<Properties xmlns="http://schemas.openxmlformats.org/officeDocument/2006/custom-properties" xmlns:vt="http://schemas.openxmlformats.org/officeDocument/2006/docPropsVTypes"/>
</file>