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03" w:type="dxa"/>
        <w:tblInd w:w="93" w:type="dxa"/>
        <w:tblLook w:val="04A0"/>
      </w:tblPr>
      <w:tblGrid>
        <w:gridCol w:w="3031"/>
        <w:gridCol w:w="1398"/>
        <w:gridCol w:w="52"/>
        <w:gridCol w:w="141"/>
        <w:gridCol w:w="764"/>
        <w:gridCol w:w="686"/>
        <w:gridCol w:w="271"/>
        <w:gridCol w:w="878"/>
        <w:gridCol w:w="1398"/>
        <w:gridCol w:w="396"/>
        <w:gridCol w:w="561"/>
        <w:gridCol w:w="396"/>
        <w:gridCol w:w="561"/>
        <w:gridCol w:w="396"/>
        <w:gridCol w:w="957"/>
      </w:tblGrid>
      <w:tr w:rsidR="000A0B97">
        <w:trPr>
          <w:trHeight w:val="300"/>
        </w:trPr>
        <w:tc>
          <w:tcPr>
            <w:tcW w:w="52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RESPONSE RAT</w:t>
            </w:r>
            <w:r>
              <w:rPr>
                <w:rFonts w:eastAsia="Times New Roman" w:cs="Times New Roman"/>
                <w:color w:val="000000"/>
              </w:rPr>
              <w:t>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RETRIEVED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NON RETRIEVED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42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 w:rsidP="00850E98">
            <w:pPr>
              <w:pStyle w:val="NoSpacing"/>
              <w:jc w:val="both"/>
            </w:pPr>
            <w:r>
              <w:t xml:space="preserve">Table( a)above shows that 34 </w:t>
            </w:r>
            <w:r>
              <w:t xml:space="preserve">questionnaires were retrieved out of 52 that was distributed, which is 34 respondent,and the percentage </w:t>
            </w:r>
            <w:r>
              <w:t>can be used in analyzing the data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GENDER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MALE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61.8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FEMALE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gridAfter w:val="8"/>
          <w:wAfter w:w="4678" w:type="dxa"/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Table (b) shows that most of the respondent are male with the frequency of </w:t>
            </w:r>
            <w:r>
              <w:rPr>
                <w:rFonts w:eastAsia="Times New Roman" w:cs="Times New Roman"/>
                <w:color w:val="000000"/>
              </w:rPr>
              <w:t>21(61%)while the remaining 13(38.2) respondent are female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gridAfter w:val="2"/>
          <w:wAfter w:w="1070" w:type="dxa"/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MARITAL STATUS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MARRIED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SINGLE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82.4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DIVORCE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Table c shows that most</w:t>
            </w:r>
            <w:r>
              <w:rPr>
                <w:rFonts w:eastAsia="Times New Roman" w:cs="Times New Roman"/>
                <w:color w:val="000000"/>
              </w:rPr>
              <w:t xml:space="preserve"> of the respondent are married with 17(50.0%) being the highest frequency,while 11(32.4%) are single,and 6(17.6%) are divorced.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25-35 YRS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36-46 YRS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35.3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64.7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47-57 YRS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85.2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ABOVE 58 YRS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14.7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From the table(d) above,majority of the respondent are  between 36-46 years,with 12(35.3%)</w:t>
            </w: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Which is the highest rate,and 10(29.4%) are between 25-35 years,while 47-57 yrs has </w:t>
            </w:r>
            <w:r>
              <w:rPr>
                <w:rFonts w:eastAsia="Times New Roman" w:cs="Times New Roman"/>
                <w:color w:val="000000"/>
              </w:rPr>
              <w:t>7(20.5%),and 5(14.7%) are above 58 years .So the participants are young adults.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LEVEL OF EDUCATION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SSCE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OND/NCE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HND/BSC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73.5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MASTER DEGREE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From the table above,it shows that 4(11.8%) are SSCE  holders,7(20.5%) are OND/NCE,also 14(41.2%) are HND/BSC,while 9(26.5%) are Master degree holders,which means that majority of the participants are HND/BSC holders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YEARS OF WORKING EXPERIENCE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0-5 YEARS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6- 10YEARS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47.1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10+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table above</w:t>
            </w: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shows that 11(32.4%) has  0-5 years work experience, 16(47.1%) which is the highest,has  6-10 years work experience,while 7(20.5) has 10+ years of work experience.So majority of the participants has 6-10 years work experience</w:t>
            </w:r>
          </w:p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15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CONFLICT MANAGEMENT STRATEGIES HAS PROVIDED PRUDENT RESOLUTION TO CONFLICT IN ORGANIZATIONS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47.1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94.1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5.9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From the table above,10(29.4%) strongly agree, while16(47.1%) agree ,6(17.6) disagree,and 2(5.9%) strongly disagree.Therefore majority of the respondent agree that conflict management strategies has provided prudent resolution </w:t>
            </w:r>
            <w:r>
              <w:rPr>
                <w:rFonts w:eastAsia="Times New Roman" w:cs="Times New Roman"/>
                <w:color w:val="000000"/>
              </w:rPr>
              <w:t>to Conflict in Organizations.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THE STRATEGIES ARE EFFECTIVE IN ENSURING EFFECTIVE MANAGEMENT OF CONFLICTS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61.8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7(20.5%) strongly agree,14(41.2%) agree,9(26.5%) disagree,while 4(11.8%) strongly disagree.So majority of the respondent agree that the strategies are effective in </w:t>
            </w:r>
            <w:r>
              <w:rPr>
                <w:rFonts w:eastAsia="Times New Roman" w:cs="Times New Roman"/>
                <w:color w:val="000000"/>
              </w:rPr>
              <w:t>ensuring effective management of Conflict.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THERE IS A FULL ENFORCEMENT OF THE STRATEGIES IN DAILY OPERATION OF ORGANIZATIONS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61.8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7(20.5%) strongly agree,14(41.2%) agree,9(26.5%) disagree, while 4(11.8%) strongly disagree.Therefore majority of the respondent agree </w:t>
            </w:r>
            <w:r>
              <w:rPr>
                <w:rFonts w:eastAsia="Times New Roman" w:cs="Times New Roman"/>
                <w:color w:val="000000"/>
              </w:rPr>
              <w:t>that there is full enforcement of the strategies in daily operation of Organizations.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57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THE STRATEGIES HAS ENSURED GREATER CONFLICT RESOLUTIONS AND MANAGEMENT IN ORGANIZATIONS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70.6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From the table above 13(38.2%) strongly agree,11(32.4%) agree,6(17.6%) disagree, while 4(11.8%) strongly disagree.This </w:t>
            </w:r>
            <w:r>
              <w:rPr>
                <w:rFonts w:eastAsia="Times New Roman" w:cs="Times New Roman"/>
                <w:color w:val="000000"/>
              </w:rPr>
              <w:t>means that majority of the respondent strongly agree that the strategies has ensured greater conflict resolutions and management in Organizations.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MANAGERS OR ADMINISTRATORS </w:t>
            </w:r>
            <w:r>
              <w:rPr>
                <w:rFonts w:eastAsia="Times New Roman" w:cs="Times New Roman"/>
                <w:color w:val="000000"/>
              </w:rPr>
              <w:t>IN ORGANIZATIONS USE THE STRATEGIES AS A GUIDE IN MANAGING CONFLICT</w:t>
            </w:r>
            <w:r>
              <w:rPr>
                <w:rFonts w:eastAsia="Times New Roman" w:cs="Times New Roman"/>
                <w:color w:val="000000"/>
              </w:rPr>
              <w:tab/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67.7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85.3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14.7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From the table above 14(41.2%) strongly agree,9(26.5%)agree,6(17.6%) </w:t>
            </w:r>
            <w:r>
              <w:rPr>
                <w:rFonts w:eastAsia="Times New Roman" w:cs="Times New Roman"/>
                <w:color w:val="000000"/>
              </w:rPr>
              <w:t xml:space="preserve">disagree while 5(14.7%) strongly disagree.So majority of the respondent strongly agree that the managers or administrators in Organizations use the strategies as a guide in </w:t>
            </w:r>
            <w:r>
              <w:rPr>
                <w:rFonts w:eastAsia="Times New Roman" w:cs="Times New Roman"/>
                <w:color w:val="000000"/>
              </w:rPr>
              <w:lastRenderedPageBreak/>
              <w:t>managing conflicts.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CONFLICT MANAGEMENT HAS POSITIVE EFFECT ON </w:t>
            </w:r>
            <w:r>
              <w:rPr>
                <w:rFonts w:eastAsia="Times New Roman" w:cs="Times New Roman"/>
                <w:color w:val="000000"/>
              </w:rPr>
              <w:t>ORGANIZATIONAL EFFICIENCY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 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15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52.9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52.9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27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18(52.9%) strongly </w:t>
            </w: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agree,9(26.5%)agree,4(11.8%) disagree, while 3(8.8%) strongly disagree.This means that majority of the participants strongly agree that conflict management has positive effect on Organizational efficiency.</w:t>
            </w:r>
          </w:p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585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STRATEGIES HAS HELPED ORGANIZATIONS TO CURB THE RATE OF CONFLICT IN ORGANIZATIONS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50.0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73.5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85.3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STRONGLY </w:t>
            </w: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14.7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17(50.0%) strongly agree,8(23.5%)agree,4(11.8%) </w:t>
            </w:r>
            <w:r>
              <w:rPr>
                <w:rFonts w:eastAsia="Times New Roman" w:cs="Times New Roman"/>
                <w:color w:val="000000"/>
              </w:rPr>
              <w:lastRenderedPageBreak/>
              <w:t xml:space="preserve">disagree, while 5(14.7%) strongly disagree.This means that majority of the respondent strongly agree that the strategies has helped </w:t>
            </w:r>
            <w:r>
              <w:rPr>
                <w:rFonts w:eastAsia="Times New Roman" w:cs="Times New Roman"/>
                <w:color w:val="000000"/>
              </w:rPr>
              <w:t>Organizations to curb the rate of Conflict in Organizations.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CONFLICTS IN ORGANIZATIONS HAS BEEN EFFECTIVELY MANAGED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35.3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44.1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44.1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79.4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12(35.3%) strongly agree,15(44.1%) agree,3(8.8%) disagree, while 4(11.8) strongly disagree.This means that majority of the respondent agree that conflicts in </w:t>
            </w:r>
            <w:r>
              <w:rPr>
                <w:rFonts w:eastAsia="Times New Roman" w:cs="Times New Roman"/>
                <w:color w:val="000000"/>
              </w:rPr>
              <w:t>Organizations has been effectively managed.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555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STRATEGIES HAS HELPED IN RESOLVING CONFLICT OR REDUCING IT TO MINIMAL IN ORGANIZATIONS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414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44.2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</w:t>
            </w: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82.4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94.2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table above shows that 15(44.2%) strongly agree,13(38.2%) agree,4(11.8%) disagree, while 2(5.8%) strongly disagree.So majority of the participants strongly</w:t>
            </w:r>
            <w:r>
              <w:rPr>
                <w:rFonts w:eastAsia="Times New Roman" w:cs="Times New Roman"/>
                <w:color w:val="000000"/>
              </w:rPr>
              <w:t xml:space="preserve"> agree that the strategies has helped in resolving conflicts or reducing it to minimal in Organizations.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57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STRATEGIES HAS HELPED THE MANAGERS OR DIRECTORS TO BE FAIR AND UNDERSTANDING IN MANAGING CONFLICT 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50.0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82.4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From the table above,17(50.0%) strongly </w:t>
            </w:r>
            <w:r>
              <w:rPr>
                <w:rFonts w:eastAsia="Times New Roman" w:cs="Times New Roman"/>
                <w:color w:val="000000"/>
              </w:rPr>
              <w:t>agree,11(32.4%)agree,2(5.8%) disagree, while 4(11.8%) strongly disagree.So majority of the respondent strongly agree that the strategies has helped the managers or directors to be fair and understanding in managing conflict.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57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 xml:space="preserve">TOP MANAGERS OR </w:t>
            </w:r>
            <w:r>
              <w:rPr>
                <w:rFonts w:eastAsia="Times New Roman" w:cs="Times New Roman"/>
                <w:color w:val="000000"/>
              </w:rPr>
              <w:t>DIRECTORS FIND IT DIFFICULT TO IMPLEMENT THE STRATEGIES AND ALSO ACCEPT THAT THE CAN ALSO BE AT FAULT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70.6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14(41.2%) strongly agree,10(29.4%) agree,6(17.6%) disagree, while 4(11.8%) strongly disagree.This means that majority of the participants strongly agree that top managers or </w:t>
            </w:r>
            <w:r>
              <w:rPr>
                <w:rFonts w:eastAsia="Times New Roman" w:cs="Times New Roman"/>
                <w:color w:val="000000"/>
              </w:rPr>
              <w:t>directors find it difficult to implement the strategies and also accept that the can  be at fault.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15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MOST OF THE ORGANIZATIONS MANAGERS ARE NOT AWARE OF THE EXISTENCE OF THE STRATEGIES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44.1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70.6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9 (26.5%) strongly </w:t>
            </w:r>
            <w:r>
              <w:rPr>
                <w:rFonts w:eastAsia="Times New Roman" w:cs="Times New Roman"/>
                <w:color w:val="000000"/>
              </w:rPr>
              <w:lastRenderedPageBreak/>
              <w:t xml:space="preserve">agree,15(44.1%)agree,6(17.6%) disagree,4(11.8%) strongly disagree.This means that majority of the respondent agree that most of the organization managers are not aware of the existence of the strategies. 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6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CONFLICT MANAGEMENT STRATEGIES HAS BEEN AFFECTED BY MANAGERS NEGLIGENCE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50.0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50.0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23.5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73.5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85.3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14.7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From the table above,17(50.0%) strongly agree,8(23.5%) agree,4(11.8%) disagree, while 5(14.7%) strongly disagree.So majority of the participants strongly agree that conflict management strategies has been affected by managers negligence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LABOR ACT HAS NOT BEEN ABLE TO EFFICIENTLY MONITOR THE IMPLEMENTATION AND COMPLIANCE OF THE STRATEGIES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CUMULATIVE 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32.4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38.2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70.6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17.6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88.2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The table above shows that 11(32.4%) strongly agree,13(38.2%) agree,6(17.6%) disagree, while 4(11.8%) strongly disagree.This means that majority of the respondent agree that the </w:t>
            </w:r>
            <w:r>
              <w:rPr>
                <w:rFonts w:eastAsia="Times New Roman" w:cs="Times New Roman"/>
                <w:color w:val="000000"/>
              </w:rPr>
              <w:t>labour act has not been able to efficiently monitor the implementation and compliance of the strategies.</w:t>
            </w: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0A0B9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823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THE STRATEGIES IS HAMPERED BY THE NON-CHALANT ATTITUDE OF THE DIRECTORS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FREQUENCY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CUMULATIVE </w:t>
            </w:r>
            <w:r>
              <w:rPr>
                <w:rFonts w:eastAsia="Times New Roman" w:cs="Times New Roman"/>
                <w:color w:val="000000"/>
              </w:rPr>
              <w:t>PERCENTAGE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47.1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47.1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29.4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76.5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6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14.7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91.2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STRONGLY DISAGREE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59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8.8</w:t>
            </w:r>
          </w:p>
        </w:tc>
        <w:tc>
          <w:tcPr>
            <w:tcW w:w="294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  <w:tr w:rsidR="000A0B97">
        <w:trPr>
          <w:trHeight w:val="30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TOTAL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</w:t>
            </w:r>
          </w:p>
        </w:tc>
        <w:tc>
          <w:tcPr>
            <w:tcW w:w="159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294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0B97" w:rsidRDefault="00850E9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0B97" w:rsidRDefault="000A0B97">
            <w:pPr>
              <w:spacing w:after="0" w:line="240" w:lineRule="auto"/>
              <w:rPr>
                <w:rFonts w:eastAsia="Times New Roman" w:cs="Times New Roman"/>
              </w:rPr>
            </w:pPr>
          </w:p>
        </w:tc>
      </w:tr>
    </w:tbl>
    <w:p w:rsidR="000A0B97" w:rsidRDefault="000A0B97"/>
    <w:p w:rsidR="000A0B97" w:rsidRDefault="00850E98">
      <w:r>
        <w:t xml:space="preserve">From the table above,16(47.1%) strongly agree,10(29.4%) agree,5(14.7%) disagree, while 3(8.8%) strongly </w:t>
      </w:r>
      <w:r>
        <w:t>disagree.This means that majority of the participants strongly agree that the strategies is hampered by the non-chalant attitude of the directors in Organizations.</w:t>
      </w:r>
    </w:p>
    <w:sectPr w:rsidR="000A0B97" w:rsidSect="000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0B97"/>
    <w:rsid w:val="000A0B97"/>
    <w:rsid w:val="00850E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A0B9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rsid w:val="000A0B97"/>
    <w:rPr>
      <w:color w:val="954F72"/>
      <w:u w:val="single"/>
    </w:rPr>
  </w:style>
  <w:style w:type="paragraph" w:customStyle="1" w:styleId="xl63">
    <w:name w:val="xl63"/>
    <w:basedOn w:val="Normal"/>
    <w:rsid w:val="000A0B97"/>
    <w:pP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0A0B9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0A0B9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0A0B9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0A0B9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0A0B9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0A0B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0A0B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0A0B9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0A0B9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0A0B9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0A0B97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0A0B9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0A0B97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7">
    <w:name w:val="xl77"/>
    <w:basedOn w:val="Normal"/>
    <w:rsid w:val="000A0B9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0A0B9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0A0B9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0A0B97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1">
    <w:name w:val="xl81"/>
    <w:basedOn w:val="Normal"/>
    <w:rsid w:val="000A0B9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0A0B9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0A0B9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4">
    <w:name w:val="xl84"/>
    <w:basedOn w:val="Normal"/>
    <w:rsid w:val="000A0B97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5">
    <w:name w:val="xl85"/>
    <w:basedOn w:val="Normal"/>
    <w:rsid w:val="000A0B97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6">
    <w:name w:val="xl86"/>
    <w:basedOn w:val="Normal"/>
    <w:rsid w:val="000A0B97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7">
    <w:name w:val="xl87"/>
    <w:basedOn w:val="Normal"/>
    <w:rsid w:val="000A0B9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8">
    <w:name w:val="xl88"/>
    <w:basedOn w:val="Normal"/>
    <w:rsid w:val="000A0B9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9">
    <w:name w:val="xl89"/>
    <w:basedOn w:val="Normal"/>
    <w:rsid w:val="000A0B97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0">
    <w:name w:val="xl90"/>
    <w:basedOn w:val="Normal"/>
    <w:rsid w:val="000A0B97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1">
    <w:name w:val="xl91"/>
    <w:basedOn w:val="Normal"/>
    <w:rsid w:val="000A0B97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2">
    <w:name w:val="xl92"/>
    <w:basedOn w:val="Normal"/>
    <w:rsid w:val="000A0B9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93">
    <w:name w:val="xl93"/>
    <w:basedOn w:val="Normal"/>
    <w:rsid w:val="000A0B97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A0B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0A0B97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NoSpacing">
    <w:name w:val="No Spacing"/>
    <w:uiPriority w:val="1"/>
    <w:qFormat/>
    <w:rsid w:val="00850E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FREDVIOUR BUSINESS</dc:creator>
  <cp:lastModifiedBy>FREDVIOUR BUSINESS</cp:lastModifiedBy>
  <cp:revision>2</cp:revision>
  <dcterms:created xsi:type="dcterms:W3CDTF">2021-12-15T16:05:00Z</dcterms:created>
  <dcterms:modified xsi:type="dcterms:W3CDTF">2021-12-16T08:44:00Z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b8a260495bf1459e93d52dc577697416</vt:lpwstr>
  </property>
</Properties>
</file>