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keepNext w:val="0"/>
        <w:spacing w:before="0" w:after="40" w:line="240" w:lineRule="auto"/>
        <w:ind w:firstLine="0" w:left="0" w:right="0"/>
        <w:jc w:val="both"/>
      </w:pPr>
    </w:p>
    <w:p>
      <w:pPr>
        <w:keepNext/>
        <w:spacing w:before="0" w:after="280" w:line="240" w:lineRule="auto"/>
        <w:ind w:firstLine="0" w:left="0" w:right="0"/>
        <w:jc w:val="center"/>
      </w:pPr>
      <w:r>
        <w:rPr>
          <w:rFonts w:ascii="Arial" w:hAnsi="Arial" w:cs="Arial"/>
          <w:b/>
          <w:sz w:val="24"/>
        </w:rPr>
        <w:t>RESUMO</w:t>
      </w:r>
    </w:p>
    <w:p>
      <w:pPr>
        <w:keepNext/>
        <w:spacing w:before="0" w:after="200" w:line="240" w:lineRule="auto"/>
        <w:ind w:firstLine="0" w:left="0" w:right="0"/>
        <w:jc w:val="both"/>
      </w:pPr>
      <w:r>
        <w:rPr>
          <w:rFonts w:ascii="Arial" w:hAnsi="Arial" w:cs="Arial"/>
          <w:sz w:val="24"/>
        </w:rPr>
        <w:t xml:space="preserve">CHAVES, João Vitor. </w:t>
      </w:r>
      <w:r>
        <w:rPr>
          <w:rFonts w:ascii="Arial" w:hAnsi="Arial" w:cs="Arial"/>
          <w:b/>
          <w:sz w:val="24"/>
        </w:rPr>
        <w:t>Controle de concorrência no consumo de tokens de resgate em uma plataforma de benefícios</w:t>
      </w:r>
      <w:r>
        <w:rPr>
          <w:rFonts w:ascii="Arial" w:hAnsi="Arial" w:cs="Arial"/>
          <w:sz w:val="24"/>
        </w:rPr>
        <w:t xml:space="preserve">. 2026. Trabalho de Conclusão de Curso (Graduação em </w:t>
      </w:r>
      <w:r>
        <w:rPr>
          <w:rFonts w:ascii="Arial" w:hAnsi="Arial" w:cs="Arial"/>
          <w:sz w:val="24"/>
          <w:highlight w:val="yellow"/>
        </w:rPr>
        <w:t>[NOME DO CURSO]</w:t>
      </w:r>
      <w:r>
        <w:rPr>
          <w:rFonts w:ascii="Arial" w:hAnsi="Arial" w:cs="Arial"/>
          <w:sz w:val="24"/>
        </w:rPr>
        <w:t xml:space="preserve">) - Curso de </w:t>
      </w:r>
      <w:r>
        <w:rPr>
          <w:rFonts w:ascii="Arial" w:hAnsi="Arial" w:cs="Arial"/>
          <w:sz w:val="24"/>
          <w:highlight w:val="yellow"/>
        </w:rPr>
        <w:t>[NOME DO CURSO]</w:t>
      </w:r>
      <w:r>
        <w:rPr>
          <w:rFonts w:ascii="Arial" w:hAnsi="Arial" w:cs="Arial"/>
          <w:sz w:val="24"/>
        </w:rPr>
        <w:t>, Centro Universitário de Barra Mansa, Barra Mansa/RJ, 2026.</w:t>
      </w:r>
    </w:p>
    <w:p>
      <w:pPr>
        <w:keepNext w:val="0"/>
        <w:spacing w:before="0" w:after="200" w:line="240" w:lineRule="auto"/>
        <w:ind w:firstLine="0" w:left="0" w:right="0"/>
        <w:jc w:val="both"/>
      </w:pPr>
      <w:r>
        <w:rPr>
          <w:rFonts w:ascii="Arial" w:hAnsi="Arial" w:cs="Arial"/>
          <w:b/>
          <w:sz w:val="24"/>
        </w:rPr>
        <w:t xml:space="preserve">Introdução: </w:t>
      </w:r>
      <w:r>
        <w:rPr>
          <w:rFonts w:ascii="Arial" w:hAnsi="Arial" w:cs="Arial"/>
          <w:sz w:val="24"/>
        </w:rPr>
        <w:t xml:space="preserve">O Benefix é uma plataforma de gestão de benefícios que conecta empresas, empregados e estabelecimentos parceiros. No fluxo de resgate, o empregado solicita um token temporário associado ao benefício, disponibilizado por uma URL em forma de QR Code. Após a leitura, a interface do estabelecimento envia o token ao backend, que valida a operação antes de registrar o resgate. Entretanto, leituras repetidas, reenvios automáticos ou requisições simultâneas podem produzir tentativas concorrentes de consumo do mesmo token. Esse cenário exige que a aplicação preserve a atomicidade do resgate e impeça confirmações duplicadas, uma vez que a correção de sistemas transacionais não pode depender da ordem de chegada das operações (BERNSTEIN; HADZILACOS; GOODMAN, 1987; GRAY; REUTER, 1993). </w:t>
      </w:r>
      <w:r>
        <w:rPr>
          <w:rFonts w:ascii="Arial" w:hAnsi="Arial" w:cs="Arial"/>
          <w:b/>
          <w:sz w:val="24"/>
        </w:rPr>
        <w:t xml:space="preserve">Objetivos: </w:t>
      </w:r>
      <w:r>
        <w:rPr>
          <w:rFonts w:ascii="Arial" w:hAnsi="Arial" w:cs="Arial"/>
          <w:sz w:val="24"/>
        </w:rPr>
        <w:t xml:space="preserve">Avaliar a efetividade e o custo de mecanismos de controle de concorrência aplicados ao consumo de tokens de uso único, comparando uma configuração com bloqueio pessimista, atualização condicional de estado e restrição de unicidade com uma configuração reduzida, protegida apenas pela restrição de unicidade do banco de dados. </w:t>
      </w:r>
      <w:r>
        <w:rPr>
          <w:rFonts w:ascii="Arial" w:hAnsi="Arial" w:cs="Arial"/>
          <w:b/>
          <w:sz w:val="24"/>
        </w:rPr>
        <w:t xml:space="preserve">Metodologia: </w:t>
      </w:r>
      <w:r>
        <w:rPr>
          <w:rFonts w:ascii="Arial" w:hAnsi="Arial" w:cs="Arial"/>
          <w:sz w:val="24"/>
        </w:rPr>
        <w:t xml:space="preserve">Foi realizado um estudo experimental de abordagem quantitativa em ambiente controlado na AWS, com aplicação hospedada no Amazon EC2 e banco PostgreSQL no Amazon RDS. O backend foi desenvolvido em Java com Spring Boot e compilado como imagem nativa GraalVM. A ferramenta k6 gerou rajadas de requisições concorrentes, nas quais de 1 a 200 usuários virtuais tentaram consumir o mesmo token (GRAFANA LABS, 2026). Foram executadas 44 rodadas, totalizando 2.422 requisições, com dados sintéticos e a mesma origem de carga. Os níveis de 2, 10 e 50 usuários virtuais foram repetidos cinco vezes por configuração, e os de 100 e 200, três vezes. As respostas foram classificadas como confirmação (HTTP 200), rejeição de negócio (HTTP 400), conflito de unicidade (HTTP 409), limitação de taxa (HTTP 429) ou falha inesperada. Também foram medidos os percentis 50 e 95 de latência por classe e verificada a persistência no banco. Uma rodada era considerada válida quando apresentava exatamente uma confirmação, nenhuma resposta 429 e nenhuma falha 5xx. </w:t>
      </w:r>
      <w:r>
        <w:rPr>
          <w:rFonts w:ascii="Arial" w:hAnsi="Arial" w:cs="Arial"/>
          <w:b/>
          <w:sz w:val="24"/>
        </w:rPr>
        <w:t xml:space="preserve">Resultados: </w:t>
      </w:r>
      <w:r>
        <w:rPr>
          <w:rFonts w:ascii="Arial" w:hAnsi="Arial" w:cs="Arial"/>
          <w:sz w:val="24"/>
        </w:rPr>
        <w:t>As 44 rodadas produziram exatamente uma confirmação por token e nenhuma duplicação persistida. Na configuração completa, ocorreram 22 confirmações e 1.189 rejeições HTTP 400, sem conflitos HTTP 409. Na configuração protegida apenas pela unicidade, ocorreram 22 confirmações, 1.172 rejeições HTTP 400 e 17 conflitos HTTP 409. A restrição UNIQUE impediu a duplicação mesmo sem as proteções anteriores (POSTGRESQL GLOBAL DEVELOPMENT GROUP, 2026a). O bloqueio pessimista tornou a rejeição determinística na camada de negócio, mas aumentou a espera sob contenção: com 50 usuários virtuais, o p95 das rejeições foi de 294 ms com bloqueio e de 230 ms sem bloqueio. Na saturação, observou-se mudança desse comportamento. Com 100 usuários, a configuração sem bloqueio apresentou p95 de 312 ms, contra 482 ms com bloqueio; com 200 usuários, passou a ser mais lenta, com p95 de 578 ms, contra 494 ms. Esse cruzamento indica que, em contenção extrema, atualizações, tentativas de inserção e reversões por colisão podem custar mais do que a serialização antecipada das requisições. Não houve erros inesperados.</w:t>
      </w:r>
    </w:p>
    <w:p>
      <w:pPr>
        <w:keepNext w:val="0"/>
        <w:spacing w:before="0" w:after="200" w:line="240" w:lineRule="auto"/>
        <w:ind w:firstLine="0" w:left="0" w:right="0"/>
        <w:jc w:val="both"/>
      </w:pPr>
      <w:r>
        <w:rPr>
          <w:rFonts w:ascii="Arial" w:hAnsi="Arial" w:cs="Arial"/>
          <w:b/>
          <w:sz w:val="24"/>
        </w:rPr>
        <w:t xml:space="preserve">Conclusão: </w:t>
      </w:r>
      <w:r>
        <w:rPr>
          <w:rFonts w:ascii="Arial" w:hAnsi="Arial" w:cs="Arial"/>
          <w:sz w:val="24"/>
        </w:rPr>
        <w:t>A restrição de unicidade no banco constituiu a garantia definitiva de uso único do token, enquanto o bloqueio pessimista e a atualização condicional atuaram como camadas adicionais que estabilizaram a semântica das rejeições e evitaram que colisões alcançassem a restrição. O custo dessa previsibilidade foi o aumento da latência de rejeição em parte da faixa de concorrência, coerente com o bloqueio temporário de linhas produzido por SELECT FOR UPDATE (POSTGRESQL GLOBAL DEVELOPMENT GROUP, 2026b). Os resultados sustentam a manutenção da defesa em camadas no Benefix, com monitoramento separado de rejeições de negócio e conflitos de integridade. Como limitações, o estudo utilizou dados sintéticos, uma única instância da aplicação e um conjunto controlado de conexões; trabalhos futuros podem avaliar múltiplas instâncias e diferentes tamanhos de pool sem retirar a garantia estrutural de unicidade.</w:t>
      </w:r>
    </w:p>
    <w:p>
      <w:pPr>
        <w:keepNext/>
        <w:spacing w:before="0" w:after="320" w:line="240" w:lineRule="auto"/>
        <w:ind w:firstLine="0" w:left="0" w:right="0"/>
        <w:jc w:val="both"/>
      </w:pPr>
      <w:r>
        <w:rPr>
          <w:rFonts w:ascii="Arial" w:hAnsi="Arial" w:cs="Arial"/>
          <w:b/>
          <w:sz w:val="24"/>
        </w:rPr>
        <w:t xml:space="preserve">Palavras-Chave: </w:t>
      </w:r>
      <w:r>
        <w:rPr>
          <w:rFonts w:ascii="Arial" w:hAnsi="Arial" w:cs="Arial"/>
          <w:sz w:val="24"/>
        </w:rPr>
        <w:t>Controle de concorrência. Transações. Bloqueio pessimista. Restrição de unicidade. PostgreSQL.</w:t>
      </w:r>
    </w:p>
    <w:p>
      <w:pPr>
        <w:keepNext/>
        <w:spacing w:before="0" w:after="240" w:line="240" w:lineRule="auto"/>
        <w:ind w:firstLine="0" w:left="0" w:right="0"/>
        <w:jc w:val="center"/>
      </w:pPr>
      <w:r>
        <w:rPr>
          <w:rFonts w:ascii="Arial" w:hAnsi="Arial" w:cs="Arial"/>
          <w:b/>
          <w:sz w:val="24"/>
        </w:rPr>
        <w:t>REFERÊNCIAS</w:t>
      </w:r>
    </w:p>
    <w:p>
      <w:pPr>
        <w:keepNext w:val="0"/>
        <w:spacing w:before="0" w:after="120" w:line="240" w:lineRule="auto"/>
        <w:ind w:firstLine="0" w:left="0" w:right="0"/>
        <w:jc w:val="left"/>
      </w:pPr>
      <w:r>
        <w:rPr>
          <w:rFonts w:ascii="Arial" w:hAnsi="Arial" w:cs="Arial"/>
          <w:sz w:val="22"/>
        </w:rPr>
        <w:t>BERNSTEIN, Philip A.; HADZILACOS, Vassos; GOODMAN, Nathan. Concurrency Control and Recovery in Database Systems. Reading: Addison-Wesley, 1987. Disponível em: https://www.microsoft.com/en-us/research/people/philbe/book/. Acesso em: 30 ago. 2026.</w:t>
      </w:r>
    </w:p>
    <w:p>
      <w:pPr>
        <w:keepNext w:val="0"/>
        <w:spacing w:before="0" w:after="120" w:line="240" w:lineRule="auto"/>
        <w:ind w:firstLine="0" w:left="0" w:right="0"/>
        <w:jc w:val="left"/>
      </w:pPr>
      <w:r>
        <w:rPr>
          <w:rFonts w:ascii="Arial" w:hAnsi="Arial" w:cs="Arial"/>
          <w:sz w:val="22"/>
        </w:rPr>
        <w:t>GRAFANA LABS. k6 documentation: metrics. 2026. Disponível em: https://grafana.com/docs/k6/latest/using-k6/metrics/. Acesso em: 30 ago. 2026.</w:t>
      </w:r>
    </w:p>
    <w:p>
      <w:pPr>
        <w:keepNext w:val="0"/>
        <w:spacing w:before="0" w:after="120" w:line="240" w:lineRule="auto"/>
        <w:ind w:firstLine="0" w:left="0" w:right="0"/>
        <w:jc w:val="left"/>
      </w:pPr>
      <w:r>
        <w:rPr>
          <w:rFonts w:ascii="Arial" w:hAnsi="Arial" w:cs="Arial"/>
          <w:sz w:val="22"/>
        </w:rPr>
        <w:t>GRAY, Jim; REUTER, Andreas. Transaction Processing: Concepts and Techniques. San Mateo: Morgan Kaufmann, 1993.</w:t>
      </w:r>
    </w:p>
    <w:p>
      <w:pPr>
        <w:keepNext w:val="0"/>
        <w:spacing w:before="0" w:after="120" w:line="240" w:lineRule="auto"/>
        <w:ind w:firstLine="0" w:left="0" w:right="0"/>
        <w:jc w:val="left"/>
      </w:pPr>
      <w:r>
        <w:rPr>
          <w:rFonts w:ascii="Arial" w:hAnsi="Arial" w:cs="Arial"/>
          <w:sz w:val="22"/>
        </w:rPr>
        <w:t>POSTGRESQL GLOBAL DEVELOPMENT GROUP. PostgreSQL 18 documentation: constraints. 2026a. Disponível em: https://www.postgresql.org/docs/18/ddl-constraints.html. Acesso em: 30 ago. 2026.</w:t>
      </w:r>
    </w:p>
    <w:p>
      <w:pPr>
        <w:keepNext w:val="0"/>
        <w:spacing w:before="0" w:after="120" w:line="240" w:lineRule="auto"/>
        <w:ind w:firstLine="0" w:left="0" w:right="0"/>
        <w:jc w:val="left"/>
      </w:pPr>
      <w:r>
        <w:rPr>
          <w:rFonts w:ascii="Arial" w:hAnsi="Arial" w:cs="Arial"/>
          <w:sz w:val="22"/>
        </w:rPr>
        <w:t>POSTGRESQL GLOBAL DEVELOPMENT GROUP. PostgreSQL 18 documentation: data consistency checks at the application level. 2026b. Disponível em: https://www.postgresql.org/docs/18/applevel-consistency.html. Acesso em: 30 ago. 2026.</w:t>
      </w:r>
    </w:p>
    <w:sectPr w:rsidR="008C4939" w:rsidSect="000C1942">
      <w:headerReference w:type="default" r:id="rId7"/>
      <w:pgSz w:w="11906" w:h="16838"/>
      <w:pgMar w:top="1701" w:right="1134" w:bottom="1134" w:left="1701"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FBCB08" w14:textId="77777777" w:rsidR="005427C5" w:rsidRDefault="005427C5" w:rsidP="00C03077">
      <w:r>
        <w:separator/>
      </w:r>
    </w:p>
  </w:endnote>
  <w:endnote w:type="continuationSeparator" w:id="0">
    <w:p w14:paraId="2CB17AAA" w14:textId="77777777" w:rsidR="005427C5" w:rsidRDefault="005427C5" w:rsidP="00C03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985A71" w14:textId="77777777" w:rsidR="005427C5" w:rsidRDefault="005427C5" w:rsidP="00C03077">
      <w:r>
        <w:separator/>
      </w:r>
    </w:p>
  </w:footnote>
  <w:footnote w:type="continuationSeparator" w:id="0">
    <w:p w14:paraId="0FE90A2A" w14:textId="77777777" w:rsidR="005427C5" w:rsidRDefault="005427C5" w:rsidP="00C03077">
      <w:r>
        <w:continuationSeparator/>
      </w:r>
    </w:p>
  </w:footnote>
  <w:footnote w:id="1">
    <w:p w14:paraId="3F09D411" w14:textId="0FA2EF48" w:rsidR="00C03077" w:rsidRPr="00D52E5C" w:rsidRDefault="00C03077" w:rsidP="007F390C">
      <w:pPr>
        <w:pStyle w:val="Textodenotaderodap"/>
        <w:rPr>
          <w:rFonts w:ascii="Arial" w:hAnsi="Arial" w:cs="Arial"/>
        </w:rPr>
      </w:pPr>
      <w:r w:rsidRPr="00D52E5C">
        <w:rPr>
          <w:rStyle w:val="Refdenotaderodap"/>
          <w:rFonts w:ascii="Arial" w:hAnsi="Arial" w:cs="Arial"/>
        </w:rPr>
        <w:footnoteRef/>
      </w:r>
      <w:r w:rsidRPr="00D52E5C">
        <w:rPr>
          <w:rFonts w:ascii="Arial" w:hAnsi="Arial" w:cs="Arial"/>
        </w:rPr>
        <w:t xml:space="preserve"> P</w:t>
      </w:r>
      <w:bookmarkStart w:id="0" w:name="_Hlk163046668"/>
      <w:r w:rsidRPr="00D52E5C">
        <w:rPr>
          <w:rFonts w:ascii="Arial" w:hAnsi="Arial" w:cs="Arial"/>
        </w:rPr>
        <w:t xml:space="preserve">rofessor (a) ou Acadêmico - Curso ... – Centro Universitário de Barra Mansa. E-mail: </w:t>
      </w:r>
      <w:proofErr w:type="spellStart"/>
      <w:r w:rsidRPr="00D52E5C">
        <w:rPr>
          <w:rFonts w:ascii="Arial" w:hAnsi="Arial" w:cs="Arial"/>
        </w:rPr>
        <w:t>email</w:t>
      </w:r>
      <w:proofErr w:type="spellEnd"/>
      <w:r w:rsidRPr="00D52E5C">
        <w:rPr>
          <w:rFonts w:ascii="Arial" w:hAnsi="Arial" w:cs="Arial"/>
        </w:rPr>
        <w:t>@</w:t>
      </w:r>
      <w:r w:rsidR="007F390C">
        <w:rPr>
          <w:rFonts w:ascii="Arial" w:hAnsi="Arial" w:cs="Arial"/>
        </w:rPr>
        <w:t xml:space="preserve"> ..</w:t>
      </w:r>
      <w:r w:rsidRPr="00D52E5C">
        <w:rPr>
          <w:rFonts w:ascii="Arial" w:hAnsi="Arial" w:cs="Arial"/>
        </w:rPr>
        <w:t>.</w:t>
      </w:r>
      <w:bookmarkEnd w:id="0"/>
    </w:p>
  </w:footnote>
  <w:footnote w:id="2">
    <w:p w14:paraId="77196A63" w14:textId="687ECDD0" w:rsidR="00C03077" w:rsidRPr="00D52E5C" w:rsidRDefault="00C03077" w:rsidP="007F390C">
      <w:pPr>
        <w:pStyle w:val="paragraph"/>
        <w:spacing w:before="0" w:beforeAutospacing="0" w:after="0" w:afterAutospacing="0"/>
        <w:jc w:val="both"/>
        <w:textAlignment w:val="baseline"/>
        <w:rPr>
          <w:rFonts w:ascii="Arial" w:hAnsi="Arial" w:cs="Arial"/>
          <w:sz w:val="20"/>
          <w:szCs w:val="20"/>
        </w:rPr>
      </w:pPr>
      <w:r w:rsidRPr="00D52E5C">
        <w:rPr>
          <w:rStyle w:val="Refdenotaderodap"/>
          <w:rFonts w:ascii="Arial" w:hAnsi="Arial" w:cs="Arial"/>
          <w:sz w:val="20"/>
          <w:szCs w:val="20"/>
        </w:rPr>
        <w:footnoteRef/>
      </w:r>
      <w:r w:rsidRPr="00D52E5C">
        <w:rPr>
          <w:rFonts w:ascii="Arial" w:hAnsi="Arial" w:cs="Arial"/>
          <w:sz w:val="20"/>
          <w:szCs w:val="20"/>
        </w:rPr>
        <w:t xml:space="preserve"> </w:t>
      </w:r>
      <w:r w:rsidRPr="00D52E5C">
        <w:rPr>
          <w:rStyle w:val="normaltextrun"/>
          <w:rFonts w:ascii="Arial" w:hAnsi="Arial" w:cs="Arial"/>
          <w:sz w:val="20"/>
          <w:szCs w:val="20"/>
        </w:rPr>
        <w:t xml:space="preserve">Tipo de Trabalho: Identificar se é TCC, Artigos Científico, </w:t>
      </w:r>
      <w:r w:rsidR="007F390C">
        <w:rPr>
          <w:rStyle w:val="normaltextrun"/>
          <w:rFonts w:ascii="Arial" w:hAnsi="Arial" w:cs="Arial"/>
          <w:sz w:val="20"/>
          <w:szCs w:val="20"/>
        </w:rPr>
        <w:t xml:space="preserve">Projeto de Pesquisa, Projeto de Extensão, </w:t>
      </w:r>
      <w:r w:rsidRPr="00D52E5C">
        <w:rPr>
          <w:rStyle w:val="normaltextrun"/>
          <w:rFonts w:ascii="Arial" w:hAnsi="Arial" w:cs="Arial"/>
          <w:sz w:val="20"/>
          <w:szCs w:val="20"/>
        </w:rPr>
        <w:t>entre outros.</w:t>
      </w:r>
      <w:r w:rsidR="007F390C">
        <w:rPr>
          <w:rStyle w:val="normaltextrun"/>
          <w:rFonts w:ascii="Arial" w:hAnsi="Arial" w:cs="Arial"/>
          <w:sz w:val="20"/>
          <w:szCs w:val="20"/>
        </w:rPr>
        <w:t xml:space="preserve"> </w:t>
      </w:r>
      <w:r w:rsidR="00255135">
        <w:rPr>
          <w:rStyle w:val="normaltextrun"/>
          <w:rFonts w:ascii="Arial" w:hAnsi="Arial" w:cs="Arial"/>
          <w:sz w:val="20"/>
          <w:szCs w:val="20"/>
        </w:rPr>
        <w:t>(</w:t>
      </w:r>
      <w:r w:rsidR="00255135" w:rsidRPr="00652E87">
        <w:rPr>
          <w:rStyle w:val="normaltextrun"/>
          <w:rFonts w:ascii="Arial" w:hAnsi="Arial" w:cs="Arial"/>
          <w:b/>
          <w:color w:val="FF0000"/>
          <w:sz w:val="20"/>
          <w:szCs w:val="20"/>
        </w:rPr>
        <w:t>Observação</w:t>
      </w:r>
      <w:r w:rsidR="00652E87">
        <w:rPr>
          <w:rStyle w:val="normaltextrun"/>
          <w:rFonts w:ascii="Arial" w:hAnsi="Arial" w:cs="Arial"/>
          <w:sz w:val="20"/>
          <w:szCs w:val="20"/>
        </w:rPr>
        <w:t xml:space="preserve">: </w:t>
      </w:r>
      <w:r w:rsidR="00255135">
        <w:rPr>
          <w:rStyle w:val="normaltextrun"/>
          <w:rFonts w:ascii="Arial" w:hAnsi="Arial" w:cs="Arial"/>
          <w:sz w:val="20"/>
          <w:szCs w:val="20"/>
        </w:rPr>
        <w:t>essa no</w:t>
      </w:r>
      <w:r w:rsidR="00652E87">
        <w:rPr>
          <w:rStyle w:val="normaltextrun"/>
          <w:rFonts w:ascii="Arial" w:hAnsi="Arial" w:cs="Arial"/>
          <w:sz w:val="20"/>
          <w:szCs w:val="20"/>
        </w:rPr>
        <w:t xml:space="preserve">ta não precisa estar aqui, </w:t>
      </w:r>
      <w:bookmarkStart w:id="1" w:name="_GoBack"/>
      <w:bookmarkEnd w:id="1"/>
      <w:r w:rsidR="00652E87">
        <w:rPr>
          <w:rStyle w:val="normaltextrun"/>
          <w:rFonts w:ascii="Arial" w:hAnsi="Arial" w:cs="Arial"/>
          <w:sz w:val="20"/>
          <w:szCs w:val="20"/>
        </w:rPr>
        <w:t xml:space="preserve">não é colocada no rodapé, só é </w:t>
      </w:r>
      <w:r w:rsidR="00255135">
        <w:rPr>
          <w:rStyle w:val="normaltextrun"/>
          <w:rFonts w:ascii="Arial" w:hAnsi="Arial" w:cs="Arial"/>
          <w:sz w:val="20"/>
          <w:szCs w:val="20"/>
        </w:rPr>
        <w:t>uma nota explicativa</w:t>
      </w:r>
      <w:r w:rsidR="00652E87">
        <w:rPr>
          <w:rStyle w:val="normaltextrun"/>
          <w:rFonts w:ascii="Arial" w:hAnsi="Arial" w:cs="Arial"/>
          <w:sz w:val="20"/>
          <w:szCs w:val="20"/>
        </w:rPr>
        <w:t xml:space="preserve"> sobre o tipo de trabalho, ela aparece só na </w:t>
      </w:r>
      <w:r w:rsidR="00652E87">
        <w:rPr>
          <w:rStyle w:val="normaltextrun"/>
          <w:rFonts w:ascii="Arial" w:hAnsi="Arial" w:cs="Arial"/>
          <w:b/>
          <w:color w:val="FF0000"/>
          <w:sz w:val="20"/>
          <w:szCs w:val="20"/>
        </w:rPr>
        <w:t>R</w:t>
      </w:r>
      <w:r w:rsidR="00652E87" w:rsidRPr="00652E87">
        <w:rPr>
          <w:rStyle w:val="normaltextrun"/>
          <w:rFonts w:ascii="Arial" w:hAnsi="Arial" w:cs="Arial"/>
          <w:b/>
          <w:color w:val="FF0000"/>
          <w:sz w:val="20"/>
          <w:szCs w:val="20"/>
        </w:rPr>
        <w:t>eferência</w:t>
      </w:r>
      <w:r w:rsidR="00652E87">
        <w:rPr>
          <w:rStyle w:val="normaltextrun"/>
          <w:rFonts w:ascii="Arial" w:hAnsi="Arial" w:cs="Arial"/>
          <w:sz w:val="20"/>
          <w:szCs w:val="20"/>
        </w:rPr>
        <w:t>)</w:t>
      </w:r>
    </w:p>
    <w:p w14:paraId="25134C7B" w14:textId="77777777" w:rsidR="00C03077" w:rsidRDefault="00C03077" w:rsidP="00C03077">
      <w:pPr>
        <w:pStyle w:val="Textodenotaderodap"/>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69CF8A" w14:textId="77777777" w:rsidR="00BC16DE" w:rsidRDefault="005427C5" w:rsidP="00312E1A">
    <w:pPr>
      <w:ind w:left="-1701"/>
      <w:jc w:val="right"/>
    </w:pPr>
    <w:r>
      <w:rPr>
        <w:noProof/>
        <w:lang w:bidi="ar-SA"/>
      </w:rPr>
      <w:drawing>
        <wp:inline distT="0" distB="0" distL="0" distR="0" wp14:anchorId="47A616D9" wp14:editId="49C7692F">
          <wp:extent cx="7570694" cy="103568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1826" cy="103720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B006D"/>
    <w:multiLevelType w:val="multilevel"/>
    <w:tmpl w:val="C1A215D4"/>
    <w:lvl w:ilvl="0">
      <w:start w:val="1"/>
      <w:numFmt w:val="decimal"/>
      <w:pStyle w:val="Seoprimria"/>
      <w:lvlText w:val="%1"/>
      <w:lvlJc w:val="left"/>
      <w:pPr>
        <w:ind w:left="242" w:hanging="377"/>
      </w:pPr>
      <w:rPr>
        <w:rFonts w:ascii="Times New Roman" w:eastAsia="Times New Roman" w:hAnsi="Times New Roman" w:cs="Times New Roman" w:hint="default"/>
        <w:b/>
        <w:bCs/>
        <w:spacing w:val="-1"/>
        <w:w w:val="99"/>
        <w:sz w:val="24"/>
        <w:szCs w:val="24"/>
        <w:lang w:val="pt-BR" w:eastAsia="pt-BR" w:bidi="pt-BR"/>
      </w:rPr>
    </w:lvl>
    <w:lvl w:ilvl="1">
      <w:start w:val="1"/>
      <w:numFmt w:val="decimal"/>
      <w:pStyle w:val="Seosecundria"/>
      <w:lvlText w:val="%1.%2"/>
      <w:lvlJc w:val="left"/>
      <w:pPr>
        <w:ind w:left="360" w:hanging="360"/>
      </w:pPr>
      <w:rPr>
        <w:rFonts w:ascii="Times New Roman" w:eastAsia="Times New Roman" w:hAnsi="Times New Roman" w:cs="Times New Roman" w:hint="default"/>
        <w:i w:val="0"/>
        <w:spacing w:val="-6"/>
        <w:w w:val="99"/>
        <w:sz w:val="24"/>
        <w:szCs w:val="24"/>
      </w:rPr>
    </w:lvl>
    <w:lvl w:ilvl="2">
      <w:start w:val="1"/>
      <w:numFmt w:val="decimal"/>
      <w:pStyle w:val="Seoterciria"/>
      <w:lvlText w:val="%1.%2.%3"/>
      <w:lvlJc w:val="left"/>
      <w:pPr>
        <w:ind w:left="824" w:hanging="540"/>
      </w:pPr>
      <w:rPr>
        <w:rFonts w:ascii="Times New Roman" w:eastAsia="Times New Roman" w:hAnsi="Times New Roman" w:cs="Times New Roman" w:hint="default"/>
        <w:b/>
        <w:bCs/>
        <w:spacing w:val="-4"/>
        <w:w w:val="99"/>
        <w:sz w:val="24"/>
        <w:szCs w:val="24"/>
      </w:rPr>
    </w:lvl>
    <w:lvl w:ilvl="3">
      <w:start w:val="1"/>
      <w:numFmt w:val="decimal"/>
      <w:pStyle w:val="Seoquaternria"/>
      <w:lvlText w:val="%1.%2.%3.%4"/>
      <w:lvlJc w:val="left"/>
      <w:pPr>
        <w:ind w:left="2421" w:hanging="720"/>
      </w:pPr>
      <w:rPr>
        <w:rFonts w:ascii="Times New Roman" w:eastAsia="Times New Roman" w:hAnsi="Times New Roman" w:cs="Times New Roman" w:hint="default"/>
        <w:i w:val="0"/>
        <w:w w:val="100"/>
        <w:sz w:val="24"/>
        <w:szCs w:val="24"/>
      </w:rPr>
    </w:lvl>
    <w:lvl w:ilvl="4">
      <w:numFmt w:val="bullet"/>
      <w:lvlText w:val="•"/>
      <w:lvlJc w:val="left"/>
      <w:pPr>
        <w:ind w:left="2200" w:hanging="720"/>
      </w:pPr>
      <w:rPr>
        <w:rFonts w:hint="default"/>
      </w:rPr>
    </w:lvl>
    <w:lvl w:ilvl="5">
      <w:numFmt w:val="bullet"/>
      <w:lvlText w:val="•"/>
      <w:lvlJc w:val="left"/>
      <w:pPr>
        <w:ind w:left="3441" w:hanging="720"/>
      </w:pPr>
      <w:rPr>
        <w:rFonts w:hint="default"/>
      </w:rPr>
    </w:lvl>
    <w:lvl w:ilvl="6">
      <w:numFmt w:val="bullet"/>
      <w:lvlText w:val="•"/>
      <w:lvlJc w:val="left"/>
      <w:pPr>
        <w:ind w:left="4682" w:hanging="720"/>
      </w:pPr>
      <w:rPr>
        <w:rFonts w:hint="default"/>
      </w:rPr>
    </w:lvl>
    <w:lvl w:ilvl="7">
      <w:numFmt w:val="bullet"/>
      <w:lvlText w:val="•"/>
      <w:lvlJc w:val="left"/>
      <w:pPr>
        <w:ind w:left="5923" w:hanging="720"/>
      </w:pPr>
      <w:rPr>
        <w:rFonts w:hint="default"/>
      </w:rPr>
    </w:lvl>
    <w:lvl w:ilvl="8">
      <w:numFmt w:val="bullet"/>
      <w:lvlText w:val="•"/>
      <w:lvlJc w:val="left"/>
      <w:pPr>
        <w:ind w:left="7164"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077"/>
    <w:rsid w:val="000A5DFD"/>
    <w:rsid w:val="000C1942"/>
    <w:rsid w:val="00255135"/>
    <w:rsid w:val="005427C5"/>
    <w:rsid w:val="00645760"/>
    <w:rsid w:val="00652E87"/>
    <w:rsid w:val="0066380E"/>
    <w:rsid w:val="007F390C"/>
    <w:rsid w:val="008C4939"/>
    <w:rsid w:val="00BC16DE"/>
    <w:rsid w:val="00C03077"/>
    <w:rsid w:val="00ED6D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1CC2"/>
  <w15:chartTrackingRefBased/>
  <w15:docId w15:val="{CC17A8D3-B1AD-4D60-B723-D44FD784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03077"/>
    <w:pPr>
      <w:widowControl w:val="0"/>
      <w:autoSpaceDE w:val="0"/>
      <w:autoSpaceDN w:val="0"/>
      <w:spacing w:line="240" w:lineRule="auto" w:before="0" w:after="0"/>
      <w:ind w:firstLine="0"/>
      <w:jc w:val="left"/>
    </w:pPr>
    <w:rPr>
      <w:rFonts w:ascii="Arial" w:eastAsia="Times New Roman" w:hAnsi="Arial" w:cs="Arial"/>
      <w:kern w:val="0"/>
      <w:sz w:val="24"/>
      <w:lang w:eastAsia="pt-BR" w:bidi="pt-BR"/>
      <w14:ligatures w14:val="none"/>
    </w:rPr>
  </w:style>
  <w:style w:type="paragraph" w:styleId="Ttulo1">
    <w:name w:val="heading 1"/>
    <w:basedOn w:val="Normal"/>
    <w:next w:val="Normal"/>
    <w:link w:val="Ttulo1Char"/>
    <w:uiPriority w:val="9"/>
    <w:qFormat/>
    <w:rsid w:val="00C03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03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030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030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030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0307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0307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0307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03077"/>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030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030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0307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0307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0307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030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030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030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03077"/>
    <w:rPr>
      <w:rFonts w:eastAsiaTheme="majorEastAsia" w:cstheme="majorBidi"/>
      <w:color w:val="272727" w:themeColor="text1" w:themeTint="D8"/>
    </w:rPr>
  </w:style>
  <w:style w:type="paragraph" w:styleId="Ttulo">
    <w:name w:val="Title"/>
    <w:basedOn w:val="Normal"/>
    <w:next w:val="Normal"/>
    <w:link w:val="TtuloChar"/>
    <w:uiPriority w:val="10"/>
    <w:qFormat/>
    <w:rsid w:val="00C03077"/>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030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03077"/>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030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03077"/>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C03077"/>
    <w:rPr>
      <w:i/>
      <w:iCs/>
      <w:color w:val="404040" w:themeColor="text1" w:themeTint="BF"/>
    </w:rPr>
  </w:style>
  <w:style w:type="paragraph" w:styleId="PargrafodaLista">
    <w:name w:val="List Paragraph"/>
    <w:basedOn w:val="Normal"/>
    <w:uiPriority w:val="34"/>
    <w:qFormat/>
    <w:rsid w:val="00C03077"/>
    <w:pPr>
      <w:ind w:left="720"/>
      <w:contextualSpacing/>
    </w:pPr>
  </w:style>
  <w:style w:type="character" w:styleId="nfaseIntensa">
    <w:name w:val="Intense Emphasis"/>
    <w:basedOn w:val="Fontepargpadro"/>
    <w:uiPriority w:val="21"/>
    <w:qFormat/>
    <w:rsid w:val="00C03077"/>
    <w:rPr>
      <w:i/>
      <w:iCs/>
      <w:color w:val="0F4761" w:themeColor="accent1" w:themeShade="BF"/>
    </w:rPr>
  </w:style>
  <w:style w:type="paragraph" w:styleId="CitaoIntensa">
    <w:name w:val="Intense Quote"/>
    <w:basedOn w:val="Normal"/>
    <w:next w:val="Normal"/>
    <w:link w:val="CitaoIntensaChar"/>
    <w:uiPriority w:val="30"/>
    <w:qFormat/>
    <w:rsid w:val="00C03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03077"/>
    <w:rPr>
      <w:i/>
      <w:iCs/>
      <w:color w:val="0F4761" w:themeColor="accent1" w:themeShade="BF"/>
    </w:rPr>
  </w:style>
  <w:style w:type="character" w:styleId="RefernciaIntensa">
    <w:name w:val="Intense Reference"/>
    <w:basedOn w:val="Fontepargpadro"/>
    <w:uiPriority w:val="32"/>
    <w:qFormat/>
    <w:rsid w:val="00C03077"/>
    <w:rPr>
      <w:b/>
      <w:bCs/>
      <w:smallCaps/>
      <w:color w:val="0F4761" w:themeColor="accent1" w:themeShade="BF"/>
      <w:spacing w:val="5"/>
    </w:rPr>
  </w:style>
  <w:style w:type="paragraph" w:customStyle="1" w:styleId="Seoprimria">
    <w:name w:val="Seção primária"/>
    <w:basedOn w:val="Ttulo1"/>
    <w:link w:val="SeoprimriaChar"/>
    <w:uiPriority w:val="1"/>
    <w:qFormat/>
    <w:rsid w:val="00C03077"/>
    <w:pPr>
      <w:keepNext w:val="0"/>
      <w:keepLines w:val="0"/>
      <w:numPr>
        <w:numId w:val="1"/>
      </w:numPr>
      <w:tabs>
        <w:tab w:val="left" w:pos="426"/>
      </w:tabs>
      <w:spacing w:before="0" w:after="0" w:line="360" w:lineRule="auto"/>
    </w:pPr>
    <w:rPr>
      <w:rFonts w:ascii="Times New Roman" w:eastAsia="Times New Roman" w:hAnsi="Times New Roman" w:cs="Times New Roman"/>
      <w:b/>
      <w:bCs/>
      <w:color w:val="auto"/>
      <w:sz w:val="24"/>
      <w:szCs w:val="24"/>
    </w:rPr>
  </w:style>
  <w:style w:type="paragraph" w:customStyle="1" w:styleId="Seosecundria">
    <w:name w:val="Seção secundária"/>
    <w:basedOn w:val="Ttulo1"/>
    <w:uiPriority w:val="1"/>
    <w:qFormat/>
    <w:rsid w:val="00C03077"/>
    <w:pPr>
      <w:keepNext w:val="0"/>
      <w:keepLines w:val="0"/>
      <w:numPr>
        <w:ilvl w:val="1"/>
        <w:numId w:val="1"/>
      </w:numPr>
      <w:tabs>
        <w:tab w:val="left" w:pos="426"/>
      </w:tabs>
      <w:spacing w:before="0" w:after="0" w:line="360" w:lineRule="auto"/>
      <w:ind w:left="426" w:hanging="426"/>
    </w:pPr>
    <w:rPr>
      <w:rFonts w:ascii="Times New Roman" w:eastAsia="Times New Roman" w:hAnsi="Times New Roman" w:cs="Times New Roman"/>
      <w:bCs/>
      <w:color w:val="auto"/>
      <w:sz w:val="24"/>
      <w:szCs w:val="24"/>
    </w:rPr>
  </w:style>
  <w:style w:type="character" w:customStyle="1" w:styleId="SeoprimriaChar">
    <w:name w:val="Seção primária Char"/>
    <w:basedOn w:val="Fontepargpadro"/>
    <w:link w:val="Seoprimria"/>
    <w:uiPriority w:val="1"/>
    <w:rsid w:val="00C03077"/>
    <w:rPr>
      <w:rFonts w:ascii="Times New Roman" w:eastAsia="Times New Roman" w:hAnsi="Times New Roman" w:cs="Times New Roman"/>
      <w:b/>
      <w:bCs/>
      <w:kern w:val="0"/>
      <w:sz w:val="24"/>
      <w:szCs w:val="24"/>
      <w:lang w:eastAsia="pt-BR" w:bidi="pt-BR"/>
      <w14:ligatures w14:val="none"/>
    </w:rPr>
  </w:style>
  <w:style w:type="paragraph" w:customStyle="1" w:styleId="Seoterciria">
    <w:name w:val="Seção terciária"/>
    <w:basedOn w:val="Ttulo1"/>
    <w:uiPriority w:val="1"/>
    <w:qFormat/>
    <w:rsid w:val="00C03077"/>
    <w:pPr>
      <w:keepNext w:val="0"/>
      <w:keepLines w:val="0"/>
      <w:numPr>
        <w:ilvl w:val="2"/>
        <w:numId w:val="1"/>
      </w:numPr>
      <w:tabs>
        <w:tab w:val="left" w:pos="567"/>
      </w:tabs>
      <w:spacing w:before="0" w:after="0" w:line="360" w:lineRule="auto"/>
      <w:ind w:hanging="824"/>
    </w:pPr>
    <w:rPr>
      <w:rFonts w:ascii="Times New Roman" w:eastAsia="Times New Roman" w:hAnsi="Times New Roman" w:cs="Times New Roman"/>
      <w:b/>
      <w:bCs/>
      <w:color w:val="auto"/>
      <w:sz w:val="24"/>
      <w:szCs w:val="24"/>
    </w:rPr>
  </w:style>
  <w:style w:type="paragraph" w:customStyle="1" w:styleId="Seoquaternria">
    <w:name w:val="Seção quaternária"/>
    <w:basedOn w:val="Seoterciria"/>
    <w:uiPriority w:val="1"/>
    <w:qFormat/>
    <w:rsid w:val="00C03077"/>
    <w:pPr>
      <w:numPr>
        <w:ilvl w:val="3"/>
      </w:numPr>
      <w:tabs>
        <w:tab w:val="clear" w:pos="567"/>
      </w:tabs>
      <w:ind w:left="851" w:hanging="851"/>
      <w:jc w:val="both"/>
    </w:pPr>
    <w:rPr>
      <w:b w:val="0"/>
    </w:rPr>
  </w:style>
  <w:style w:type="paragraph" w:customStyle="1" w:styleId="paragraph">
    <w:name w:val="paragraph"/>
    <w:basedOn w:val="Normal"/>
    <w:rsid w:val="00C03077"/>
    <w:pPr>
      <w:widowControl/>
      <w:autoSpaceDE/>
      <w:autoSpaceDN/>
      <w:spacing w:before="100" w:beforeAutospacing="1" w:after="100" w:afterAutospacing="1"/>
    </w:pPr>
    <w:rPr>
      <w:sz w:val="24"/>
      <w:szCs w:val="24"/>
      <w:lang w:bidi="ar-SA"/>
    </w:rPr>
  </w:style>
  <w:style w:type="character" w:customStyle="1" w:styleId="normaltextrun">
    <w:name w:val="normaltextrun"/>
    <w:basedOn w:val="Fontepargpadro"/>
    <w:rsid w:val="00C03077"/>
  </w:style>
  <w:style w:type="character" w:customStyle="1" w:styleId="eop">
    <w:name w:val="eop"/>
    <w:basedOn w:val="Fontepargpadro"/>
    <w:rsid w:val="00C03077"/>
  </w:style>
  <w:style w:type="paragraph" w:styleId="Textodenotaderodap">
    <w:name w:val="footnote text"/>
    <w:basedOn w:val="Normal"/>
    <w:link w:val="TextodenotaderodapChar"/>
    <w:uiPriority w:val="99"/>
    <w:semiHidden/>
    <w:unhideWhenUsed/>
    <w:rsid w:val="00C03077"/>
    <w:pPr>
      <w:widowControl/>
      <w:autoSpaceDE/>
      <w:autoSpaceDN/>
    </w:pPr>
    <w:rPr>
      <w:rFonts w:asciiTheme="minorHAnsi" w:eastAsiaTheme="minorHAnsi" w:hAnsiTheme="minorHAnsi" w:cstheme="minorBidi"/>
      <w:sz w:val="20"/>
      <w:szCs w:val="20"/>
      <w:lang w:eastAsia="en-US" w:bidi="ar-SA"/>
    </w:rPr>
  </w:style>
  <w:style w:type="character" w:customStyle="1" w:styleId="TextodenotaderodapChar">
    <w:name w:val="Texto de nota de rodapé Char"/>
    <w:basedOn w:val="Fontepargpadro"/>
    <w:link w:val="Textodenotaderodap"/>
    <w:uiPriority w:val="99"/>
    <w:semiHidden/>
    <w:rsid w:val="00C03077"/>
    <w:rPr>
      <w:kern w:val="0"/>
      <w:sz w:val="20"/>
      <w:szCs w:val="20"/>
      <w14:ligatures w14:val="none"/>
    </w:rPr>
  </w:style>
  <w:style w:type="character" w:styleId="Refdenotaderodap">
    <w:name w:val="footnote reference"/>
    <w:basedOn w:val="Fontepargpadro"/>
    <w:uiPriority w:val="99"/>
    <w:semiHidden/>
    <w:unhideWhenUsed/>
    <w:rsid w:val="00C03077"/>
    <w:rPr>
      <w:vertAlign w:val="superscript"/>
    </w:rPr>
  </w:style>
  <w:style w:type="paragraph" w:styleId="Cabealho">
    <w:name w:val="header"/>
    <w:basedOn w:val="Normal"/>
    <w:link w:val="CabealhoChar"/>
    <w:uiPriority w:val="99"/>
    <w:unhideWhenUsed/>
    <w:rsid w:val="00652E87"/>
    <w:pPr>
      <w:tabs>
        <w:tab w:val="center" w:pos="4252"/>
        <w:tab w:val="right" w:pos="8504"/>
      </w:tabs>
    </w:pPr>
  </w:style>
  <w:style w:type="character" w:customStyle="1" w:styleId="CabealhoChar">
    <w:name w:val="Cabeçalho Char"/>
    <w:basedOn w:val="Fontepargpadro"/>
    <w:link w:val="Cabealho"/>
    <w:uiPriority w:val="99"/>
    <w:rsid w:val="00652E87"/>
    <w:rPr>
      <w:rFonts w:ascii="Times New Roman" w:eastAsia="Times New Roman" w:hAnsi="Times New Roman" w:cs="Times New Roman"/>
      <w:kern w:val="0"/>
      <w:lang w:eastAsia="pt-BR" w:bidi="pt-BR"/>
      <w14:ligatures w14:val="none"/>
    </w:rPr>
  </w:style>
  <w:style w:type="paragraph" w:styleId="Rodap">
    <w:name w:val="footer"/>
    <w:basedOn w:val="Normal"/>
    <w:link w:val="RodapChar"/>
    <w:uiPriority w:val="99"/>
    <w:unhideWhenUsed/>
    <w:rsid w:val="00652E87"/>
    <w:pPr>
      <w:tabs>
        <w:tab w:val="center" w:pos="4252"/>
        <w:tab w:val="right" w:pos="8504"/>
      </w:tabs>
    </w:pPr>
  </w:style>
  <w:style w:type="character" w:customStyle="1" w:styleId="RodapChar">
    <w:name w:val="Rodapé Char"/>
    <w:basedOn w:val="Fontepargpadro"/>
    <w:link w:val="Rodap"/>
    <w:uiPriority w:val="99"/>
    <w:rsid w:val="00652E87"/>
    <w:rPr>
      <w:rFonts w:ascii="Times New Roman" w:eastAsia="Times New Roman" w:hAnsi="Times New Roman" w:cs="Times New Roman"/>
      <w:kern w:val="0"/>
      <w:lang w:eastAsia="pt-BR" w:bidi="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157</Words>
  <Characters>854</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Controle de concorrência no consumo de tokens de resgate em uma plataforma de benefícios</dc:title>
  <dc:subject>Resumo simples — Trabalho de Conclusão de Curso</dc:subject>
  <dc:creator>João Vitor Chaves</dc:creator>
  <cp:keywords>controle de concorrência, transações, bloqueio pessimista, unicidade, PostgreSQL</cp:keywords>
  <dc:description/>
  <cp:lastModifiedBy>Conta da Microsoft</cp:lastModifiedBy>
  <cp:revision>8</cp:revision>
  <cp:lastPrinted>2025-02-24T13:08:00Z</cp:lastPrinted>
  <dcterms:created xsi:type="dcterms:W3CDTF">2024-04-04T14:28:00Z</dcterms:created>
  <dcterms:modified xsi:type="dcterms:W3CDTF">2025-02-24T13:11:00Z</dcterms:modified>
</cp:coreProperties>
</file>