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bidi w:val="1"/>
        <w:spacing w:after="0" w:lineRule="auto"/>
        <w:contextualSpacing w:val="0"/>
        <w:jc w:val="center"/>
        <w:rPr>
          <w:rFonts w:ascii="Arial" w:cs="Arial" w:eastAsia="Arial" w:hAnsi="Arial"/>
          <w:color w:val="1155cc"/>
        </w:rPr>
      </w:pPr>
      <w:bookmarkStart w:colFirst="0" w:colLast="0" w:name="_pnb3s2hftjxs" w:id="0"/>
      <w:bookmarkEnd w:id="0"/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إدخال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العميل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259" w:lineRule="auto"/>
        <w:ind w:left="720" w:right="0" w:firstLine="0"/>
        <w:contextualSpacing w:val="0"/>
        <w:jc w:val="left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قانونية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مالية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تخصص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المساعدين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والمتابعين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والتوصيات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لبدء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العم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pBdr/>
        <w:bidi w:val="1"/>
        <w:spacing w:after="0" w:before="480" w:line="259" w:lineRule="auto"/>
        <w:ind w:left="0" w:right="0" w:firstLine="0"/>
        <w:contextualSpacing w:val="0"/>
        <w:jc w:val="center"/>
        <w:rPr>
          <w:rFonts w:ascii="Arial" w:cs="Arial" w:eastAsia="Arial" w:hAnsi="Arial"/>
          <w:color w:val="1155cc"/>
        </w:rPr>
      </w:pPr>
      <w:bookmarkStart w:colFirst="0" w:colLast="0" w:name="_qscud09txtj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pBdr/>
        <w:bidi w:val="1"/>
        <w:spacing w:after="0" w:before="480" w:line="259" w:lineRule="auto"/>
        <w:ind w:left="0" w:right="0" w:firstLine="0"/>
        <w:contextualSpacing w:val="0"/>
        <w:jc w:val="center"/>
        <w:rPr>
          <w:rFonts w:ascii="Arial" w:cs="Arial" w:eastAsia="Arial" w:hAnsi="Arial"/>
          <w:color w:val="1155cc"/>
        </w:rPr>
      </w:pPr>
      <w:bookmarkStart w:colFirst="0" w:colLast="0" w:name="_coc23l2qv8l" w:id="2"/>
      <w:bookmarkEnd w:id="2"/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rtl w:val="1"/>
        </w:rPr>
        <w:t xml:space="preserve">والتشغيل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اوراق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مستندات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مالى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تسويات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النوعية</w:t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1155c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48"/>
          <w:szCs w:val="48"/>
          <w:rtl w:val="1"/>
        </w:rPr>
        <w:t xml:space="preserve">شاشات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48"/>
          <w:szCs w:val="48"/>
          <w:rtl w:val="1"/>
        </w:rPr>
        <w:t xml:space="preserve">مخرجات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المراجعة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قوائم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( 4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قوائم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الفحص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التحليل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المالى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التعليق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متابعة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وتقييم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الأداء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color w:val="073763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مخرجات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النوعية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1"/>
        </w:rPr>
        <w:t xml:space="preserve">الالكترونى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rFonts w:ascii="Arial" w:cs="Arial" w:eastAsia="Arial" w:hAnsi="Arial"/>
          <w:b w:val="1"/>
          <w:color w:val="1155c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bidi w:val="1"/>
        <w:spacing w:after="0" w:lineRule="auto"/>
        <w:contextualSpacing w:val="0"/>
        <w:jc w:val="center"/>
        <w:rPr>
          <w:color w:val="1155cc"/>
        </w:rPr>
      </w:pPr>
      <w:bookmarkStart w:colFirst="0" w:colLast="0" w:name="_nmxesoj7gfyv" w:id="3"/>
      <w:bookmarkEnd w:id="3"/>
      <w:r w:rsidDel="00000000" w:rsidR="00000000" w:rsidRPr="00000000">
        <w:rPr>
          <w:color w:val="1155cc"/>
          <w:rtl w:val="1"/>
        </w:rPr>
        <w:t xml:space="preserve">إدخال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بيانات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العميل</w:t>
      </w:r>
    </w:p>
    <w:p w:rsidR="00000000" w:rsidDel="00000000" w:rsidP="00000000" w:rsidRDefault="00000000" w:rsidRPr="00000000">
      <w:pPr>
        <w:pStyle w:val="Heading3"/>
        <w:pBdr/>
        <w:bidi w:val="1"/>
        <w:spacing w:after="0" w:lineRule="auto"/>
        <w:contextualSpacing w:val="0"/>
        <w:jc w:val="center"/>
        <w:rPr>
          <w:color w:val="20124d"/>
          <w:u w:val="single"/>
          <w:vertAlign w:val="baseline"/>
        </w:rPr>
      </w:pPr>
      <w:bookmarkStart w:colFirst="0" w:colLast="0" w:name="_qnhjisrjtkva" w:id="4"/>
      <w:bookmarkEnd w:id="4"/>
      <w:r w:rsidDel="00000000" w:rsidR="00000000" w:rsidRPr="00000000">
        <w:rPr>
          <w:color w:val="20124d"/>
          <w:vertAlign w:val="baseline"/>
          <w:rtl w:val="1"/>
        </w:rPr>
        <w:t xml:space="preserve">أولا</w:t>
      </w:r>
      <w:r w:rsidDel="00000000" w:rsidR="00000000" w:rsidRPr="00000000">
        <w:rPr>
          <w:color w:val="20124d"/>
          <w:vertAlign w:val="baseline"/>
          <w:rtl w:val="1"/>
        </w:rPr>
        <w:t xml:space="preserve">ً </w:t>
      </w:r>
      <w:r w:rsidDel="00000000" w:rsidR="00000000" w:rsidRPr="00000000">
        <w:rPr>
          <w:color w:val="20124d"/>
          <w:vertAlign w:val="baseline"/>
          <w:rtl w:val="1"/>
        </w:rPr>
        <w:t xml:space="preserve">البيانات</w:t>
      </w:r>
      <w:r w:rsidDel="00000000" w:rsidR="00000000" w:rsidRPr="00000000">
        <w:rPr>
          <w:color w:val="20124d"/>
          <w:vertAlign w:val="baseline"/>
          <w:rtl w:val="1"/>
        </w:rPr>
        <w:t xml:space="preserve">  </w:t>
      </w:r>
      <w:r w:rsidDel="00000000" w:rsidR="00000000" w:rsidRPr="00000000">
        <w:rPr>
          <w:color w:val="20124d"/>
          <w:vertAlign w:val="baseline"/>
          <w:rtl w:val="1"/>
        </w:rPr>
        <w:t xml:space="preserve">القانونيه</w:t>
      </w:r>
      <w:r w:rsidDel="00000000" w:rsidR="00000000" w:rsidRPr="00000000">
        <w:rPr>
          <w:color w:val="20124d"/>
          <w:vertAlign w:val="baseline"/>
          <w:rtl w:val="1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124d"/>
          <w:u w:val="single"/>
          <w:vertAlign w:val="baseline"/>
          <w:rtl w:val="1"/>
        </w:rPr>
        <w:t xml:space="preserve">(</w:t>
      </w:r>
      <w:r w:rsidDel="00000000" w:rsidR="00000000" w:rsidRPr="00000000">
        <w:rPr>
          <w:color w:val="20124d"/>
          <w:u w:val="single"/>
          <w:vertAlign w:val="baseline"/>
          <w:rtl w:val="1"/>
        </w:rPr>
        <w:t xml:space="preserve">صلاحية</w:t>
      </w:r>
      <w:r w:rsidDel="00000000" w:rsidR="00000000" w:rsidRPr="00000000">
        <w:rPr>
          <w:color w:val="20124d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color w:val="20124d"/>
          <w:u w:val="single"/>
          <w:vertAlign w:val="baseline"/>
          <w:rtl w:val="1"/>
        </w:rPr>
        <w:t xml:space="preserve">مراجع</w:t>
      </w:r>
      <w:r w:rsidDel="00000000" w:rsidR="00000000" w:rsidRPr="00000000">
        <w:rPr>
          <w:color w:val="20124d"/>
          <w:u w:val="singl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259" w:lineRule="auto"/>
        <w:ind w:left="0" w:right="0" w:firstLine="0"/>
        <w:contextualSpacing w:val="0"/>
        <w:jc w:val="left"/>
        <w:rPr>
          <w:rFonts w:ascii="Amaze" w:cs="Amaze" w:eastAsia="Amaze" w:hAnsi="Amaz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المنشأة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مؤسسة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فردية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شركة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محدودة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شركة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تضامن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شركة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مساهمة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      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مرفق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 / 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مؤجلة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 / 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لا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maze" w:cs="Amaze" w:eastAsia="Amaze" w:hAnsi="Amaze"/>
          <w:b w:val="1"/>
          <w:i w:val="0"/>
          <w:smallCaps w:val="0"/>
          <w:strike w:val="0"/>
          <w:color w:val="ff0000"/>
          <w:sz w:val="16"/>
          <w:szCs w:val="16"/>
          <w:u w:val="none"/>
          <w:vertAlign w:val="baseline"/>
          <w:rtl w:val="1"/>
        </w:rPr>
        <w:t xml:space="preserve">تنطبق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العميل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الاتصال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هاتف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بريد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الكترونى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فاكس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المسؤولين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الرئيسين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بالمنشاة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جوال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بريد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الكترونى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الوظيفة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السجل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التجاري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تاريخ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السجل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عقد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التأسيس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أسماء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الشركاء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ونسب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الشراكة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رأس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المال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ونوعه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نقدي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عيني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160" w:before="0" w:line="360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السنة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المالية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   </w:t>
      </w:r>
      <w:r w:rsidDel="00000000" w:rsidR="00000000" w:rsidRPr="00000000">
        <w:rPr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سنة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تحدد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الفترة</w:t>
      </w:r>
      <w:r w:rsidDel="00000000" w:rsidR="00000000" w:rsidRPr="00000000">
        <w:rPr>
          <w:b w:val="1"/>
          <w:sz w:val="18"/>
          <w:szCs w:val="18"/>
          <w:rtl w:val="0"/>
        </w:rPr>
        <w:t xml:space="preserve">  -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1"/>
        </w:rPr>
        <w:t xml:space="preserve">سنوات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تالية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تحدد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السنة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محل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الفحص</w:t>
      </w:r>
      <w:r w:rsidDel="00000000" w:rsidR="00000000" w:rsidRPr="00000000">
        <w:rPr>
          <w:b w:val="1"/>
          <w:sz w:val="18"/>
          <w:szCs w:val="18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 </w:t>
      </w:r>
      <w:r w:rsidDel="00000000" w:rsidR="00000000" w:rsidRPr="00000000">
        <w:rPr>
          <w:b w:val="1"/>
          <w:sz w:val="18"/>
          <w:szCs w:val="18"/>
          <w:rtl w:val="1"/>
        </w:rPr>
        <w:t xml:space="preserve">ميلادي</w:t>
      </w:r>
      <w:r w:rsidDel="00000000" w:rsidR="00000000" w:rsidRPr="00000000">
        <w:rPr>
          <w:b w:val="1"/>
          <w:sz w:val="18"/>
          <w:szCs w:val="18"/>
          <w:rtl w:val="1"/>
        </w:rPr>
        <w:t xml:space="preserve"> -</w:t>
      </w:r>
      <w:r w:rsidDel="00000000" w:rsidR="00000000" w:rsidRPr="00000000">
        <w:rPr>
          <w:b w:val="1"/>
          <w:sz w:val="18"/>
          <w:szCs w:val="18"/>
          <w:rtl w:val="1"/>
        </w:rPr>
        <w:t xml:space="preserve">هجري</w:t>
      </w:r>
      <w:r w:rsidDel="00000000" w:rsidR="00000000" w:rsidRPr="00000000">
        <w:rPr>
          <w:b w:val="1"/>
          <w:sz w:val="18"/>
          <w:szCs w:val="18"/>
          <w:rtl w:val="1"/>
        </w:rPr>
        <w:t xml:space="preserve"> 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طبيعة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نشاط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المنشأة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تجارى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مقاولات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صناعي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مستشفى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مدرسة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فندق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المراجع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السابق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المراجع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السابق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هاتف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فاكس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لاخر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شهادة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الزكاة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المعاملة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الزكوية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زكاة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ضريبة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مختلطة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القوائم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للسنة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السابقة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المرسل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موافقة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العميل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التعميد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بالعمل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الفاكس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المرسل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بخصوص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الاتصال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بالمراجع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السابق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خطاب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الإفصاح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عقود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الايجار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الدائمة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صكوك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الأراضي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عقود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التسهيلات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والقروض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عقود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الموردين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الدائمين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عقود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طويلة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الاجل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16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نسخة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القوائم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1"/>
        </w:rPr>
        <w:t xml:space="preserve">الحالي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259" w:lineRule="auto"/>
        <w:ind w:right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ثانيا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ً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الماليه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   (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صلاحية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مراجع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ادخال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تعبئتة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36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259" w:lineRule="auto"/>
        <w:ind w:right="0"/>
        <w:contextualSpacing w:val="0"/>
        <w:jc w:val="center"/>
        <w:rPr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ثالثا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ً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تخصيص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فريق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العمل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وتحديد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برنامج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المراجعة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 (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صلاحية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مدير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مراجعه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0" w:before="0" w:line="259" w:lineRule="auto"/>
        <w:ind w:right="0"/>
        <w:contextualSpacing w:val="0"/>
        <w:jc w:val="center"/>
        <w:rPr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ادخالهم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للمكتب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ادخاله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b w:val="1"/>
          <w:color w:val="1155cc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8"/>
          <w:szCs w:val="28"/>
          <w:rtl w:val="1"/>
        </w:rPr>
        <w:t xml:space="preserve">والتشغيل</w:t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b w:val="1"/>
          <w:color w:val="20124d"/>
          <w:sz w:val="28"/>
          <w:szCs w:val="28"/>
        </w:rPr>
      </w:pP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أولا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التقارير</w:t>
      </w:r>
    </w:p>
    <w:p w:rsidR="00000000" w:rsidDel="00000000" w:rsidP="00000000" w:rsidRDefault="00000000" w:rsidRPr="00000000">
      <w:pPr>
        <w:pBdr/>
        <w:bidi w:val="1"/>
        <w:contextualSpacing w:val="0"/>
        <w:jc w:val="center"/>
        <w:rPr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راسي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bidi w:val="1"/>
        <w:spacing w:after="0" w:before="0" w:line="36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ثانيا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التشغيل</w:t>
      </w:r>
      <w:r w:rsidDel="00000000" w:rsidR="00000000" w:rsidRPr="00000000">
        <w:rPr>
          <w:b w:val="1"/>
          <w:color w:val="20124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بالبنوك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Upload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ككل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الاتي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spacing w:line="480" w:lineRule="auto"/>
        <w:ind w:left="-858" w:right="-993" w:firstLine="0"/>
        <w:contextualSpacing w:val="0"/>
        <w:rPr/>
      </w:pPr>
      <w:r w:rsidDel="00000000" w:rsidR="00000000" w:rsidRPr="00000000">
        <w:rPr>
          <w:rtl w:val="1"/>
        </w:rPr>
        <w:t xml:space="preserve">البيان</w:t>
      </w:r>
      <w:r w:rsidDel="00000000" w:rsidR="00000000" w:rsidRPr="00000000">
        <w:rPr>
          <w:rtl w:val="1"/>
        </w:rPr>
        <w:t xml:space="preserve">          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             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    </w:t>
      </w:r>
      <w:r w:rsidDel="00000000" w:rsidR="00000000" w:rsidRPr="00000000">
        <w:rPr>
          <w:rtl w:val="1"/>
        </w:rPr>
        <w:t xml:space="preserve">التسويات</w:t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التسويات</w:t>
      </w:r>
    </w:p>
    <w:p w:rsidR="00000000" w:rsidDel="00000000" w:rsidP="00000000" w:rsidRDefault="00000000" w:rsidRPr="00000000">
      <w:pPr>
        <w:pBdr/>
        <w:bidi w:val="1"/>
        <w:spacing w:line="480" w:lineRule="auto"/>
        <w:ind w:left="-858" w:right="-993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  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       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               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        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                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        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      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         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      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center"/>
        <w:rPr>
          <w:b w:val="1"/>
          <w:color w:val="20124d"/>
          <w:sz w:val="28"/>
          <w:szCs w:val="28"/>
        </w:rPr>
      </w:pP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شاشة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الرقابة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20124d"/>
          <w:sz w:val="28"/>
          <w:szCs w:val="28"/>
          <w:rtl w:val="1"/>
        </w:rPr>
        <w:t xml:space="preserve">النوعية</w:t>
      </w:r>
      <w:r w:rsidDel="00000000" w:rsidR="00000000" w:rsidRPr="00000000">
        <w:rPr>
          <w:b w:val="1"/>
          <w:color w:val="20124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center"/>
        <w:rPr>
          <w:b w:val="1"/>
          <w:color w:val="2012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rPr/>
      </w:pPr>
      <w:r w:rsidDel="00000000" w:rsidR="00000000" w:rsidRPr="00000000">
        <w:rPr>
          <w:rtl w:val="1"/>
        </w:rPr>
        <w:t xml:space="preserve">الرقابة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تعبئتها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جزئين</w:t>
      </w:r>
    </w:p>
    <w:p w:rsidR="00000000" w:rsidDel="00000000" w:rsidP="00000000" w:rsidRDefault="00000000" w:rsidRPr="00000000">
      <w:pPr>
        <w:pStyle w:val="Heading3"/>
        <w:pBdr/>
        <w:bidi w:val="1"/>
        <w:spacing w:line="480" w:lineRule="auto"/>
        <w:contextualSpacing w:val="0"/>
        <w:rPr>
          <w:color w:val="4c1130"/>
        </w:rPr>
      </w:pPr>
      <w:bookmarkStart w:colFirst="0" w:colLast="0" w:name="_ehdd60ai3v9j" w:id="6"/>
      <w:bookmarkEnd w:id="6"/>
      <w:r w:rsidDel="00000000" w:rsidR="00000000" w:rsidRPr="00000000">
        <w:rPr>
          <w:color w:val="4c1130"/>
          <w:vertAlign w:val="baseline"/>
          <w:rtl w:val="1"/>
        </w:rPr>
        <w:t xml:space="preserve">جزء</w:t>
      </w:r>
      <w:r w:rsidDel="00000000" w:rsidR="00000000" w:rsidRPr="00000000">
        <w:rPr>
          <w:color w:val="4c1130"/>
          <w:vertAlign w:val="baseline"/>
          <w:rtl w:val="1"/>
        </w:rPr>
        <w:t xml:space="preserve"> </w:t>
      </w:r>
      <w:r w:rsidDel="00000000" w:rsidR="00000000" w:rsidRPr="00000000">
        <w:rPr>
          <w:color w:val="4c1130"/>
          <w:vertAlign w:val="baseline"/>
          <w:rtl w:val="1"/>
        </w:rPr>
        <w:t xml:space="preserve">عن</w:t>
      </w:r>
      <w:r w:rsidDel="00000000" w:rsidR="00000000" w:rsidRPr="00000000">
        <w:rPr>
          <w:color w:val="4c1130"/>
          <w:vertAlign w:val="baseline"/>
          <w:rtl w:val="1"/>
        </w:rPr>
        <w:t xml:space="preserve"> </w:t>
      </w:r>
      <w:r w:rsidDel="00000000" w:rsidR="00000000" w:rsidRPr="00000000">
        <w:rPr>
          <w:color w:val="4c1130"/>
          <w:vertAlign w:val="baseline"/>
          <w:rtl w:val="1"/>
        </w:rPr>
        <w:t xml:space="preserve">معلومات</w:t>
      </w:r>
      <w:r w:rsidDel="00000000" w:rsidR="00000000" w:rsidRPr="00000000">
        <w:rPr>
          <w:color w:val="4c1130"/>
          <w:vertAlign w:val="baseline"/>
          <w:rtl w:val="1"/>
        </w:rPr>
        <w:t xml:space="preserve"> </w:t>
      </w:r>
      <w:r w:rsidDel="00000000" w:rsidR="00000000" w:rsidRPr="00000000">
        <w:rPr>
          <w:color w:val="4c1130"/>
          <w:vertAlign w:val="baseline"/>
          <w:rtl w:val="1"/>
        </w:rPr>
        <w:t xml:space="preserve">الشركة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160" w:before="0" w:line="48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والنظامية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160" w:before="0" w:line="480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جزء</w:t>
      </w: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4c1130"/>
          <w:sz w:val="28"/>
          <w:szCs w:val="28"/>
          <w:rtl w:val="1"/>
        </w:rPr>
        <w:t xml:space="preserve">أخرى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bidi w:val="1"/>
        <w:spacing w:after="160" w:before="0" w:line="480" w:lineRule="auto"/>
        <w:ind w:right="0"/>
        <w:contextualSpacing w:val="0"/>
        <w:jc w:val="left"/>
        <w:rPr/>
      </w:pPr>
      <w:r w:rsidDel="00000000" w:rsidR="00000000" w:rsidRPr="00000000">
        <w:rPr>
          <w:rtl w:val="1"/>
        </w:rPr>
        <w:t xml:space="preserve">تعبأ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موافاتكم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bidi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