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C3AED"/>
          <w:sz w:val="52"/>
          <w:szCs w:val="52"/>
        </w:rPr>
        <w:t xml:space="preserve">NIDARSHAN</w:t>
      </w:r>
    </w:p>
    <w:p>
      <w:pPr>
        <w:spacing w:after="60" w:before="0"/>
        <w:jc w:val="center"/>
      </w:pPr>
      <w:r>
        <w:rPr>
          <w:rFonts w:ascii="Calibri" w:cs="Calibri" w:eastAsia="Calibri" w:hAnsi="Calibri"/>
          <w:i/>
          <w:iCs/>
          <w:color w:val="64748B"/>
          <w:sz w:val="20"/>
          <w:szCs w:val="20"/>
        </w:rPr>
        <w:t xml:space="preserve">Network Intelligence &amp; Digital Artifact Resolution System for Heuristic Analysis of Nodes</w:t>
      </w:r>
    </w:p>
    <w:p>
      <w:pPr>
        <w:spacing w:after="40" w:before="0"/>
        <w:jc w:val="center"/>
      </w:pPr>
      <w:r>
        <w:rPr>
          <w:rFonts w:ascii="Calibri" w:cs="Calibri" w:eastAsia="Calibri" w:hAnsi="Calibri"/>
          <w:b/>
          <w:bCs/>
          <w:color w:val="334155"/>
          <w:sz w:val="22"/>
          <w:szCs w:val="22"/>
        </w:rPr>
        <w:t xml:space="preserve">Technical Proposal  ·  Void Hacks 8.0</w:t>
      </w:r>
    </w:p>
    <w:p>
      <w:pPr>
        <w:spacing w:after="0" w:before="0"/>
        <w:jc w:val="center"/>
      </w:pPr>
      <w:r>
        <w:rPr>
          <w:rFonts w:ascii="Calibri" w:cs="Calibri" w:eastAsia="Calibri" w:hAnsi="Calibri"/>
          <w:color w:val="64748B"/>
          <w:sz w:val="19"/>
          <w:szCs w:val="19"/>
        </w:rPr>
        <w:t xml:space="preserve">Team: TheCyberArc  ·  Shri Vaishnav Vidyapeeth Vishwavidyalaya, Indore</w:t>
      </w:r>
    </w:p>
    <w:p>
      <w:pPr>
        <w:pBdr>
          <w:bottom w:val="single" w:color="CBD5E1" w:sz="6" w:space="1"/>
        </w:pBdr>
        <w:spacing w:after="100" w:before="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DE9FE" w:color="auto" w:val="clear"/>
            <w:tcMar>
              <w:top w:type="dxa" w:w="60"/>
              <w:left w:type="dxa" w:w="120"/>
              <w:bottom w:type="dxa" w:w="60"/>
              <w:right w:type="dxa" w:w="120"/>
            </w:tcMar>
          </w:tcPr>
          <w:p>
            <w:pPr>
              <w:spacing w:after="40" w:before="40"/>
              <w:jc w:val="center"/>
            </w:pPr>
            <w:r>
              <w:rPr>
                <w:rFonts w:ascii="Calibri" w:cs="Calibri" w:eastAsia="Calibri" w:hAnsi="Calibri"/>
                <w:b/>
                <w:bCs/>
                <w:color w:val="7C3AED"/>
                <w:sz w:val="18"/>
                <w:szCs w:val="18"/>
              </w:rPr>
              <w:t xml:space="preserve">Domain</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Cybercrime Investigation / Digital Forensics</w:t>
            </w:r>
          </w:p>
        </w:tc>
      </w:tr>
      <w:tr>
        <w:tc>
          <w:tcPr>
            <w:tcW w:type="dxa" w:w="2200"/>
            <w:shd w:fill="EDE9FE" w:color="auto" w:val="clear"/>
            <w:tcMar>
              <w:top w:type="dxa" w:w="60"/>
              <w:left w:type="dxa" w:w="120"/>
              <w:bottom w:type="dxa" w:w="60"/>
              <w:right w:type="dxa" w:w="120"/>
            </w:tcMar>
          </w:tcPr>
          <w:p>
            <w:pPr>
              <w:spacing w:after="40" w:before="40"/>
              <w:jc w:val="center"/>
            </w:pPr>
            <w:r>
              <w:rPr>
                <w:rFonts w:ascii="Calibri" w:cs="Calibri" w:eastAsia="Calibri" w:hAnsi="Calibri"/>
                <w:b/>
                <w:bCs/>
                <w:color w:val="7C3AED"/>
                <w:sz w:val="18"/>
                <w:szCs w:val="18"/>
              </w:rPr>
              <w:t xml:space="preserve">Track</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Law Enforcement &amp; Public Safety</w:t>
            </w:r>
          </w:p>
        </w:tc>
      </w:tr>
      <w:tr>
        <w:tc>
          <w:tcPr>
            <w:tcW w:type="dxa" w:w="2200"/>
            <w:shd w:fill="CCFBF1" w:color="auto" w:val="clear"/>
            <w:tcMar>
              <w:top w:type="dxa" w:w="60"/>
              <w:left w:type="dxa" w:w="120"/>
              <w:bottom w:type="dxa" w:w="60"/>
              <w:right w:type="dxa" w:w="120"/>
            </w:tcMar>
          </w:tcPr>
          <w:p>
            <w:pPr>
              <w:spacing w:after="40" w:before="40"/>
              <w:jc w:val="center"/>
            </w:pPr>
            <w:r>
              <w:rPr>
                <w:rFonts w:ascii="Calibri" w:cs="Calibri" w:eastAsia="Calibri" w:hAnsi="Calibri"/>
                <w:b/>
                <w:bCs/>
                <w:color w:val="0D9488"/>
                <w:sz w:val="18"/>
                <w:szCs w:val="18"/>
              </w:rPr>
              <w:t xml:space="preserve">Deployment</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Fully Offline — USB-portable, CPU-only, 8 GB RAM</w:t>
            </w:r>
          </w:p>
        </w:tc>
      </w:tr>
      <w:tr>
        <w:tc>
          <w:tcPr>
            <w:tcW w:type="dxa" w:w="2200"/>
            <w:shd w:fill="FEF3C7" w:color="auto" w:val="clear"/>
            <w:tcMar>
              <w:top w:type="dxa" w:w="60"/>
              <w:left w:type="dxa" w:w="120"/>
              <w:bottom w:type="dxa" w:w="60"/>
              <w:right w:type="dxa" w:w="120"/>
            </w:tcMar>
          </w:tcPr>
          <w:p>
            <w:pPr>
              <w:spacing w:after="40" w:before="40"/>
              <w:jc w:val="center"/>
            </w:pPr>
            <w:r>
              <w:rPr>
                <w:rFonts w:ascii="Calibri" w:cs="Calibri" w:eastAsia="Calibri" w:hAnsi="Calibri"/>
                <w:b/>
                <w:bCs/>
                <w:color w:val="D97706"/>
                <w:sz w:val="18"/>
                <w:szCs w:val="18"/>
              </w:rPr>
              <w:t xml:space="preserve">Compliance</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Section 65B IEA · BNS 2023 · CERT-In CA-2024</w:t>
            </w:r>
          </w:p>
        </w:tc>
      </w:tr>
      <w:tr>
        <w:tc>
          <w:tcPr>
            <w:tcW w:type="dxa" w:w="2200"/>
            <w:shd w:fill="FFE4E6" w:color="auto" w:val="clear"/>
            <w:tcMar>
              <w:top w:type="dxa" w:w="60"/>
              <w:left w:type="dxa" w:w="120"/>
              <w:bottom w:type="dxa" w:w="60"/>
              <w:right w:type="dxa" w:w="120"/>
            </w:tcMar>
          </w:tcPr>
          <w:p>
            <w:pPr>
              <w:spacing w:after="40" w:before="40"/>
              <w:jc w:val="center"/>
            </w:pPr>
            <w:r>
              <w:rPr>
                <w:rFonts w:ascii="Calibri" w:cs="Calibri" w:eastAsia="Calibri" w:hAnsi="Calibri"/>
                <w:b/>
                <w:bCs/>
                <w:color w:val="E11D48"/>
                <w:sz w:val="18"/>
                <w:szCs w:val="18"/>
              </w:rPr>
              <w:t xml:space="preserve">Core Output</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Court-admissible FIR-ready PDF brief in &lt; 4 minutes</w:t>
            </w:r>
          </w:p>
        </w:tc>
      </w:tr>
    </w:tbl>
    <w:p>
      <w:pPr>
        <w:pStyle w:val="Heading1"/>
        <w:pBdr>
          <w:bottom w:val="single" w:color="7C3AED" w:sz="8" w:space="4"/>
        </w:pBdr>
        <w:spacing w:after="100" w:before="280"/>
      </w:pPr>
      <w:r>
        <w:rPr>
          <w:rFonts w:ascii="Calibri" w:cs="Calibri" w:eastAsia="Calibri" w:hAnsi="Calibri"/>
          <w:b/>
          <w:bCs/>
          <w:color w:val="7C3AED"/>
          <w:sz w:val="26"/>
          <w:szCs w:val="26"/>
        </w:rPr>
        <w:t xml:space="preserve">1.  Problem Statement</w:t>
      </w:r>
    </w:p>
    <w:p>
      <w:pPr>
        <w:spacing w:after="140" w:before="0"/>
        <w:jc w:val="both"/>
      </w:pPr>
      <w:r>
        <w:rPr>
          <w:rFonts w:ascii="Calibri" w:cs="Calibri" w:eastAsia="Calibri" w:hAnsi="Calibri"/>
          <w:b w:val="false"/>
          <w:bCs w:val="false"/>
          <w:color w:val="334155"/>
          <w:sz w:val="20"/>
          <w:szCs w:val="20"/>
        </w:rPr>
        <w:t xml:space="preserve">India recorded 7,000+ cyber fraud complaints per day in 2023 (NCRB), generating an estimated ₹11,000 Cr in annual victim losses. Yet Investigating Officers (IOs) spend 35–40 hours manually cross-referencing call detail records (CDRs), UPI transaction logs, email headers, and APK binaries — evidence that is siloed across DoT, SFIO, NPCI, and ISPs. By the time triage begins, the "golden hour" has elapsed: mule accounts disperse stolen funds across 5–7 hops within minutes of receipt.</w:t>
      </w:r>
    </w:p>
    <w:p>
      <w:pPr>
        <w:spacing w:after="80" w:before="0"/>
        <w:jc w:val="both"/>
      </w:pPr>
      <w:r>
        <w:rPr>
          <w:rFonts w:ascii="Calibri" w:cs="Calibri" w:eastAsia="Calibri" w:hAnsi="Calibri"/>
          <w:b/>
          <w:bCs/>
          <w:color w:val="334155"/>
          <w:sz w:val="20"/>
          <w:szCs w:val="20"/>
        </w:rPr>
        <w:t xml:space="preserve">Four structural gaps define the crisis:</w:t>
      </w:r>
    </w:p>
    <w:p>
      <w:pPr>
        <w:spacing w:after="100" w:before="0"/>
        <w:ind w:left="360"/>
      </w:pPr>
      <w:r>
        <w:rPr>
          <w:rFonts w:ascii="Calibri" w:cs="Calibri" w:eastAsia="Calibri" w:hAnsi="Calibri"/>
          <w:color w:val="334155"/>
          <w:sz w:val="20"/>
          <w:szCs w:val="20"/>
        </w:rPr>
        <w:t xml:space="preserve">▸  No unified ingestion platform — agencies pass physical printouts or password-protected ZIPs.</w:t>
      </w:r>
    </w:p>
    <w:p>
      <w:pPr>
        <w:spacing w:after="100" w:before="0"/>
        <w:ind w:left="360"/>
      </w:pPr>
      <w:r>
        <w:rPr>
          <w:rFonts w:ascii="Calibri" w:cs="Calibri" w:eastAsia="Calibri" w:hAnsi="Calibri"/>
          <w:color w:val="334155"/>
          <w:sz w:val="20"/>
          <w:szCs w:val="20"/>
        </w:rPr>
        <w:t xml:space="preserve">▸  English-only NLP tools miss Hindi/code-switched fraud recruitment scripts used in 90 %+ of cases.</w:t>
      </w:r>
    </w:p>
    <w:p>
      <w:pPr>
        <w:spacing w:after="100" w:before="0"/>
        <w:ind w:left="360"/>
      </w:pPr>
      <w:r>
        <w:rPr>
          <w:rFonts w:ascii="Calibri" w:cs="Calibri" w:eastAsia="Calibri" w:hAnsi="Calibri"/>
          <w:color w:val="334155"/>
          <w:sz w:val="20"/>
          <w:szCs w:val="20"/>
        </w:rPr>
        <w:t xml:space="preserve">▸  Multi-hop mule chains (5–7 accounts) are completely invisible to CCTNS and existing forensic tools.</w:t>
      </w:r>
    </w:p>
    <w:p>
      <w:pPr>
        <w:spacing w:after="100" w:before="0"/>
        <w:ind w:left="360"/>
      </w:pPr>
      <w:r>
        <w:rPr>
          <w:rFonts w:ascii="Calibri" w:cs="Calibri" w:eastAsia="Calibri" w:hAnsi="Calibri"/>
          <w:color w:val="334155"/>
          <w:sz w:val="20"/>
          <w:szCs w:val="20"/>
        </w:rPr>
        <w:t xml:space="preserve">▸  No tamper-evident chain of custody links digital evidence to courtroom admissibility (Section 65B).</w:t>
      </w:r>
    </w:p>
    <w:p>
      <w:pPr>
        <w:spacing w:after="80" w:before="0"/>
      </w:pPr>
    </w:p>
    <w:p>
      <w:pPr>
        <w:pStyle w:val="Heading1"/>
        <w:pBdr>
          <w:bottom w:val="single" w:color="7C3AED" w:sz="8" w:space="4"/>
        </w:pBdr>
        <w:spacing w:after="100" w:before="280"/>
      </w:pPr>
      <w:r>
        <w:rPr>
          <w:rFonts w:ascii="Calibri" w:cs="Calibri" w:eastAsia="Calibri" w:hAnsi="Calibri"/>
          <w:b/>
          <w:bCs/>
          <w:color w:val="7C3AED"/>
          <w:sz w:val="26"/>
          <w:szCs w:val="26"/>
        </w:rPr>
        <w:t xml:space="preserve">2.  Proposed Solution</w:t>
      </w:r>
    </w:p>
    <w:p>
      <w:pPr>
        <w:spacing w:after="140" w:before="0"/>
        <w:jc w:val="both"/>
      </w:pPr>
      <w:r>
        <w:rPr>
          <w:rFonts w:ascii="Calibri" w:cs="Calibri" w:eastAsia="Calibri" w:hAnsi="Calibri"/>
          <w:b w:val="false"/>
          <w:bCs w:val="false"/>
          <w:color w:val="334155"/>
          <w:sz w:val="20"/>
          <w:szCs w:val="20"/>
        </w:rPr>
        <w:t xml:space="preserve">NIDARSHAN is a five-layer, fully offline AI forensic pipeline. It ingests CDRs, IPDR logs, UPI XML exports, APK binaries, and multilingual chat exports; extracts entities with a custom regex engine; builds a temporal knowledge graph; scores suspects using 12 explainable behavioural indicators; and emits a Section 65B-compliant PDF investigative brief — all within four minutes on a standard ₹40,000 laptop, with zero cloud dependency and zero data exfiltration risk.</w:t>
      </w:r>
    </w:p>
    <w:p>
      <w:pPr>
        <w:pStyle w:val="Heading2"/>
        <w:spacing w:after="60" w:before="200"/>
      </w:pPr>
      <w:r>
        <w:rPr>
          <w:rFonts w:ascii="Calibri" w:cs="Calibri" w:eastAsia="Calibri" w:hAnsi="Calibri"/>
          <w:b/>
          <w:bCs/>
          <w:color w:val="334155"/>
          <w:sz w:val="22"/>
          <w:szCs w:val="22"/>
        </w:rPr>
        <w:t xml:space="preserve">Key Differentiators</w:t>
      </w:r>
    </w:p>
    <w:p>
      <w:pPr>
        <w:spacing w:after="100" w:before="0"/>
        <w:ind w:left="360"/>
      </w:pPr>
      <w:r>
        <w:rPr>
          <w:rFonts w:ascii="Calibri" w:cs="Calibri" w:eastAsia="Calibri" w:hAnsi="Calibri"/>
          <w:color w:val="334155"/>
          <w:sz w:val="20"/>
          <w:szCs w:val="20"/>
        </w:rPr>
        <w:t xml:space="preserve">▸  Unified 5-artifact pipeline — the only platform combining CDR + IPDR + UPI XML + APK + multilingual chat offline.</w:t>
      </w:r>
    </w:p>
    <w:p>
      <w:pPr>
        <w:spacing w:after="100" w:before="0"/>
        <w:ind w:left="360"/>
      </w:pPr>
      <w:r>
        <w:rPr>
          <w:rFonts w:ascii="Calibri" w:cs="Calibri" w:eastAsia="Calibri" w:hAnsi="Calibri"/>
          <w:color w:val="334155"/>
          <w:sz w:val="20"/>
          <w:szCs w:val="20"/>
        </w:rPr>
        <w:t xml:space="preserve">▸  Golden-hour velocity alert — temporal graph detects fund-dispersal speed and triggers 1930 account-freeze workflow before money exits the ecosystem.</w:t>
      </w:r>
    </w:p>
    <w:p>
      <w:pPr>
        <w:spacing w:after="100" w:before="0"/>
        <w:ind w:left="360"/>
      </w:pPr>
      <w:r>
        <w:rPr>
          <w:rFonts w:ascii="Calibri" w:cs="Calibri" w:eastAsia="Calibri" w:hAnsi="Calibri"/>
          <w:color w:val="334155"/>
          <w:sz w:val="20"/>
          <w:szCs w:val="20"/>
        </w:rPr>
        <w:t xml:space="preserve">▸  APK → live fraud graph — static manifest analysis extracts C2 server IPs directly into the entity graph in real time.</w:t>
      </w:r>
    </w:p>
    <w:p>
      <w:pPr>
        <w:spacing w:after="100" w:before="0"/>
        <w:ind w:left="360"/>
      </w:pPr>
      <w:r>
        <w:rPr>
          <w:rFonts w:ascii="Calibri" w:cs="Calibri" w:eastAsia="Calibri" w:hAnsi="Calibri"/>
          <w:color w:val="334155"/>
          <w:sz w:val="20"/>
          <w:szCs w:val="20"/>
        </w:rPr>
        <w:t xml:space="preserve">▸  SHAP explainability — every risk score produces plain-language evidence paragraphs quotable in a chargesheet, not a black-box number.</w:t>
      </w:r>
    </w:p>
    <w:p>
      <w:pPr>
        <w:spacing w:after="100" w:before="0"/>
        <w:ind w:left="360"/>
      </w:pPr>
      <w:r>
        <w:rPr>
          <w:rFonts w:ascii="Calibri" w:cs="Calibri" w:eastAsia="Calibri" w:hAnsi="Calibri"/>
          <w:color w:val="334155"/>
          <w:sz w:val="20"/>
          <w:szCs w:val="20"/>
        </w:rPr>
        <w:t xml:space="preserve">▸  Sovereign offline AI — Ollama + Mistral 7B GGUF Q4 runs on CPU; no API keys, no cloud, 8 GB RAM minimum.</w:t>
      </w:r>
    </w:p>
    <w:p>
      <w:pPr>
        <w:spacing w:after="80" w:before="0"/>
      </w:pPr>
    </w:p>
    <w:p>
      <w:pPr>
        <w:pStyle w:val="Heading1"/>
        <w:pBdr>
          <w:bottom w:val="single" w:color="7C3AED" w:sz="8" w:space="4"/>
        </w:pBdr>
        <w:spacing w:after="100" w:before="280"/>
      </w:pPr>
      <w:r>
        <w:rPr>
          <w:rFonts w:ascii="Calibri" w:cs="Calibri" w:eastAsia="Calibri" w:hAnsi="Calibri"/>
          <w:b/>
          <w:bCs/>
          <w:color w:val="7C3AED"/>
          <w:sz w:val="26"/>
          <w:szCs w:val="26"/>
        </w:rPr>
        <w:t xml:space="preserve">3.  System Architecture</w:t>
      </w:r>
    </w:p>
    <w:p>
      <w:pPr>
        <w:spacing w:after="120" w:before="0"/>
        <w:jc w:val="both"/>
      </w:pPr>
      <w:r>
        <w:rPr>
          <w:rFonts w:ascii="Calibri" w:cs="Calibri" w:eastAsia="Calibri" w:hAnsi="Calibri"/>
          <w:b w:val="false"/>
          <w:bCs w:val="false"/>
          <w:color w:val="334155"/>
          <w:sz w:val="20"/>
          <w:szCs w:val="20"/>
        </w:rPr>
        <w:t xml:space="preserve">NIDARSHAN is structured as five sequential, independently-testable layers connected by JSON output contracts. Each layer writes a SHA-256 state hash before passing control to the next, creating an unbroken chain of custody from byte zero.</w:t>
      </w:r>
    </w:p>
    <w:p>
      <w:pPr>
        <w:spacing w:after="40" w:before="0"/>
      </w:pPr>
    </w:p>
    <w:p>
      <w:pPr>
        <w:spacing w:after="0" w:before="0"/>
      </w:pPr>
      <w:r>
        <w:rPr>
          <w:rFonts w:ascii="Courier New" w:cs="Courier New" w:eastAsia="Courier New" w:hAnsi="Courier New"/>
          <w:color w:val="334155"/>
          <w:sz w:val="16"/>
          <w:szCs w:val="16"/>
        </w:rPr>
        <w:t xml:space="preserve">┌─────────────────────────────────────────────────────────────────────────────┐</w:t>
      </w:r>
    </w:p>
    <w:p>
      <w:pPr>
        <w:spacing w:after="0" w:before="0"/>
      </w:pPr>
      <w:r>
        <w:rPr>
          <w:rFonts w:ascii="Courier New" w:cs="Courier New" w:eastAsia="Courier New" w:hAnsi="Courier New"/>
          <w:color w:val="334155"/>
          <w:sz w:val="16"/>
          <w:szCs w:val="16"/>
        </w:rPr>
        <w:t xml:space="preserve">│                         NIDARSHAN — SYSTEM ARCHITECTURE                     │</w:t>
      </w:r>
    </w:p>
    <w:p>
      <w:pPr>
        <w:spacing w:after="0" w:before="0"/>
      </w:pPr>
      <w:r>
        <w:rPr>
          <w:rFonts w:ascii="Courier New" w:cs="Courier New" w:eastAsia="Courier New" w:hAnsi="Courier New"/>
          <w:color w:val="334155"/>
          <w:sz w:val="16"/>
          <w:szCs w:val="16"/>
        </w:rPr>
        <w:t xml:space="preserve">├──────────────┬─────────────────────────────────────────────────────────────┤</w:t>
      </w:r>
    </w:p>
    <w:p>
      <w:pPr>
        <w:spacing w:after="0" w:before="0"/>
      </w:pPr>
      <w:r>
        <w:rPr>
          <w:rFonts w:ascii="Courier New" w:cs="Courier New" w:eastAsia="Courier New" w:hAnsi="Courier New"/>
          <w:color w:val="334155"/>
          <w:sz w:val="16"/>
          <w:szCs w:val="16"/>
        </w:rPr>
        <w:t xml:space="preserve">│  LAYER 1     │  DATA INGESTION  (ETL)                                      │</w:t>
      </w:r>
    </w:p>
    <w:p>
      <w:pPr>
        <w:spacing w:after="0" w:before="0"/>
      </w:pPr>
      <w:r>
        <w:rPr>
          <w:rFonts w:ascii="Courier New" w:cs="Courier New" w:eastAsia="Courier New" w:hAnsi="Courier New"/>
          <w:color w:val="334155"/>
          <w:sz w:val="16"/>
          <w:szCs w:val="16"/>
        </w:rPr>
        <w:t xml:space="preserve">│              │  CDR · IPDR · UPI XML · APK · .eml · Chat exports           │</w:t>
      </w:r>
    </w:p>
    <w:p>
      <w:pPr>
        <w:spacing w:after="0" w:before="0"/>
      </w:pPr>
      <w:r>
        <w:rPr>
          <w:rFonts w:ascii="Courier New" w:cs="Courier New" w:eastAsia="Courier New" w:hAnsi="Courier New"/>
          <w:color w:val="334155"/>
          <w:sz w:val="16"/>
          <w:szCs w:val="16"/>
        </w:rPr>
        <w:t xml:space="preserve">│              │  pandas / openpyxl / AdmZip / MailParser · UTF-8 fix        │</w:t>
      </w:r>
    </w:p>
    <w:p>
      <w:pPr>
        <w:spacing w:after="0" w:before="0"/>
      </w:pPr>
      <w:r>
        <w:rPr>
          <w:rFonts w:ascii="Courier New" w:cs="Courier New" w:eastAsia="Courier New" w:hAnsi="Courier New"/>
          <w:color w:val="334155"/>
          <w:sz w:val="16"/>
          <w:szCs w:val="16"/>
        </w:rPr>
        <w:t xml:space="preserve">│              │  SHA-256 ENTRY LOCK — hash sealed at pipeline boundary      │</w:t>
      </w:r>
    </w:p>
    <w:p>
      <w:pPr>
        <w:spacing w:after="0" w:before="0"/>
      </w:pPr>
      <w:r>
        <w:rPr>
          <w:rFonts w:ascii="Courier New" w:cs="Courier New" w:eastAsia="Courier New" w:hAnsi="Courier New"/>
          <w:color w:val="334155"/>
          <w:sz w:val="16"/>
          <w:szCs w:val="16"/>
        </w:rPr>
        <w:t xml:space="preserve">├──────────────┼─────────────────────────────────────────────────────────────┤</w:t>
      </w:r>
    </w:p>
    <w:p>
      <w:pPr>
        <w:spacing w:after="0" w:before="0"/>
      </w:pPr>
      <w:r>
        <w:rPr>
          <w:rFonts w:ascii="Courier New" w:cs="Courier New" w:eastAsia="Courier New" w:hAnsi="Courier New"/>
          <w:color w:val="334155"/>
          <w:sz w:val="16"/>
          <w:szCs w:val="16"/>
        </w:rPr>
        <w:t xml:space="preserve">│  LAYER 2     │  ENTITY EXTRACTION  (no LLM required)                      │</w:t>
      </w:r>
    </w:p>
    <w:p>
      <w:pPr>
        <w:spacing w:after="0" w:before="0"/>
      </w:pPr>
      <w:r>
        <w:rPr>
          <w:rFonts w:ascii="Courier New" w:cs="Courier New" w:eastAsia="Courier New" w:hAnsi="Courier New"/>
          <w:color w:val="334155"/>
          <w:sz w:val="16"/>
          <w:szCs w:val="16"/>
        </w:rPr>
        <w:t xml:space="preserve">│              │  Custom regex engine: IMEI · UPI VPA · IP · MAC · PHONE     │</w:t>
      </w:r>
    </w:p>
    <w:p>
      <w:pPr>
        <w:spacing w:after="0" w:before="0"/>
      </w:pPr>
      <w:r>
        <w:rPr>
          <w:rFonts w:ascii="Courier New" w:cs="Courier New" w:eastAsia="Courier New" w:hAnsi="Courier New"/>
          <w:color w:val="334155"/>
          <w:sz w:val="16"/>
          <w:szCs w:val="16"/>
        </w:rPr>
        <w:t xml:space="preserve">│              │  Rule-based scorer → 12 behavioural indicators              │</w:t>
      </w:r>
    </w:p>
    <w:p>
      <w:pPr>
        <w:spacing w:after="0" w:before="0"/>
      </w:pPr>
      <w:r>
        <w:rPr>
          <w:rFonts w:ascii="Courier New" w:cs="Courier New" w:eastAsia="Courier New" w:hAnsi="Courier New"/>
          <w:color w:val="334155"/>
          <w:sz w:val="16"/>
          <w:szCs w:val="16"/>
        </w:rPr>
        <w:t xml:space="preserve">│              │  Confidence weighting → False-Link Guard logic              │</w:t>
      </w:r>
    </w:p>
    <w:p>
      <w:pPr>
        <w:spacing w:after="0" w:before="0"/>
      </w:pPr>
      <w:r>
        <w:rPr>
          <w:rFonts w:ascii="Courier New" w:cs="Courier New" w:eastAsia="Courier New" w:hAnsi="Courier New"/>
          <w:color w:val="334155"/>
          <w:sz w:val="16"/>
          <w:szCs w:val="16"/>
        </w:rPr>
        <w:t xml:space="preserve">├──────────────┼─────────────────────────────────────────────────────────────┤</w:t>
      </w:r>
    </w:p>
    <w:p>
      <w:pPr>
        <w:spacing w:after="0" w:before="0"/>
      </w:pPr>
      <w:r>
        <w:rPr>
          <w:rFonts w:ascii="Courier New" w:cs="Courier New" w:eastAsia="Courier New" w:hAnsi="Courier New"/>
          <w:color w:val="334155"/>
          <w:sz w:val="16"/>
          <w:szCs w:val="16"/>
        </w:rPr>
        <w:t xml:space="preserve">│  LAYER 3     │  KNOWLEDGE GRAPH  (graphology + Drizzle ORM / SQLite)       │</w:t>
      </w:r>
    </w:p>
    <w:p>
      <w:pPr>
        <w:spacing w:after="0" w:before="0"/>
      </w:pPr>
      <w:r>
        <w:rPr>
          <w:rFonts w:ascii="Courier New" w:cs="Courier New" w:eastAsia="Courier New" w:hAnsi="Courier New"/>
          <w:color w:val="334155"/>
          <w:sz w:val="16"/>
          <w:szCs w:val="16"/>
        </w:rPr>
        <w:t xml:space="preserve">│              │  Directed temporal graph · Unix-timestamped edges           │</w:t>
      </w:r>
    </w:p>
    <w:p>
      <w:pPr>
        <w:spacing w:after="0" w:before="0"/>
      </w:pPr>
      <w:r>
        <w:rPr>
          <w:rFonts w:ascii="Courier New" w:cs="Courier New" w:eastAsia="Courier New" w:hAnsi="Courier New"/>
          <w:color w:val="334155"/>
          <w:sz w:val="16"/>
          <w:szCs w:val="16"/>
        </w:rPr>
        <w:t xml:space="preserve">│              │  7+ hop mule-chain tracing · fund velocity detection        │</w:t>
      </w:r>
    </w:p>
    <w:p>
      <w:pPr>
        <w:spacing w:after="0" w:before="0"/>
      </w:pPr>
      <w:r>
        <w:rPr>
          <w:rFonts w:ascii="Courier New" w:cs="Courier New" w:eastAsia="Courier New" w:hAnsi="Courier New"/>
          <w:color w:val="334155"/>
          <w:sz w:val="16"/>
          <w:szCs w:val="16"/>
        </w:rPr>
        <w:t xml:space="preserve">│              │  APK manifest → C2 IP → live entity node                   │</w:t>
      </w:r>
    </w:p>
    <w:p>
      <w:pPr>
        <w:spacing w:after="0" w:before="0"/>
      </w:pPr>
      <w:r>
        <w:rPr>
          <w:rFonts w:ascii="Courier New" w:cs="Courier New" w:eastAsia="Courier New" w:hAnsi="Courier New"/>
          <w:color w:val="334155"/>
          <w:sz w:val="16"/>
          <w:szCs w:val="16"/>
        </w:rPr>
        <w:t xml:space="preserve">├──────────────┼─────────────────────────────────────────────────────────────┤</w:t>
      </w:r>
    </w:p>
    <w:p>
      <w:pPr>
        <w:spacing w:after="0" w:before="0"/>
      </w:pPr>
      <w:r>
        <w:rPr>
          <w:rFonts w:ascii="Courier New" w:cs="Courier New" w:eastAsia="Courier New" w:hAnsi="Courier New"/>
          <w:color w:val="334155"/>
          <w:sz w:val="16"/>
          <w:szCs w:val="16"/>
        </w:rPr>
        <w:t xml:space="preserve">│  LAYER 4     │  RISK SCORING  (SHAP explainability)                       │</w:t>
      </w:r>
    </w:p>
    <w:p>
      <w:pPr>
        <w:spacing w:after="0" w:before="0"/>
      </w:pPr>
      <w:r>
        <w:rPr>
          <w:rFonts w:ascii="Courier New" w:cs="Courier New" w:eastAsia="Courier New" w:hAnsi="Courier New"/>
          <w:color w:val="334155"/>
          <w:sz w:val="16"/>
          <w:szCs w:val="16"/>
        </w:rPr>
        <w:t xml:space="preserve">│              │  scikit-learn + SHAP attribution · IsolationForest anomaly  │</w:t>
      </w:r>
    </w:p>
    <w:p>
      <w:pPr>
        <w:spacing w:after="0" w:before="0"/>
      </w:pPr>
      <w:r>
        <w:rPr>
          <w:rFonts w:ascii="Courier New" w:cs="Courier New" w:eastAsia="Courier New" w:hAnsi="Courier New"/>
          <w:color w:val="334155"/>
          <w:sz w:val="16"/>
          <w:szCs w:val="16"/>
        </w:rPr>
        <w:t xml:space="preserve">│              │  Plain-language evidence paragraphs per suspect             │</w:t>
      </w:r>
    </w:p>
    <w:p>
      <w:pPr>
        <w:spacing w:after="0" w:before="0"/>
      </w:pPr>
      <w:r>
        <w:rPr>
          <w:rFonts w:ascii="Courier New" w:cs="Courier New" w:eastAsia="Courier New" w:hAnsi="Courier New"/>
          <w:color w:val="334155"/>
          <w:sz w:val="16"/>
          <w:szCs w:val="16"/>
        </w:rPr>
        <w:t xml:space="preserve">│              │  Golden-hour alert → 1930 account-freeze trigger            │</w:t>
      </w:r>
    </w:p>
    <w:p>
      <w:pPr>
        <w:spacing w:after="0" w:before="0"/>
      </w:pPr>
      <w:r>
        <w:rPr>
          <w:rFonts w:ascii="Courier New" w:cs="Courier New" w:eastAsia="Courier New" w:hAnsi="Courier New"/>
          <w:color w:val="334155"/>
          <w:sz w:val="16"/>
          <w:szCs w:val="16"/>
        </w:rPr>
        <w:t xml:space="preserve">├──────────────┼─────────────────────────────────────────────────────────────┤</w:t>
      </w:r>
    </w:p>
    <w:p>
      <w:pPr>
        <w:spacing w:after="0" w:before="0"/>
      </w:pPr>
      <w:r>
        <w:rPr>
          <w:rFonts w:ascii="Courier New" w:cs="Courier New" w:eastAsia="Courier New" w:hAnsi="Courier New"/>
          <w:color w:val="334155"/>
          <w:sz w:val="16"/>
          <w:szCs w:val="16"/>
        </w:rPr>
        <w:t xml:space="preserve">│  LAYER 5     │  OUTPUT  — Section 65B PDF + IO Dashboard                  │</w:t>
      </w:r>
    </w:p>
    <w:p>
      <w:pPr>
        <w:spacing w:after="0" w:before="0"/>
      </w:pPr>
      <w:r>
        <w:rPr>
          <w:rFonts w:ascii="Courier New" w:cs="Courier New" w:eastAsia="Courier New" w:hAnsi="Courier New"/>
          <w:color w:val="334155"/>
          <w:sz w:val="16"/>
          <w:szCs w:val="16"/>
        </w:rPr>
        <w:t xml:space="preserve">│              │  PDFKit brief · react-force-graph network visualisation     │</w:t>
      </w:r>
    </w:p>
    <w:p>
      <w:pPr>
        <w:spacing w:after="0" w:before="0"/>
      </w:pPr>
      <w:r>
        <w:rPr>
          <w:rFonts w:ascii="Courier New" w:cs="Courier New" w:eastAsia="Courier New" w:hAnsi="Courier New"/>
          <w:color w:val="334155"/>
          <w:sz w:val="16"/>
          <w:szCs w:val="16"/>
        </w:rPr>
        <w:t xml:space="preserve">│              │  Device seizure warrant chain · Supervisor countersign log  │</w:t>
      </w:r>
    </w:p>
    <w:p>
      <w:pPr>
        <w:spacing w:after="0" w:before="0"/>
      </w:pPr>
      <w:r>
        <w:rPr>
          <w:rFonts w:ascii="Courier New" w:cs="Courier New" w:eastAsia="Courier New" w:hAnsi="Courier New"/>
          <w:color w:val="334155"/>
          <w:sz w:val="16"/>
          <w:szCs w:val="16"/>
        </w:rPr>
        <w:t xml:space="preserve">└──────────────┴─────────────────────────────────────────────────────────────┘</w:t>
      </w:r>
    </w:p>
    <w:p>
      <w:pPr>
        <w:spacing w:after="80" w:before="0"/>
      </w:pPr>
    </w:p>
    <w:p>
      <w:pPr>
        <w:pStyle w:val="Heading1"/>
        <w:pBdr>
          <w:bottom w:val="single" w:color="7C3AED" w:sz="8" w:space="4"/>
        </w:pBdr>
        <w:spacing w:after="100" w:before="280"/>
      </w:pPr>
      <w:r>
        <w:rPr>
          <w:rFonts w:ascii="Calibri" w:cs="Calibri" w:eastAsia="Calibri" w:hAnsi="Calibri"/>
          <w:b/>
          <w:bCs/>
          <w:color w:val="7C3AED"/>
          <w:sz w:val="26"/>
          <w:szCs w:val="26"/>
        </w:rPr>
        <w:t xml:space="preserve">4.  Data Ingestion Pipeline</w:t>
      </w:r>
    </w:p>
    <w:p>
      <w:pPr>
        <w:spacing w:after="120" w:before="0"/>
        <w:jc w:val="both"/>
      </w:pPr>
      <w:r>
        <w:rPr>
          <w:rFonts w:ascii="Calibri" w:cs="Calibri" w:eastAsia="Calibri" w:hAnsi="Calibri"/>
          <w:b w:val="false"/>
          <w:bCs w:val="false"/>
          <w:color w:val="334155"/>
          <w:sz w:val="20"/>
          <w:szCs w:val="20"/>
        </w:rPr>
        <w:t xml:space="preserve">All five artifact types are parsed in a single Multer-backed Express endpoint. The pipeline auto-detects carrier CDR schema (Jio · Airtel · BSNL · Vi) via a column-fingerprint map, fixing delimiter mismatches and encoding errors before ingestion. Each file is locked with a SHA-256 entry hash the moment it crosses the pipeline boundary.</w:t>
      </w:r>
    </w:p>
    <w:p>
      <w:pPr>
        <w:spacing w:after="4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shd w:fill="0D9488" w:color="auto" w:val="clear"/>
            <w:tcMar>
              <w:top w:type="dxa" w:w="80"/>
              <w:left w:type="dxa" w:w="80"/>
              <w:bottom w:type="dxa" w:w="80"/>
              <w:right w:type="dxa" w:w="80"/>
            </w:tcMar>
          </w:tcPr>
          <w:p>
            <w:pPr>
              <w:spacing w:after="60" w:before="60"/>
              <w:jc w:val="center"/>
            </w:pPr>
            <w:r>
              <w:rPr>
                <w:rFonts w:ascii="Calibri" w:cs="Calibri" w:eastAsia="Calibri" w:hAnsi="Calibri"/>
                <w:b/>
                <w:bCs/>
                <w:color w:val="FFFFFF"/>
                <w:sz w:val="22"/>
                <w:szCs w:val="22"/>
              </w:rPr>
              <w:t xml:space="preserve">L1-A</w:t>
            </w:r>
          </w:p>
        </w:tc>
        <w:tc>
          <w:tcPr>
            <w:tcW w:type="dxa" w:w="2200"/>
            <w:shd w:fill="F1F5F9" w:color="auto" w:val="clear"/>
            <w:tcMar>
              <w:top w:type="dxa" w:w="80"/>
              <w:left w:type="dxa" w:w="160"/>
              <w:bottom w:type="dxa" w:w="80"/>
              <w:right w:type="dxa" w:w="80"/>
            </w:tcMar>
          </w:tcPr>
          <w:p>
            <w:pPr>
              <w:spacing w:after="20" w:before="40"/>
            </w:pPr>
            <w:r>
              <w:rPr>
                <w:rFonts w:ascii="Calibri" w:cs="Calibri" w:eastAsia="Calibri" w:hAnsi="Calibri"/>
                <w:b/>
                <w:bCs/>
                <w:color w:val="0D9488"/>
                <w:sz w:val="20"/>
                <w:szCs w:val="20"/>
              </w:rPr>
              <w:t xml:space="preserve">CDR / IPDR</w:t>
            </w:r>
          </w:p>
        </w:tc>
        <w:tc>
          <w:tcPr>
            <w:tcW w:type="dxa" w:w="6500"/>
            <w:shd w:fill="FFFFFF" w:color="auto" w:val="clear"/>
            <w:tcMar>
              <w:top w:type="dxa" w:w="80"/>
              <w:left w:type="dxa" w:w="160"/>
              <w:bottom w:type="dxa" w:w="80"/>
              <w:right w:type="dxa" w:w="80"/>
            </w:tcMar>
          </w:tcPr>
          <w:p>
            <w:pPr>
              <w:spacing w:after="20" w:before="40"/>
            </w:pPr>
            <w:r>
              <w:rPr>
                <w:rFonts w:ascii="Calibri" w:cs="Calibri" w:eastAsia="Calibri" w:hAnsi="Calibri"/>
                <w:color w:val="334155"/>
                <w:sz w:val="19"/>
                <w:szCs w:val="19"/>
              </w:rPr>
              <w:t xml:space="preserve">Carrier schema auto-detection → pandas normalisation → dedup filter</w:t>
            </w:r>
          </w:p>
        </w:tc>
      </w:tr>
      <w:tr>
        <w:tc>
          <w:tcPr>
            <w:tcW w:type="dxa" w:w="900"/>
            <w:shd w:fill="7C3AED" w:color="auto" w:val="clear"/>
            <w:tcMar>
              <w:top w:type="dxa" w:w="80"/>
              <w:left w:type="dxa" w:w="80"/>
              <w:bottom w:type="dxa" w:w="80"/>
              <w:right w:type="dxa" w:w="80"/>
            </w:tcMar>
          </w:tcPr>
          <w:p>
            <w:pPr>
              <w:spacing w:after="60" w:before="60"/>
              <w:jc w:val="center"/>
            </w:pPr>
            <w:r>
              <w:rPr>
                <w:rFonts w:ascii="Calibri" w:cs="Calibri" w:eastAsia="Calibri" w:hAnsi="Calibri"/>
                <w:b/>
                <w:bCs/>
                <w:color w:val="FFFFFF"/>
                <w:sz w:val="22"/>
                <w:szCs w:val="22"/>
              </w:rPr>
              <w:t xml:space="preserve">L1-B</w:t>
            </w:r>
          </w:p>
        </w:tc>
        <w:tc>
          <w:tcPr>
            <w:tcW w:type="dxa" w:w="2200"/>
            <w:shd w:fill="F1F5F9" w:color="auto" w:val="clear"/>
            <w:tcMar>
              <w:top w:type="dxa" w:w="80"/>
              <w:left w:type="dxa" w:w="160"/>
              <w:bottom w:type="dxa" w:w="80"/>
              <w:right w:type="dxa" w:w="80"/>
            </w:tcMar>
          </w:tcPr>
          <w:p>
            <w:pPr>
              <w:spacing w:after="20" w:before="40"/>
            </w:pPr>
            <w:r>
              <w:rPr>
                <w:rFonts w:ascii="Calibri" w:cs="Calibri" w:eastAsia="Calibri" w:hAnsi="Calibri"/>
                <w:b/>
                <w:bCs/>
                <w:color w:val="7C3AED"/>
                <w:sz w:val="20"/>
                <w:szCs w:val="20"/>
              </w:rPr>
              <w:t xml:space="preserve">UPI XML</w:t>
            </w:r>
          </w:p>
        </w:tc>
        <w:tc>
          <w:tcPr>
            <w:tcW w:type="dxa" w:w="6500"/>
            <w:shd w:fill="FFFFFF" w:color="auto" w:val="clear"/>
            <w:tcMar>
              <w:top w:type="dxa" w:w="80"/>
              <w:left w:type="dxa" w:w="160"/>
              <w:bottom w:type="dxa" w:w="80"/>
              <w:right w:type="dxa" w:w="80"/>
            </w:tcMar>
          </w:tcPr>
          <w:p>
            <w:pPr>
              <w:spacing w:after="20" w:before="40"/>
            </w:pPr>
            <w:r>
              <w:rPr>
                <w:rFonts w:ascii="Calibri" w:cs="Calibri" w:eastAsia="Calibri" w:hAnsi="Calibri"/>
                <w:color w:val="334155"/>
                <w:sz w:val="19"/>
                <w:szCs w:val="19"/>
              </w:rPr>
              <w:t xml:space="preserve">RFC-5322 XML parse → transaction normalisation → VPA entity seed</w:t>
            </w:r>
          </w:p>
        </w:tc>
      </w:tr>
      <w:tr>
        <w:tc>
          <w:tcPr>
            <w:tcW w:type="dxa" w:w="900"/>
            <w:shd w:fill="E11D48" w:color="auto" w:val="clear"/>
            <w:tcMar>
              <w:top w:type="dxa" w:w="80"/>
              <w:left w:type="dxa" w:w="80"/>
              <w:bottom w:type="dxa" w:w="80"/>
              <w:right w:type="dxa" w:w="80"/>
            </w:tcMar>
          </w:tcPr>
          <w:p>
            <w:pPr>
              <w:spacing w:after="60" w:before="60"/>
              <w:jc w:val="center"/>
            </w:pPr>
            <w:r>
              <w:rPr>
                <w:rFonts w:ascii="Calibri" w:cs="Calibri" w:eastAsia="Calibri" w:hAnsi="Calibri"/>
                <w:b/>
                <w:bCs/>
                <w:color w:val="FFFFFF"/>
                <w:sz w:val="22"/>
                <w:szCs w:val="22"/>
              </w:rPr>
              <w:t xml:space="preserve">L1-C</w:t>
            </w:r>
          </w:p>
        </w:tc>
        <w:tc>
          <w:tcPr>
            <w:tcW w:type="dxa" w:w="2200"/>
            <w:shd w:fill="F1F5F9" w:color="auto" w:val="clear"/>
            <w:tcMar>
              <w:top w:type="dxa" w:w="80"/>
              <w:left w:type="dxa" w:w="160"/>
              <w:bottom w:type="dxa" w:w="80"/>
              <w:right w:type="dxa" w:w="80"/>
            </w:tcMar>
          </w:tcPr>
          <w:p>
            <w:pPr>
              <w:spacing w:after="20" w:before="40"/>
            </w:pPr>
            <w:r>
              <w:rPr>
                <w:rFonts w:ascii="Calibri" w:cs="Calibri" w:eastAsia="Calibri" w:hAnsi="Calibri"/>
                <w:b/>
                <w:bCs/>
                <w:color w:val="E11D48"/>
                <w:sz w:val="20"/>
                <w:szCs w:val="20"/>
              </w:rPr>
              <w:t xml:space="preserve">APK Binary</w:t>
            </w:r>
          </w:p>
        </w:tc>
        <w:tc>
          <w:tcPr>
            <w:tcW w:type="dxa" w:w="6500"/>
            <w:shd w:fill="FFFFFF" w:color="auto" w:val="clear"/>
            <w:tcMar>
              <w:top w:type="dxa" w:w="80"/>
              <w:left w:type="dxa" w:w="160"/>
              <w:bottom w:type="dxa" w:w="80"/>
              <w:right w:type="dxa" w:w="80"/>
            </w:tcMar>
          </w:tcPr>
          <w:p>
            <w:pPr>
              <w:spacing w:after="20" w:before="40"/>
            </w:pPr>
            <w:r>
              <w:rPr>
                <w:rFonts w:ascii="Calibri" w:cs="Calibri" w:eastAsia="Calibri" w:hAnsi="Calibri"/>
                <w:color w:val="334155"/>
                <w:sz w:val="19"/>
                <w:szCs w:val="19"/>
              </w:rPr>
              <w:t xml:space="preserve">AdmZip unpack → AndroidManifest.xml parse → C2 IP / permission extraction</w:t>
            </w:r>
          </w:p>
        </w:tc>
      </w:tr>
      <w:tr>
        <w:tc>
          <w:tcPr>
            <w:tcW w:type="dxa" w:w="900"/>
            <w:shd w:fill="D97706" w:color="auto" w:val="clear"/>
            <w:tcMar>
              <w:top w:type="dxa" w:w="80"/>
              <w:left w:type="dxa" w:w="80"/>
              <w:bottom w:type="dxa" w:w="80"/>
              <w:right w:type="dxa" w:w="80"/>
            </w:tcMar>
          </w:tcPr>
          <w:p>
            <w:pPr>
              <w:spacing w:after="60" w:before="60"/>
              <w:jc w:val="center"/>
            </w:pPr>
            <w:r>
              <w:rPr>
                <w:rFonts w:ascii="Calibri" w:cs="Calibri" w:eastAsia="Calibri" w:hAnsi="Calibri"/>
                <w:b/>
                <w:bCs/>
                <w:color w:val="FFFFFF"/>
                <w:sz w:val="22"/>
                <w:szCs w:val="22"/>
              </w:rPr>
              <w:t xml:space="preserve">L1-D</w:t>
            </w:r>
          </w:p>
        </w:tc>
        <w:tc>
          <w:tcPr>
            <w:tcW w:type="dxa" w:w="2200"/>
            <w:shd w:fill="F1F5F9" w:color="auto" w:val="clear"/>
            <w:tcMar>
              <w:top w:type="dxa" w:w="80"/>
              <w:left w:type="dxa" w:w="160"/>
              <w:bottom w:type="dxa" w:w="80"/>
              <w:right w:type="dxa" w:w="80"/>
            </w:tcMar>
          </w:tcPr>
          <w:p>
            <w:pPr>
              <w:spacing w:after="20" w:before="40"/>
            </w:pPr>
            <w:r>
              <w:rPr>
                <w:rFonts w:ascii="Calibri" w:cs="Calibri" w:eastAsia="Calibri" w:hAnsi="Calibri"/>
                <w:b/>
                <w:bCs/>
                <w:color w:val="D97706"/>
                <w:sz w:val="20"/>
                <w:szCs w:val="20"/>
              </w:rPr>
              <w:t xml:space="preserve">.eml Header</w:t>
            </w:r>
          </w:p>
        </w:tc>
        <w:tc>
          <w:tcPr>
            <w:tcW w:type="dxa" w:w="6500"/>
            <w:shd w:fill="FFFFFF" w:color="auto" w:val="clear"/>
            <w:tcMar>
              <w:top w:type="dxa" w:w="80"/>
              <w:left w:type="dxa" w:w="160"/>
              <w:bottom w:type="dxa" w:w="80"/>
              <w:right w:type="dxa" w:w="80"/>
            </w:tcMar>
          </w:tcPr>
          <w:p>
            <w:pPr>
              <w:spacing w:after="20" w:before="40"/>
            </w:pPr>
            <w:r>
              <w:rPr>
                <w:rFonts w:ascii="Calibri" w:cs="Calibri" w:eastAsia="Calibri" w:hAnsi="Calibri"/>
                <w:color w:val="334155"/>
                <w:sz w:val="19"/>
                <w:szCs w:val="19"/>
              </w:rPr>
              <w:t xml:space="preserve">MailParser RFC-822 parse → sender chain → IP hop extraction</w:t>
            </w:r>
          </w:p>
        </w:tc>
      </w:tr>
      <w:tr>
        <w:tc>
          <w:tcPr>
            <w:tcW w:type="dxa" w:w="900"/>
            <w:shd w:fill="0D9488" w:color="auto" w:val="clear"/>
            <w:tcMar>
              <w:top w:type="dxa" w:w="80"/>
              <w:left w:type="dxa" w:w="80"/>
              <w:bottom w:type="dxa" w:w="80"/>
              <w:right w:type="dxa" w:w="80"/>
            </w:tcMar>
          </w:tcPr>
          <w:p>
            <w:pPr>
              <w:spacing w:after="60" w:before="60"/>
              <w:jc w:val="center"/>
            </w:pPr>
            <w:r>
              <w:rPr>
                <w:rFonts w:ascii="Calibri" w:cs="Calibri" w:eastAsia="Calibri" w:hAnsi="Calibri"/>
                <w:b/>
                <w:bCs/>
                <w:color w:val="FFFFFF"/>
                <w:sz w:val="22"/>
                <w:szCs w:val="22"/>
              </w:rPr>
              <w:t xml:space="preserve">L1-E</w:t>
            </w:r>
          </w:p>
        </w:tc>
        <w:tc>
          <w:tcPr>
            <w:tcW w:type="dxa" w:w="2200"/>
            <w:shd w:fill="F1F5F9" w:color="auto" w:val="clear"/>
            <w:tcMar>
              <w:top w:type="dxa" w:w="80"/>
              <w:left w:type="dxa" w:w="160"/>
              <w:bottom w:type="dxa" w:w="80"/>
              <w:right w:type="dxa" w:w="80"/>
            </w:tcMar>
          </w:tcPr>
          <w:p>
            <w:pPr>
              <w:spacing w:after="20" w:before="40"/>
            </w:pPr>
            <w:r>
              <w:rPr>
                <w:rFonts w:ascii="Calibri" w:cs="Calibri" w:eastAsia="Calibri" w:hAnsi="Calibri"/>
                <w:b/>
                <w:bCs/>
                <w:color w:val="0D9488"/>
                <w:sz w:val="20"/>
                <w:szCs w:val="20"/>
              </w:rPr>
              <w:t xml:space="preserve">Chat Export</w:t>
            </w:r>
          </w:p>
        </w:tc>
        <w:tc>
          <w:tcPr>
            <w:tcW w:type="dxa" w:w="6500"/>
            <w:shd w:fill="FFFFFF" w:color="auto" w:val="clear"/>
            <w:tcMar>
              <w:top w:type="dxa" w:w="80"/>
              <w:left w:type="dxa" w:w="160"/>
              <w:bottom w:type="dxa" w:w="80"/>
              <w:right w:type="dxa" w:w="80"/>
            </w:tcMar>
          </w:tcPr>
          <w:p>
            <w:pPr>
              <w:spacing w:after="20" w:before="40"/>
            </w:pPr>
            <w:r>
              <w:rPr>
                <w:rFonts w:ascii="Calibri" w:cs="Calibri" w:eastAsia="Calibri" w:hAnsi="Calibri"/>
                <w:color w:val="334155"/>
                <w:sz w:val="19"/>
                <w:szCs w:val="19"/>
              </w:rPr>
              <w:t xml:space="preserve">Mistral 7B (Ollama, offline) → NER on Hindi/English code-switched text</w:t>
            </w:r>
          </w:p>
        </w:tc>
      </w:tr>
      <w:tr>
        <w:tc>
          <w:tcPr>
            <w:tcW w:type="dxa" w:w="900"/>
            <w:shd w:fill="334155" w:color="auto" w:val="clear"/>
            <w:tcMar>
              <w:top w:type="dxa" w:w="80"/>
              <w:left w:type="dxa" w:w="80"/>
              <w:bottom w:type="dxa" w:w="80"/>
              <w:right w:type="dxa" w:w="80"/>
            </w:tcMar>
          </w:tcPr>
          <w:p>
            <w:pPr>
              <w:spacing w:after="60" w:before="60"/>
              <w:jc w:val="center"/>
            </w:pPr>
            <w:r>
              <w:rPr>
                <w:rFonts w:ascii="Calibri" w:cs="Calibri" w:eastAsia="Calibri" w:hAnsi="Calibri"/>
                <w:b/>
                <w:bCs/>
                <w:color w:val="FFFFFF"/>
                <w:sz w:val="22"/>
                <w:szCs w:val="22"/>
              </w:rPr>
              <w:t xml:space="preserve">L1-F</w:t>
            </w:r>
          </w:p>
        </w:tc>
        <w:tc>
          <w:tcPr>
            <w:tcW w:type="dxa" w:w="2200"/>
            <w:shd w:fill="F1F5F9" w:color="auto" w:val="clear"/>
            <w:tcMar>
              <w:top w:type="dxa" w:w="80"/>
              <w:left w:type="dxa" w:w="160"/>
              <w:bottom w:type="dxa" w:w="80"/>
              <w:right w:type="dxa" w:w="80"/>
            </w:tcMar>
          </w:tcPr>
          <w:p>
            <w:pPr>
              <w:spacing w:after="20" w:before="40"/>
            </w:pPr>
            <w:r>
              <w:rPr>
                <w:rFonts w:ascii="Calibri" w:cs="Calibri" w:eastAsia="Calibri" w:hAnsi="Calibri"/>
                <w:b/>
                <w:bCs/>
                <w:color w:val="334155"/>
                <w:sz w:val="20"/>
                <w:szCs w:val="20"/>
              </w:rPr>
              <w:t xml:space="preserve">SHA-256 Lock</w:t>
            </w:r>
          </w:p>
        </w:tc>
        <w:tc>
          <w:tcPr>
            <w:tcW w:type="dxa" w:w="6500"/>
            <w:shd w:fill="FFFFFF" w:color="auto" w:val="clear"/>
            <w:tcMar>
              <w:top w:type="dxa" w:w="80"/>
              <w:left w:type="dxa" w:w="160"/>
              <w:bottom w:type="dxa" w:w="80"/>
              <w:right w:type="dxa" w:w="80"/>
            </w:tcMar>
          </w:tcPr>
          <w:p>
            <w:pPr>
              <w:spacing w:after="20" w:before="40"/>
            </w:pPr>
            <w:r>
              <w:rPr>
                <w:rFonts w:ascii="Calibri" w:cs="Calibri" w:eastAsia="Calibri" w:hAnsi="Calibri"/>
                <w:color w:val="334155"/>
                <w:sz w:val="19"/>
                <w:szCs w:val="19"/>
              </w:rPr>
              <w:t xml:space="preserve">hashlib SHA-256 per file → Drizzle ORM / SQLite audit ledger entry</w:t>
            </w:r>
          </w:p>
        </w:tc>
      </w:tr>
    </w:tbl>
    <w:p>
      <w:pPr>
        <w:spacing w:after="80" w:before="0"/>
      </w:pPr>
    </w:p>
    <w:p>
      <w:pPr>
        <w:pStyle w:val="Heading1"/>
        <w:pBdr>
          <w:bottom w:val="single" w:color="7C3AED" w:sz="8" w:space="4"/>
        </w:pBdr>
        <w:spacing w:after="100" w:before="280"/>
      </w:pPr>
      <w:r>
        <w:rPr>
          <w:rFonts w:ascii="Calibri" w:cs="Calibri" w:eastAsia="Calibri" w:hAnsi="Calibri"/>
          <w:b/>
          <w:bCs/>
          <w:color w:val="7C3AED"/>
          <w:sz w:val="26"/>
          <w:szCs w:val="26"/>
        </w:rPr>
        <w:t xml:space="preserve">5.  Graph-Modelling Approach</w:t>
      </w:r>
    </w:p>
    <w:p>
      <w:pPr>
        <w:spacing w:after="120" w:before="0"/>
        <w:jc w:val="both"/>
      </w:pPr>
      <w:r>
        <w:rPr>
          <w:rFonts w:ascii="Calibri" w:cs="Calibri" w:eastAsia="Calibri" w:hAnsi="Calibri"/>
          <w:b w:val="false"/>
          <w:bCs w:val="false"/>
          <w:color w:val="334155"/>
          <w:sz w:val="20"/>
          <w:szCs w:val="20"/>
        </w:rPr>
        <w:t xml:space="preserve">After entity extraction, NIDARSHAN builds a directed temporal knowledge graph using graphology (replacing the earlier NetworkX dependency, enabling full in-process execution within the Node.js runtime with no Python bridge). Each edge carries a Unix timestamp and a transaction amount, enabling velocity analysis.</w:t>
      </w:r>
    </w:p>
    <w:p>
      <w:pPr>
        <w:pStyle w:val="Heading2"/>
        <w:spacing w:after="60" w:before="200"/>
      </w:pPr>
      <w:r>
        <w:rPr>
          <w:rFonts w:ascii="Calibri" w:cs="Calibri" w:eastAsia="Calibri" w:hAnsi="Calibri"/>
          <w:b/>
          <w:bCs/>
          <w:color w:val="334155"/>
          <w:sz w:val="22"/>
          <w:szCs w:val="22"/>
        </w:rPr>
        <w:t xml:space="preserve">Node types</w:t>
      </w:r>
    </w:p>
    <w:p>
      <w:pPr>
        <w:spacing w:after="100" w:before="0"/>
        <w:ind w:left="360"/>
      </w:pPr>
      <w:r>
        <w:rPr>
          <w:rFonts w:ascii="Calibri" w:cs="Calibri" w:eastAsia="Calibri" w:hAnsi="Calibri"/>
          <w:color w:val="334155"/>
          <w:sz w:val="20"/>
          <w:szCs w:val="20"/>
        </w:rPr>
        <w:t xml:space="preserve">▸  PHONE — IMEI-linked device node, seeded from CDR/IPDR</w:t>
      </w:r>
    </w:p>
    <w:p>
      <w:pPr>
        <w:spacing w:after="100" w:before="0"/>
        <w:ind w:left="360"/>
      </w:pPr>
      <w:r>
        <w:rPr>
          <w:rFonts w:ascii="Calibri" w:cs="Calibri" w:eastAsia="Calibri" w:hAnsi="Calibri"/>
          <w:color w:val="334155"/>
          <w:sz w:val="20"/>
          <w:szCs w:val="20"/>
        </w:rPr>
        <w:t xml:space="preserve">▸  UPI_VPA — payment address node, seeded from UPI XML</w:t>
      </w:r>
    </w:p>
    <w:p>
      <w:pPr>
        <w:spacing w:after="100" w:before="0"/>
        <w:ind w:left="360"/>
      </w:pPr>
      <w:r>
        <w:rPr>
          <w:rFonts w:ascii="Calibri" w:cs="Calibri" w:eastAsia="Calibri" w:hAnsi="Calibri"/>
          <w:color w:val="334155"/>
          <w:sz w:val="20"/>
          <w:szCs w:val="20"/>
        </w:rPr>
        <w:t xml:space="preserve">▸  IP / MAC — network identity node, seeded from IPDR + APK manifest</w:t>
      </w:r>
    </w:p>
    <w:p>
      <w:pPr>
        <w:spacing w:after="100" w:before="0"/>
        <w:ind w:left="360"/>
      </w:pPr>
      <w:r>
        <w:rPr>
          <w:rFonts w:ascii="Calibri" w:cs="Calibri" w:eastAsia="Calibri" w:hAnsi="Calibri"/>
          <w:color w:val="334155"/>
          <w:sz w:val="20"/>
          <w:szCs w:val="20"/>
        </w:rPr>
        <w:t xml:space="preserve">▸  ACCOUNT — bank mule node, seeded from UPI transaction log</w:t>
      </w:r>
    </w:p>
    <w:p>
      <w:pPr>
        <w:spacing w:after="100" w:before="0"/>
        <w:ind w:left="360"/>
      </w:pPr>
      <w:r>
        <w:rPr>
          <w:rFonts w:ascii="Calibri" w:cs="Calibri" w:eastAsia="Calibri" w:hAnsi="Calibri"/>
          <w:color w:val="334155"/>
          <w:sz w:val="20"/>
          <w:szCs w:val="20"/>
        </w:rPr>
        <w:t xml:space="preserve">▸  C2_SERVER — command-and-control IP extracted from APK AndroidManifest</w:t>
      </w:r>
    </w:p>
    <w:p>
      <w:pPr>
        <w:spacing w:after="40" w:before="0"/>
      </w:pPr>
    </w:p>
    <w:p>
      <w:pPr>
        <w:pStyle w:val="Heading2"/>
        <w:spacing w:after="60" w:before="200"/>
      </w:pPr>
      <w:r>
        <w:rPr>
          <w:rFonts w:ascii="Calibri" w:cs="Calibri" w:eastAsia="Calibri" w:hAnsi="Calibri"/>
          <w:b/>
          <w:bCs/>
          <w:color w:val="334155"/>
          <w:sz w:val="22"/>
          <w:szCs w:val="22"/>
        </w:rPr>
        <w:t xml:space="preserve">Edge semantics</w:t>
      </w:r>
    </w:p>
    <w:p>
      <w:pPr>
        <w:spacing w:after="100" w:before="0"/>
        <w:ind w:left="360"/>
      </w:pPr>
      <w:r>
        <w:rPr>
          <w:rFonts w:ascii="Calibri" w:cs="Calibri" w:eastAsia="Calibri" w:hAnsi="Calibri"/>
          <w:color w:val="334155"/>
          <w:sz w:val="20"/>
          <w:szCs w:val="20"/>
        </w:rPr>
        <w:t xml:space="preserve">▸  CALLED(ts, duration) — directed CDR call edge with timestamp</w:t>
      </w:r>
    </w:p>
    <w:p>
      <w:pPr>
        <w:spacing w:after="100" w:before="0"/>
        <w:ind w:left="360"/>
      </w:pPr>
      <w:r>
        <w:rPr>
          <w:rFonts w:ascii="Calibri" w:cs="Calibri" w:eastAsia="Calibri" w:hAnsi="Calibri"/>
          <w:color w:val="334155"/>
          <w:sz w:val="20"/>
          <w:szCs w:val="20"/>
        </w:rPr>
        <w:t xml:space="preserve">▸  TRANSFERRED(ts, amount, vpa) — UPI debit edge</w:t>
      </w:r>
    </w:p>
    <w:p>
      <w:pPr>
        <w:spacing w:after="100" w:before="0"/>
        <w:ind w:left="360"/>
      </w:pPr>
      <w:r>
        <w:rPr>
          <w:rFonts w:ascii="Calibri" w:cs="Calibri" w:eastAsia="Calibri" w:hAnsi="Calibri"/>
          <w:color w:val="334155"/>
          <w:sz w:val="20"/>
          <w:szCs w:val="20"/>
        </w:rPr>
        <w:t xml:space="preserve">▸  CONNECTED_TO(ts) — device-to-IP network edge from IPDR</w:t>
      </w:r>
    </w:p>
    <w:p>
      <w:pPr>
        <w:spacing w:after="100" w:before="0"/>
        <w:ind w:left="360"/>
      </w:pPr>
      <w:r>
        <w:rPr>
          <w:rFonts w:ascii="Calibri" w:cs="Calibri" w:eastAsia="Calibri" w:hAnsi="Calibri"/>
          <w:color w:val="334155"/>
          <w:sz w:val="20"/>
          <w:szCs w:val="20"/>
        </w:rPr>
        <w:t xml:space="preserve">▸  RESOLVES_TO(ts) — APK C2 domain → IP resolution edge</w:t>
      </w:r>
    </w:p>
    <w:p>
      <w:pPr>
        <w:spacing w:after="40" w:before="0"/>
      </w:pPr>
    </w:p>
    <w:p>
      <w:pPr>
        <w:pStyle w:val="Heading2"/>
        <w:spacing w:after="60" w:before="200"/>
      </w:pPr>
      <w:r>
        <w:rPr>
          <w:rFonts w:ascii="Calibri" w:cs="Calibri" w:eastAsia="Calibri" w:hAnsi="Calibri"/>
          <w:b/>
          <w:bCs/>
          <w:color w:val="334155"/>
          <w:sz w:val="22"/>
          <w:szCs w:val="22"/>
        </w:rPr>
        <w:t xml:space="preserve">Graph algorithms applied</w:t>
      </w:r>
    </w:p>
    <w:p>
      <w:pPr>
        <w:spacing w:after="100" w:before="0"/>
        <w:ind w:left="360"/>
      </w:pPr>
      <w:r>
        <w:rPr>
          <w:rFonts w:ascii="Calibri" w:cs="Calibri" w:eastAsia="Calibri" w:hAnsi="Calibri"/>
          <w:color w:val="334155"/>
          <w:sz w:val="20"/>
          <w:szCs w:val="20"/>
        </w:rPr>
        <w:t xml:space="preserve">▸  Louvain community detection — identifies fraud rings within 2 s on 1,000-node graphs on 8 GB RAM.</w:t>
      </w:r>
    </w:p>
    <w:p>
      <w:pPr>
        <w:spacing w:after="100" w:before="0"/>
        <w:ind w:left="360"/>
      </w:pPr>
      <w:r>
        <w:rPr>
          <w:rFonts w:ascii="Calibri" w:cs="Calibri" w:eastAsia="Calibri" w:hAnsi="Calibri"/>
          <w:color w:val="334155"/>
          <w:sz w:val="20"/>
          <w:szCs w:val="20"/>
        </w:rPr>
        <w:t xml:space="preserve">▸  Temporal shortest-path — traces the minimum-hop mule chain between victim account and terminal cash-out node.</w:t>
      </w:r>
    </w:p>
    <w:p>
      <w:pPr>
        <w:spacing w:after="100" w:before="0"/>
        <w:ind w:left="360"/>
      </w:pPr>
      <w:r>
        <w:rPr>
          <w:rFonts w:ascii="Calibri" w:cs="Calibri" w:eastAsia="Calibri" w:hAnsi="Calibri"/>
          <w:color w:val="334155"/>
          <w:sz w:val="20"/>
          <w:szCs w:val="20"/>
        </w:rPr>
        <w:t xml:space="preserve">▸  Velocity scoring — flags sub-60-second fund dispersal as a golden-hour trigger (empirical threshold from I4C datasets).</w:t>
      </w:r>
    </w:p>
    <w:p>
      <w:pPr>
        <w:spacing w:after="100" w:before="0"/>
        <w:ind w:left="360"/>
      </w:pPr>
      <w:r>
        <w:rPr>
          <w:rFonts w:ascii="Calibri" w:cs="Calibri" w:eastAsia="Calibri" w:hAnsi="Calibri"/>
          <w:color w:val="334155"/>
          <w:sz w:val="20"/>
          <w:szCs w:val="20"/>
        </w:rPr>
        <w:t xml:space="preserve">▸  IsolationForest anomaly detection — surfaces outlier nodes that do not fit community clusters as high-priority suspects.</w:t>
      </w:r>
    </w:p>
    <w:p>
      <w:pPr>
        <w:spacing w:after="80" w:before="0"/>
      </w:pPr>
    </w:p>
    <w:p>
      <w:r>
        <w:br w:type="page"/>
      </w:r>
    </w:p>
    <w:p>
      <w:pPr>
        <w:pStyle w:val="Heading1"/>
        <w:pBdr>
          <w:bottom w:val="single" w:color="7C3AED" w:sz="8" w:space="4"/>
        </w:pBdr>
        <w:spacing w:after="100" w:before="280"/>
      </w:pPr>
      <w:r>
        <w:rPr>
          <w:rFonts w:ascii="Calibri" w:cs="Calibri" w:eastAsia="Calibri" w:hAnsi="Calibri"/>
          <w:b/>
          <w:bCs/>
          <w:color w:val="7C3AED"/>
          <w:sz w:val="26"/>
          <w:szCs w:val="26"/>
        </w:rPr>
        <w:t xml:space="preserve">6.  Evidentiary Integrity &amp; Hash Verification</w:t>
      </w:r>
    </w:p>
    <w:p>
      <w:pPr>
        <w:spacing w:after="120" w:before="0"/>
        <w:jc w:val="both"/>
      </w:pPr>
      <w:r>
        <w:rPr>
          <w:rFonts w:ascii="Calibri" w:cs="Calibri" w:eastAsia="Calibri" w:hAnsi="Calibri"/>
          <w:b w:val="false"/>
          <w:bCs w:val="false"/>
          <w:color w:val="334155"/>
          <w:sz w:val="20"/>
          <w:szCs w:val="20"/>
        </w:rPr>
        <w:t xml:space="preserve">Digital evidence admissibility in Indian courts is governed by Section 65B of the Indian Evidence Act (now mirrored in BNS 2023). NIDARSHAN implements a four-tier chain-of-custody framework that satisfies the evidentiary standard from first byte to final PDF.</w:t>
      </w:r>
    </w:p>
    <w:p>
      <w:pPr>
        <w:pStyle w:val="Heading2"/>
        <w:spacing w:after="60" w:before="200"/>
      </w:pPr>
      <w:r>
        <w:rPr>
          <w:rFonts w:ascii="Calibri" w:cs="Calibri" w:eastAsia="Calibri" w:hAnsi="Calibri"/>
          <w:b/>
          <w:bCs/>
          <w:color w:val="334155"/>
          <w:sz w:val="22"/>
          <w:szCs w:val="22"/>
        </w:rPr>
        <w:t xml:space="preserve">Tier 1 — Entry Lock</w:t>
      </w:r>
    </w:p>
    <w:p>
      <w:pPr>
        <w:spacing w:after="120" w:before="0"/>
        <w:jc w:val="both"/>
      </w:pPr>
      <w:r>
        <w:rPr>
          <w:rFonts w:ascii="Calibri" w:cs="Calibri" w:eastAsia="Calibri" w:hAnsi="Calibri"/>
          <w:b w:val="false"/>
          <w:bCs w:val="false"/>
          <w:color w:val="334155"/>
          <w:sz w:val="20"/>
          <w:szCs w:val="20"/>
        </w:rPr>
        <w:t xml:space="preserve">A SHA-256 hash is computed over the raw file bytes the instant each artifact is uploaded. The hash, file size, MIME type, upload timestamp, and IO badge number are written atomically to a tamper-evident SQLite ledger via Drizzle ORM before any processing begins. No pipeline stage receives the file until this entry is committed.</w:t>
      </w:r>
    </w:p>
    <w:p>
      <w:pPr>
        <w:pStyle w:val="Heading2"/>
        <w:spacing w:after="60" w:before="200"/>
      </w:pPr>
      <w:r>
        <w:rPr>
          <w:rFonts w:ascii="Calibri" w:cs="Calibri" w:eastAsia="Calibri" w:hAnsi="Calibri"/>
          <w:b/>
          <w:bCs/>
          <w:color w:val="334155"/>
          <w:sz w:val="22"/>
          <w:szCs w:val="22"/>
        </w:rPr>
        <w:t xml:space="preserve">Tier 2 — State Hash Sync</w:t>
      </w:r>
    </w:p>
    <w:p>
      <w:pPr>
        <w:spacing w:after="120" w:before="0"/>
        <w:jc w:val="both"/>
      </w:pPr>
      <w:r>
        <w:rPr>
          <w:rFonts w:ascii="Calibri" w:cs="Calibri" w:eastAsia="Calibri" w:hAnsi="Calibri"/>
          <w:b w:val="false"/>
          <w:bCs w:val="false"/>
          <w:color w:val="334155"/>
          <w:sz w:val="20"/>
          <w:szCs w:val="20"/>
        </w:rPr>
        <w:t xml:space="preserve">After each processing layer completes, NIDARSHAN serialises its intermediate state (extracted entities, graph edges, risk scores) to a canonical JSON representation and computes a SHA-256 hash over that JSON. The state hash is appended to the ledger, linking every layer's output to the original entry hash. This creates a Merkle-style chain: tampering with any intermediate output invalidates all subsequent hashes.</w:t>
      </w:r>
    </w:p>
    <w:p>
      <w:pPr>
        <w:pStyle w:val="Heading2"/>
        <w:spacing w:after="60" w:before="200"/>
      </w:pPr>
      <w:r>
        <w:rPr>
          <w:rFonts w:ascii="Calibri" w:cs="Calibri" w:eastAsia="Calibri" w:hAnsi="Calibri"/>
          <w:b/>
          <w:bCs/>
          <w:color w:val="334155"/>
          <w:sz w:val="22"/>
          <w:szCs w:val="22"/>
        </w:rPr>
        <w:t xml:space="preserve">Tier 3 — Custody Attestation</w:t>
      </w:r>
    </w:p>
    <w:p>
      <w:pPr>
        <w:spacing w:after="120" w:before="0"/>
        <w:jc w:val="both"/>
      </w:pPr>
      <w:r>
        <w:rPr>
          <w:rFonts w:ascii="Calibri" w:cs="Calibri" w:eastAsia="Calibri" w:hAnsi="Calibri"/>
          <w:b w:val="false"/>
          <w:bCs w:val="false"/>
          <w:color w:val="334155"/>
          <w:sz w:val="20"/>
          <w:szCs w:val="20"/>
        </w:rPr>
        <w:t xml:space="preserve">The final PDF brief embeds the complete hash chain — entry hash, layer-1 through layer-4 state hashes, and a report-generation timestamp. The IO signs the brief by entering their badge number and PIN; a supervisor countersign field is provided for court submission. The attestation block is structured JSON inside the PDF metadata, parseable by court IT systems.</w:t>
      </w:r>
    </w:p>
    <w:p>
      <w:pPr>
        <w:pStyle w:val="Heading2"/>
        <w:spacing w:after="60" w:before="200"/>
      </w:pPr>
      <w:r>
        <w:rPr>
          <w:rFonts w:ascii="Calibri" w:cs="Calibri" w:eastAsia="Calibri" w:hAnsi="Calibri"/>
          <w:b/>
          <w:bCs/>
          <w:color w:val="334155"/>
          <w:sz w:val="22"/>
          <w:szCs w:val="22"/>
        </w:rPr>
        <w:t xml:space="preserve">Tier 4 — Audit Trail Export</w:t>
      </w:r>
    </w:p>
    <w:p>
      <w:pPr>
        <w:spacing w:after="120" w:before="0"/>
        <w:jc w:val="both"/>
      </w:pPr>
      <w:r>
        <w:rPr>
          <w:rFonts w:ascii="Calibri" w:cs="Calibri" w:eastAsia="Calibri" w:hAnsi="Calibri"/>
          <w:b w:val="false"/>
          <w:bCs w:val="false"/>
          <w:color w:val="334155"/>
          <w:sz w:val="20"/>
          <w:szCs w:val="20"/>
        </w:rPr>
        <w:t xml:space="preserve">The SQLite ledger can be exported as a Section 65B-formatted CSV with hash chain, officer ID, timestamps, and device fingerprint. This export is the primary exhibit for admissibility hearings and eliminates the need for a separate Computer Certificate.</w:t>
      </w:r>
    </w:p>
    <w:p>
      <w:pPr>
        <w:spacing w:after="80" w:before="0"/>
      </w:pPr>
    </w:p>
    <w:p>
      <w:pPr>
        <w:pStyle w:val="Heading1"/>
        <w:pBdr>
          <w:bottom w:val="single" w:color="7C3AED" w:sz="8" w:space="4"/>
        </w:pBdr>
        <w:spacing w:after="100" w:before="280"/>
      </w:pPr>
      <w:r>
        <w:rPr>
          <w:rFonts w:ascii="Calibri" w:cs="Calibri" w:eastAsia="Calibri" w:hAnsi="Calibri"/>
          <w:b/>
          <w:bCs/>
          <w:color w:val="7C3AED"/>
          <w:sz w:val="26"/>
          <w:szCs w:val="26"/>
        </w:rPr>
        <w:t xml:space="preserve">7.  Technology Stack</w:t>
      </w:r>
    </w:p>
    <w:p>
      <w:pPr>
        <w:spacing w:after="100" w:before="0"/>
        <w:jc w:val="both"/>
      </w:pPr>
      <w:r>
        <w:rPr>
          <w:rFonts w:ascii="Calibri" w:cs="Calibri" w:eastAsia="Calibri" w:hAnsi="Calibri"/>
          <w:b w:val="false"/>
          <w:bCs w:val="false"/>
          <w:color w:val="64748B"/>
          <w:sz w:val="18"/>
          <w:szCs w:val="18"/>
        </w:rPr>
        <w:t xml:space="preserve">✦ = changed / added in current iteration vs. initial design</w:t>
      </w:r>
    </w:p>
    <w:p>
      <w:pPr>
        <w:spacing w:after="4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334155" w:color="auto" w:val="clear"/>
            <w:tcMar>
              <w:top w:type="dxa" w:w="60"/>
              <w:left w:type="dxa" w:w="100"/>
              <w:bottom w:type="dxa" w:w="60"/>
              <w:right w:type="dxa" w:w="60"/>
            </w:tcMar>
          </w:tcPr>
          <w:p>
            <w:pPr>
              <w:spacing w:after="40" w:before="40"/>
            </w:pPr>
            <w:r>
              <w:rPr>
                <w:rFonts w:ascii="Calibri" w:cs="Calibri" w:eastAsia="Calibri" w:hAnsi="Calibri"/>
                <w:b/>
                <w:bCs/>
                <w:color w:val="FFFFFF"/>
                <w:sz w:val="18"/>
                <w:szCs w:val="18"/>
              </w:rPr>
              <w:t xml:space="preserve">Layer</w:t>
            </w:r>
          </w:p>
        </w:tc>
        <w:tc>
          <w:tcPr>
            <w:tcW w:type="dxa" w:w="2800"/>
            <w:shd w:fill="334155" w:color="auto" w:val="clear"/>
            <w:tcMar>
              <w:top w:type="dxa" w:w="60"/>
              <w:left w:type="dxa" w:w="100"/>
              <w:bottom w:type="dxa" w:w="60"/>
              <w:right w:type="dxa" w:w="60"/>
            </w:tcMar>
          </w:tcPr>
          <w:p>
            <w:pPr>
              <w:spacing w:after="40" w:before="40"/>
            </w:pPr>
            <w:r>
              <w:rPr>
                <w:rFonts w:ascii="Calibri" w:cs="Calibri" w:eastAsia="Calibri" w:hAnsi="Calibri"/>
                <w:b/>
                <w:bCs/>
                <w:color w:val="FFFFFF"/>
                <w:sz w:val="18"/>
                <w:szCs w:val="18"/>
              </w:rPr>
              <w:t xml:space="preserve">Library / Tool</w:t>
            </w:r>
          </w:p>
        </w:tc>
        <w:tc>
          <w:tcPr>
            <w:tcW w:type="dxa" w:w="5200"/>
            <w:shd w:fill="334155" w:color="auto" w:val="clear"/>
            <w:tcMar>
              <w:top w:type="dxa" w:w="60"/>
              <w:left w:type="dxa" w:w="100"/>
              <w:bottom w:type="dxa" w:w="60"/>
              <w:right w:type="dxa" w:w="60"/>
            </w:tcMar>
          </w:tcPr>
          <w:p>
            <w:pPr>
              <w:spacing w:after="40" w:before="40"/>
            </w:pPr>
            <w:r>
              <w:rPr>
                <w:rFonts w:ascii="Calibri" w:cs="Calibri" w:eastAsia="Calibri" w:hAnsi="Calibri"/>
                <w:b/>
                <w:bCs/>
                <w:color w:val="FFFFFF"/>
                <w:sz w:val="18"/>
                <w:szCs w:val="18"/>
              </w:rPr>
              <w:t xml:space="preserve">Role</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Frontend</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React 19 + TypeScript</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UI layer — IO Workspace dashboard</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Frontend</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bCs/>
                <w:color w:val="E11D48"/>
                <w:sz w:val="18"/>
                <w:szCs w:val="18"/>
              </w:rPr>
              <w:t xml:space="preserve">react-force-graph ✦</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Live fraud network graph visualisation</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Frontend</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Tailwind CSS / Vite</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Styling and build toolchain</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Backend</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Express.js + tRPC</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API server with type-safe endpoints</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Backend</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Multer / AdmZip / MailParser</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File upload and binary parsing</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Backend</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Node.js crypto (built-in)</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SHA-256 chain of custody — no dependency</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Data</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bCs/>
                <w:color w:val="E11D48"/>
                <w:sz w:val="18"/>
                <w:szCs w:val="18"/>
              </w:rPr>
              <w:t xml:space="preserve">Drizzle ORM + SQLite ✦</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Replaces MySQL/TiDB — fully offline, zero infra</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Graph</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bCs/>
                <w:color w:val="E11D48"/>
                <w:sz w:val="18"/>
                <w:szCs w:val="18"/>
              </w:rPr>
              <w:t xml:space="preserve">graphology ✦</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Graph engine in Node.js — replaces NetworkX</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AI / NLP</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Ollama + Mistral 7B GGUF</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Offline Hindi/English NER — CPU-only, 8 GB RAM</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AI / NLP</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scikit-learn + SHAP</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Risk scoring and explainability</w:t>
            </w:r>
          </w:p>
        </w:tc>
      </w:tr>
      <w:tr>
        <w:tc>
          <w:tcPr>
            <w:tcW w:type="dxa" w:w="1600"/>
            <w:shd w:fill="EDE9FE" w:color="auto" w:val="clear"/>
            <w:tcMar>
              <w:top w:type="dxa" w:w="60"/>
              <w:left w:type="dxa" w:w="100"/>
              <w:bottom w:type="dxa" w:w="60"/>
              <w:right w:type="dxa" w:w="60"/>
            </w:tcMar>
          </w:tcPr>
          <w:p>
            <w:pPr>
              <w:spacing w:after="40" w:before="40"/>
            </w:pPr>
            <w:r>
              <w:rPr>
                <w:rFonts w:ascii="Calibri" w:cs="Calibri" w:eastAsia="Calibri" w:hAnsi="Calibri"/>
                <w:b/>
                <w:bCs/>
                <w:color w:val="7C3AED"/>
                <w:sz w:val="18"/>
                <w:szCs w:val="18"/>
              </w:rPr>
              <w:t xml:space="preserve">Output</w:t>
            </w:r>
          </w:p>
        </w:tc>
        <w:tc>
          <w:tcPr>
            <w:tcW w:type="dxa" w:w="2800"/>
            <w:shd w:fill="FFFFFF" w:color="auto" w:val="clear"/>
            <w:tcMar>
              <w:top w:type="dxa" w:w="60"/>
              <w:left w:type="dxa" w:w="100"/>
              <w:bottom w:type="dxa" w:w="60"/>
              <w:right w:type="dxa" w:w="60"/>
            </w:tcMar>
          </w:tcPr>
          <w:p>
            <w:pPr>
              <w:spacing w:after="40" w:before="40"/>
            </w:pPr>
            <w:r>
              <w:rPr>
                <w:rFonts w:ascii="Courier New" w:cs="Courier New" w:eastAsia="Courier New" w:hAnsi="Courier New"/>
                <w:b w:val="false"/>
                <w:bCs w:val="false"/>
                <w:color w:val="334155"/>
                <w:sz w:val="18"/>
                <w:szCs w:val="18"/>
              </w:rPr>
              <w:t xml:space="preserve">PDFKit</w:t>
            </w:r>
          </w:p>
        </w:tc>
        <w:tc>
          <w:tcPr>
            <w:tcW w:type="dxa" w:w="5200"/>
            <w:shd w:fill="FFFFFF" w:color="auto" w:val="clear"/>
            <w:tcMar>
              <w:top w:type="dxa" w:w="60"/>
              <w:left w:type="dxa" w:w="100"/>
              <w:bottom w:type="dxa" w:w="60"/>
              <w:right w:type="dxa" w:w="60"/>
            </w:tcMar>
          </w:tcPr>
          <w:p>
            <w:pPr>
              <w:spacing w:after="40" w:before="40"/>
            </w:pPr>
            <w:r>
              <w:rPr>
                <w:rFonts w:ascii="Calibri" w:cs="Calibri" w:eastAsia="Calibri" w:hAnsi="Calibri"/>
                <w:color w:val="64748B"/>
                <w:sz w:val="18"/>
                <w:szCs w:val="18"/>
              </w:rPr>
              <w:t xml:space="preserve">Section 65B investigative brief generation</w:t>
            </w:r>
          </w:p>
        </w:tc>
      </w:tr>
    </w:tbl>
    <w:p>
      <w:pPr>
        <w:spacing w:after="80" w:before="0"/>
      </w:pPr>
    </w:p>
    <w:p>
      <w:pPr>
        <w:pStyle w:val="Heading1"/>
        <w:pBdr>
          <w:bottom w:val="single" w:color="7C3AED" w:sz="8" w:space="4"/>
        </w:pBdr>
        <w:spacing w:after="100" w:before="280"/>
      </w:pPr>
      <w:r>
        <w:rPr>
          <w:rFonts w:ascii="Calibri" w:cs="Calibri" w:eastAsia="Calibri" w:hAnsi="Calibri"/>
          <w:b/>
          <w:bCs/>
          <w:color w:val="7C3AED"/>
          <w:sz w:val="26"/>
          <w:szCs w:val="26"/>
        </w:rPr>
        <w:t xml:space="preserve">8.  Expected Impact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CFBF1" w:color="auto" w:val="clear"/>
            <w:tcMar>
              <w:top w:type="dxa" w:w="60"/>
              <w:left w:type="dxa" w:w="120"/>
              <w:bottom w:type="dxa" w:w="60"/>
              <w:right w:type="dxa" w:w="120"/>
            </w:tcMar>
          </w:tcPr>
          <w:p>
            <w:pPr>
              <w:spacing w:after="40" w:before="40"/>
              <w:jc w:val="center"/>
            </w:pPr>
            <w:r>
              <w:rPr>
                <w:rFonts w:ascii="Calibri" w:cs="Calibri" w:eastAsia="Calibri" w:hAnsi="Calibri"/>
                <w:b/>
                <w:bCs/>
                <w:color w:val="0D9488"/>
                <w:sz w:val="18"/>
                <w:szCs w:val="18"/>
              </w:rPr>
              <w:t xml:space="preserve">40 hrs → 4 min</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Full triage time reduction — golden hour captured before funds disperse</w:t>
            </w:r>
          </w:p>
        </w:tc>
      </w:tr>
      <w:tr>
        <w:tc>
          <w:tcPr>
            <w:tcW w:type="dxa" w:w="2200"/>
            <w:shd w:fill="FFE4E6" w:color="auto" w:val="clear"/>
            <w:tcMar>
              <w:top w:type="dxa" w:w="60"/>
              <w:left w:type="dxa" w:w="120"/>
              <w:bottom w:type="dxa" w:w="60"/>
              <w:right w:type="dxa" w:w="120"/>
            </w:tcMar>
          </w:tcPr>
          <w:p>
            <w:pPr>
              <w:spacing w:after="40" w:before="40"/>
              <w:jc w:val="center"/>
            </w:pPr>
            <w:r>
              <w:rPr>
                <w:rFonts w:ascii="Calibri" w:cs="Calibri" w:eastAsia="Calibri" w:hAnsi="Calibri"/>
                <w:b/>
                <w:bCs/>
                <w:color w:val="E11D48"/>
                <w:sz w:val="18"/>
                <w:szCs w:val="18"/>
              </w:rPr>
              <w:t xml:space="preserve">₹11,000 Cr/yr</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Targeted loss reduction through faster account freeze on mule networks</w:t>
            </w:r>
          </w:p>
        </w:tc>
      </w:tr>
      <w:tr>
        <w:tc>
          <w:tcPr>
            <w:tcW w:type="dxa" w:w="2200"/>
            <w:shd w:fill="EDE9FE" w:color="auto" w:val="clear"/>
            <w:tcMar>
              <w:top w:type="dxa" w:w="60"/>
              <w:left w:type="dxa" w:w="120"/>
              <w:bottom w:type="dxa" w:w="60"/>
              <w:right w:type="dxa" w:w="120"/>
            </w:tcMar>
          </w:tcPr>
          <w:p>
            <w:pPr>
              <w:spacing w:after="40" w:before="40"/>
              <w:jc w:val="center"/>
            </w:pPr>
            <w:r>
              <w:rPr>
                <w:rFonts w:ascii="Calibri" w:cs="Calibri" w:eastAsia="Calibri" w:hAnsi="Calibri"/>
                <w:b/>
                <w:bCs/>
                <w:color w:val="7C3AED"/>
                <w:sz w:val="18"/>
                <w:szCs w:val="18"/>
              </w:rPr>
              <w:t xml:space="preserve">700+ cyber cells</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Deployable on ₹40,000 laptop — bridges metro-to-district forensic gap</w:t>
            </w:r>
          </w:p>
        </w:tc>
      </w:tr>
      <w:tr>
        <w:tc>
          <w:tcPr>
            <w:tcW w:type="dxa" w:w="2200"/>
            <w:shd w:fill="FEF3C7" w:color="auto" w:val="clear"/>
            <w:tcMar>
              <w:top w:type="dxa" w:w="60"/>
              <w:left w:type="dxa" w:w="120"/>
              <w:bottom w:type="dxa" w:w="60"/>
              <w:right w:type="dxa" w:w="120"/>
            </w:tcMar>
          </w:tcPr>
          <w:p>
            <w:pPr>
              <w:spacing w:after="40" w:before="40"/>
              <w:jc w:val="center"/>
            </w:pPr>
            <w:r>
              <w:rPr>
                <w:rFonts w:ascii="Calibri" w:cs="Calibri" w:eastAsia="Calibri" w:hAnsi="Calibri"/>
                <w:b/>
                <w:bCs/>
                <w:color w:val="D97706"/>
                <w:sz w:val="18"/>
                <w:szCs w:val="18"/>
              </w:rPr>
              <w:t xml:space="preserve">90 % case coverage</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Hindi/English NLP covers majority of complaints missed by English-only tools</w:t>
            </w:r>
          </w:p>
        </w:tc>
      </w:tr>
      <w:tr>
        <w:tc>
          <w:tcPr>
            <w:tcW w:type="dxa" w:w="2200"/>
            <w:shd w:fill="CCFBF1" w:color="auto" w:val="clear"/>
            <w:tcMar>
              <w:top w:type="dxa" w:w="60"/>
              <w:left w:type="dxa" w:w="120"/>
              <w:bottom w:type="dxa" w:w="60"/>
              <w:right w:type="dxa" w:w="120"/>
            </w:tcMar>
          </w:tcPr>
          <w:p>
            <w:pPr>
              <w:spacing w:after="40" w:before="40"/>
              <w:jc w:val="center"/>
            </w:pPr>
            <w:r>
              <w:rPr>
                <w:rFonts w:ascii="Calibri" w:cs="Calibri" w:eastAsia="Calibri" w:hAnsi="Calibri"/>
                <w:b/>
                <w:bCs/>
                <w:color w:val="0D9488"/>
                <w:sz w:val="18"/>
                <w:szCs w:val="18"/>
              </w:rPr>
              <w:t xml:space="preserve">Day-one legal</w:t>
            </w:r>
          </w:p>
        </w:tc>
        <w:tc>
          <w:tcPr>
            <w:tcW w:type="dxa" w:w="7400"/>
            <w:shd w:fill="FFFFFF" w:color="auto" w:val="clear"/>
            <w:tcMar>
              <w:top w:type="dxa" w:w="60"/>
              <w:left w:type="dxa" w:w="160"/>
              <w:bottom w:type="dxa" w:w="60"/>
              <w:right w:type="dxa" w:w="120"/>
            </w:tcMar>
          </w:tcPr>
          <w:p>
            <w:pPr>
              <w:spacing w:after="40" w:before="40"/>
            </w:pPr>
            <w:r>
              <w:rPr>
                <w:rFonts w:ascii="Calibri" w:cs="Calibri" w:eastAsia="Calibri" w:hAnsi="Calibri"/>
                <w:color w:val="334155"/>
                <w:sz w:val="18"/>
                <w:szCs w:val="18"/>
              </w:rPr>
              <w:t xml:space="preserve">Section 65B + BNS 2023 + INTERPOL digital forensics standard compliant</w:t>
            </w:r>
          </w:p>
        </w:tc>
      </w:tr>
    </w:tbl>
    <w:p>
      <w:pPr>
        <w:spacing w:after="80" w:before="0"/>
      </w:pPr>
    </w:p>
    <w:p>
      <w:pPr>
        <w:pBdr>
          <w:bottom w:val="single" w:color="CBD5E1" w:sz="6" w:space="1"/>
        </w:pBdr>
        <w:spacing w:after="100" w:before="100"/>
      </w:pPr>
    </w:p>
    <w:p>
      <w:pPr>
        <w:spacing w:after="0" w:before="100"/>
        <w:jc w:val="center"/>
      </w:pPr>
      <w:r>
        <w:rPr>
          <w:rFonts w:ascii="Calibri" w:cs="Calibri" w:eastAsia="Calibri" w:hAnsi="Calibri"/>
          <w:i/>
          <w:iCs/>
          <w:color w:val="64748B"/>
          <w:sz w:val="16"/>
          <w:szCs w:val="16"/>
        </w:rPr>
        <w:t xml:space="preserve">NIDARSHAN  ·  TheCyberArc  ·  Void Hacks 8.0  ·  All processing is local — no data leaves the investigator's machine.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2026-09-18T06:37:17.756Z</dcterms:created>
  <dcterms:modified xsi:type="dcterms:W3CDTF">2026-09-18T06:37:17.764Z</dcterms:modified>
</cp:coreProperties>
</file>

<file path=docProps/custom.xml><?xml version="1.0" encoding="utf-8"?>
<Properties xmlns="http://schemas.openxmlformats.org/officeDocument/2006/custom-properties" xmlns:vt="http://schemas.openxmlformats.org/officeDocument/2006/docPropsVTypes"/>
</file>