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 e </w:t>
      </w:r>
      <w:proofErr w:type="spellStart"/>
      <w:r>
        <w:rPr>
          <w:rFonts w:ascii="Arial" w:eastAsia="Arial" w:hAnsi="Arial" w:cs="Arial"/>
          <w:b/>
          <w:sz w:val="24"/>
        </w:rPr>
        <w:t>Controller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Controller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é responsável de fazer as interações com as outras partes do sistema, banco de dados, models e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proofErr w:type="spellStart"/>
      <w:r>
        <w:rPr>
          <w:rFonts w:ascii="Arial" w:eastAsia="Arial" w:hAnsi="Arial" w:cs="Arial"/>
          <w:sz w:val="24"/>
        </w:rPr>
        <w:t>as</w:t>
      </w:r>
      <w:proofErr w:type="spellEnd"/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proofErr w:type="spellStart"/>
      <w:r>
        <w:rPr>
          <w:rFonts w:ascii="Arial" w:eastAsia="Arial" w:hAnsi="Arial" w:cs="Arial"/>
          <w:b/>
          <w:sz w:val="24"/>
        </w:rPr>
        <w:t>Action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é utilizada a interface </w:t>
      </w:r>
      <w:proofErr w:type="spellStart"/>
      <w:r>
        <w:rPr>
          <w:rFonts w:ascii="Arial" w:eastAsia="Arial" w:hAnsi="Arial" w:cs="Arial"/>
          <w:sz w:val="24"/>
        </w:rPr>
        <w:t>IActionResult</w:t>
      </w:r>
      <w:proofErr w:type="spellEnd"/>
      <w:r>
        <w:rPr>
          <w:rFonts w:ascii="Arial" w:eastAsia="Arial" w:hAnsi="Arial" w:cs="Arial"/>
          <w:sz w:val="24"/>
        </w:rPr>
        <w:t>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3860403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3860404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0A2813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436DB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6D5372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CB106E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Get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proofErr w:type="gramStart"/>
      <w:r>
        <w:rPr>
          <w:rFonts w:ascii="Arial" w:eastAsia="Arial" w:hAnsi="Arial" w:cs="Arial"/>
          <w:sz w:val="24"/>
        </w:rPr>
        <w:t>server</w:t>
      </w:r>
      <w:proofErr w:type="gramEnd"/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ao chamarmos uma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e no nome da nossa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não possuir o mesmo nome da nossa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, podemos especificar dentro do chamado: (“</w:t>
      </w:r>
      <w:proofErr w:type="spellStart"/>
      <w:r>
        <w:rPr>
          <w:rFonts w:ascii="Arial" w:eastAsia="Arial" w:hAnsi="Arial" w:cs="Arial"/>
          <w:b/>
          <w:sz w:val="24"/>
        </w:rPr>
        <w:t>return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>(</w:t>
      </w:r>
      <w:proofErr w:type="gramEnd"/>
      <w:r>
        <w:rPr>
          <w:rFonts w:ascii="Arial" w:eastAsia="Arial" w:hAnsi="Arial" w:cs="Arial"/>
          <w:b/>
          <w:sz w:val="24"/>
        </w:rPr>
        <w:t xml:space="preserve">nome da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>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7777777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proofErr w:type="spellStart"/>
      <w:r>
        <w:rPr>
          <w:rFonts w:ascii="Arial" w:eastAsia="Arial" w:hAnsi="Arial" w:cs="Arial"/>
          <w:sz w:val="24"/>
        </w:rPr>
        <w:t>parametro</w:t>
      </w:r>
      <w:proofErr w:type="spellEnd"/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77777777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proofErr w:type="gramStart"/>
      <w:r>
        <w:rPr>
          <w:rFonts w:ascii="Arial" w:eastAsia="Arial" w:hAnsi="Arial" w:cs="Arial"/>
          <w:sz w:val="24"/>
        </w:rPr>
        <w:t xml:space="preserve">colocamos </w:t>
      </w:r>
      <w:r>
        <w:rPr>
          <w:rFonts w:ascii="Arial" w:eastAsia="Arial" w:hAnsi="Arial" w:cs="Arial"/>
          <w:b/>
          <w:sz w:val="24"/>
        </w:rPr>
        <w:t>?</w:t>
      </w:r>
      <w:proofErr w:type="spellStart"/>
      <w:r>
        <w:rPr>
          <w:rFonts w:ascii="Arial" w:eastAsia="Arial" w:hAnsi="Arial" w:cs="Arial"/>
          <w:b/>
          <w:sz w:val="24"/>
        </w:rPr>
        <w:t>parametro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=”Valor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possível passar as rotas também pelo controlador, fazendo assim, toda </w:t>
      </w:r>
      <w:proofErr w:type="spellStart"/>
      <w:r>
        <w:rPr>
          <w:rFonts w:ascii="Arial" w:eastAsia="Arial" w:hAnsi="Arial" w:cs="Arial"/>
          <w:sz w:val="24"/>
        </w:rPr>
        <w:t>IActionResult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</w:t>
      </w:r>
      <w:proofErr w:type="gramStart"/>
      <w:r>
        <w:rPr>
          <w:rFonts w:ascii="Arial" w:eastAsia="Arial" w:hAnsi="Arial" w:cs="Arial"/>
          <w:b/>
          <w:sz w:val="24"/>
        </w:rPr>
        <w:t>consumo”/</w:t>
      </w:r>
      <w:proofErr w:type="gramEnd"/>
      <w:r>
        <w:rPr>
          <w:rFonts w:ascii="Arial" w:eastAsia="Arial" w:hAnsi="Arial" w:cs="Arial"/>
          <w:b/>
          <w:sz w:val="24"/>
        </w:rPr>
        <w:t>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>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proofErr w:type="gram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proofErr w:type="gram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14:paraId="7DAD7138" w14:textId="77777777" w:rsidR="00BC00E8" w:rsidRPr="00AA482A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AA482A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AA482A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Views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é o motor de renderização das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no MVC. Ele transforma 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77777777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proofErr w:type="gramStart"/>
      <w:r>
        <w:rPr>
          <w:rFonts w:ascii="Arial" w:eastAsia="Arial" w:hAnsi="Arial" w:cs="Arial"/>
          <w:sz w:val="24"/>
        </w:rPr>
        <w:t>o  asp.net</w:t>
      </w:r>
      <w:proofErr w:type="gramEnd"/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proofErr w:type="spellStart"/>
      <w:r>
        <w:rPr>
          <w:rFonts w:ascii="Arial" w:eastAsia="Arial" w:hAnsi="Arial" w:cs="Arial"/>
          <w:b/>
          <w:sz w:val="24"/>
        </w:rPr>
        <w:t>asp-validation</w:t>
      </w:r>
      <w:proofErr w:type="spellEnd"/>
      <w:r>
        <w:rPr>
          <w:rFonts w:ascii="Arial" w:eastAsia="Arial" w:hAnsi="Arial" w:cs="Arial"/>
          <w:b/>
          <w:sz w:val="24"/>
        </w:rPr>
        <w:t>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ViewStart</w:t>
      </w:r>
      <w:proofErr w:type="spellEnd"/>
      <w:r>
        <w:rPr>
          <w:rFonts w:ascii="Arial" w:eastAsia="Arial" w:hAnsi="Arial" w:cs="Arial"/>
          <w:b/>
          <w:sz w:val="24"/>
        </w:rPr>
        <w:t xml:space="preserve">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ViewImports</w:t>
      </w:r>
      <w:proofErr w:type="spellEnd"/>
      <w:r>
        <w:rPr>
          <w:rFonts w:ascii="Arial" w:eastAsia="Arial" w:hAnsi="Arial" w:cs="Arial"/>
          <w:b/>
          <w:sz w:val="24"/>
        </w:rPr>
        <w:t xml:space="preserve">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que serão compartilhadas em outras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>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elas ficaram em pastas de acordo com sua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. Assim, cada pasta corresponde 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Views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são pedaços de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que podem ser reaproveitadas em qualquer outra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, que poderão ser implementadas dentro de outras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. Elas possuem processamento </w:t>
      </w:r>
      <w:proofErr w:type="gramStart"/>
      <w:r>
        <w:rPr>
          <w:rFonts w:ascii="Arial" w:eastAsia="Arial" w:hAnsi="Arial" w:cs="Arial"/>
          <w:b/>
          <w:sz w:val="24"/>
        </w:rPr>
        <w:t>server</w:t>
      </w:r>
      <w:proofErr w:type="gramEnd"/>
      <w:r>
        <w:rPr>
          <w:rFonts w:ascii="Arial" w:eastAsia="Arial" w:hAnsi="Arial" w:cs="Arial"/>
          <w:b/>
          <w:sz w:val="24"/>
        </w:rPr>
        <w:t>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proofErr w:type="spellStart"/>
      <w:r>
        <w:rPr>
          <w:rFonts w:ascii="Arial" w:eastAsia="Arial" w:hAnsi="Arial" w:cs="Arial"/>
          <w:b/>
          <w:sz w:val="24"/>
        </w:rPr>
        <w:t>Views</w:t>
      </w:r>
      <w:proofErr w:type="spellEnd"/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representam que aquela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trabalha em conjunto com outras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podemos utilizar o </w:t>
      </w:r>
      <w:proofErr w:type="spellStart"/>
      <w:r>
        <w:rPr>
          <w:rFonts w:ascii="Arial" w:eastAsia="Arial" w:hAnsi="Arial" w:cs="Arial"/>
          <w:sz w:val="24"/>
        </w:rPr>
        <w:t>Scaffold</w:t>
      </w:r>
      <w:proofErr w:type="spellEnd"/>
      <w:r>
        <w:rPr>
          <w:rFonts w:ascii="Arial" w:eastAsia="Arial" w:hAnsi="Arial" w:cs="Arial"/>
          <w:sz w:val="24"/>
        </w:rPr>
        <w:t>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name</w:t>
      </w:r>
      <w:proofErr w:type="spellEnd"/>
      <w:proofErr w:type="gramStart"/>
      <w:r>
        <w:rPr>
          <w:rFonts w:ascii="Arial" w:eastAsia="Arial" w:hAnsi="Arial" w:cs="Arial"/>
          <w:b/>
          <w:color w:val="FF0000"/>
          <w:sz w:val="24"/>
        </w:rPr>
        <w:t>=”_</w:t>
      </w:r>
      <w:proofErr w:type="spellStart"/>
      <w:proofErr w:type="gramEnd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77777777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proofErr w:type="gramStart"/>
      <w:r>
        <w:rPr>
          <w:rFonts w:ascii="Arial" w:eastAsia="Arial" w:hAnsi="Arial" w:cs="Arial"/>
          <w:sz w:val="24"/>
        </w:rPr>
        <w:t xml:space="preserve">o </w:t>
      </w:r>
      <w:r>
        <w:rPr>
          <w:rFonts w:ascii="Arial" w:eastAsia="Arial" w:hAnsi="Arial" w:cs="Arial"/>
          <w:b/>
          <w:sz w:val="24"/>
        </w:rPr>
        <w:t xml:space="preserve"> HTML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 xml:space="preserve">Podemos utilizar sempre que quisermos reaproveitar um código. DESDE QUE, essa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Podemos dar o nome para essa componente com uma </w:t>
      </w:r>
      <w:proofErr w:type="spellStart"/>
      <w:r>
        <w:rPr>
          <w:rFonts w:ascii="Arial" w:eastAsia="Arial" w:hAnsi="Arial" w:cs="Arial"/>
          <w:sz w:val="24"/>
        </w:rPr>
        <w:t>annotation</w:t>
      </w:r>
      <w:proofErr w:type="spellEnd"/>
      <w:r>
        <w:rPr>
          <w:rFonts w:ascii="Arial" w:eastAsia="Arial" w:hAnsi="Arial" w:cs="Arial"/>
          <w:sz w:val="24"/>
        </w:rPr>
        <w:t xml:space="preserve">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</w:t>
      </w:r>
      <w:proofErr w:type="spellStart"/>
      <w:proofErr w:type="gramEnd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b/>
          <w:sz w:val="24"/>
        </w:rPr>
        <w:t xml:space="preserve">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 xml:space="preserve">, na qual, nossa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ViewImports</w:t>
      </w:r>
      <w:proofErr w:type="spellEnd"/>
      <w:r>
        <w:rPr>
          <w:rFonts w:ascii="Arial" w:eastAsia="Arial" w:hAnsi="Arial" w:cs="Arial"/>
          <w:b/>
          <w:sz w:val="24"/>
        </w:rPr>
        <w:t>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>@</w:t>
      </w:r>
      <w:proofErr w:type="gramEnd"/>
      <w:r>
        <w:rPr>
          <w:rFonts w:ascii="Arial" w:eastAsia="Arial" w:hAnsi="Arial" w:cs="Arial"/>
          <w:b/>
          <w:color w:val="004DBB"/>
          <w:sz w:val="24"/>
        </w:rPr>
        <w:t xml:space="preserve">{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await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Html.PartialRenderAsync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>(_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ValidationPartialAsync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proofErr w:type="spellStart"/>
      <w:r>
        <w:rPr>
          <w:rFonts w:ascii="Arial" w:eastAsia="Arial" w:hAnsi="Arial" w:cs="Arial"/>
          <w:b/>
          <w:sz w:val="24"/>
        </w:rPr>
        <w:t>src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pastas Models, 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 xml:space="preserve"> e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proofErr w:type="gramStart"/>
      <w:r>
        <w:rPr>
          <w:rFonts w:ascii="Arial" w:eastAsia="Arial" w:hAnsi="Arial" w:cs="Arial"/>
          <w:sz w:val="24"/>
        </w:rPr>
        <w:t>services.AddMvc</w:t>
      </w:r>
      <w:proofErr w:type="spellEnd"/>
      <w:proofErr w:type="gram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</w:t>
      </w:r>
      <w:proofErr w:type="spellStart"/>
      <w:r>
        <w:rPr>
          <w:rFonts w:ascii="Arial" w:eastAsia="Arial" w:hAnsi="Arial" w:cs="Arial"/>
          <w:sz w:val="24"/>
        </w:rPr>
        <w:t>Views</w:t>
      </w:r>
      <w:proofErr w:type="spellEnd"/>
      <w:r>
        <w:rPr>
          <w:rFonts w:ascii="Arial" w:eastAsia="Arial" w:hAnsi="Arial" w:cs="Arial"/>
          <w:sz w:val="24"/>
        </w:rPr>
        <w:t>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proofErr w:type="gram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proofErr w:type="gram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 xml:space="preserve">: Criamos a pasta </w:t>
      </w:r>
      <w:proofErr w:type="spellStart"/>
      <w:r>
        <w:rPr>
          <w:rFonts w:ascii="Arial" w:eastAsia="Arial" w:hAnsi="Arial" w:cs="Arial"/>
          <w:bCs/>
          <w:sz w:val="24"/>
        </w:rPr>
        <w:t>wwwroot</w:t>
      </w:r>
      <w:proofErr w:type="spellEnd"/>
      <w:r>
        <w:rPr>
          <w:rFonts w:ascii="Arial" w:eastAsia="Arial" w:hAnsi="Arial" w:cs="Arial"/>
          <w:bCs/>
          <w:sz w:val="24"/>
        </w:rPr>
        <w:t>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proofErr w:type="gram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proofErr w:type="gram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proofErr w:type="gram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proofErr w:type="gram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</w:t>
      </w:r>
      <w:proofErr w:type="spellStart"/>
      <w:r w:rsidR="00731BF4">
        <w:rPr>
          <w:rFonts w:ascii="Arial" w:eastAsia="Arial" w:hAnsi="Arial" w:cs="Arial"/>
          <w:bCs/>
          <w:sz w:val="24"/>
        </w:rPr>
        <w:t>js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criar novos ambientes de produção, no arquivo </w:t>
      </w:r>
      <w:proofErr w:type="spellStart"/>
      <w:proofErr w:type="gram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proofErr w:type="gramEnd"/>
      <w:r>
        <w:rPr>
          <w:rFonts w:ascii="Arial" w:eastAsia="Arial" w:hAnsi="Arial" w:cs="Arial"/>
          <w:bCs/>
          <w:sz w:val="24"/>
        </w:rPr>
        <w:t xml:space="preserve">, definimos em “profiles” um IIS Express – </w:t>
      </w:r>
      <w:proofErr w:type="spellStart"/>
      <w:r>
        <w:rPr>
          <w:rFonts w:ascii="Arial" w:eastAsia="Arial" w:hAnsi="Arial" w:cs="Arial"/>
          <w:bCs/>
          <w:sz w:val="24"/>
        </w:rPr>
        <w:t>Dev</w:t>
      </w:r>
      <w:proofErr w:type="spellEnd"/>
      <w:r>
        <w:rPr>
          <w:rFonts w:ascii="Arial" w:eastAsia="Arial" w:hAnsi="Arial" w:cs="Arial"/>
          <w:bCs/>
          <w:sz w:val="24"/>
        </w:rPr>
        <w:t xml:space="preserve"> e um IIS Express </w:t>
      </w:r>
      <w:proofErr w:type="spellStart"/>
      <w:r>
        <w:rPr>
          <w:rFonts w:ascii="Arial" w:eastAsia="Arial" w:hAnsi="Arial" w:cs="Arial"/>
          <w:bCs/>
          <w:sz w:val="24"/>
        </w:rPr>
        <w:t>Prod</w:t>
      </w:r>
      <w:proofErr w:type="spellEnd"/>
      <w:r>
        <w:rPr>
          <w:rFonts w:ascii="Arial" w:eastAsia="Arial" w:hAnsi="Arial" w:cs="Arial"/>
          <w:bCs/>
          <w:sz w:val="24"/>
        </w:rPr>
        <w:t>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</w:t>
      </w:r>
      <w:proofErr w:type="spellStart"/>
      <w:r>
        <w:rPr>
          <w:rFonts w:ascii="Arial" w:eastAsia="Arial" w:hAnsi="Arial" w:cs="Arial"/>
          <w:bCs/>
          <w:sz w:val="24"/>
        </w:rPr>
        <w:t>class</w:t>
      </w:r>
      <w:proofErr w:type="spellEnd"/>
      <w:r>
        <w:rPr>
          <w:rFonts w:ascii="Arial" w:eastAsia="Arial" w:hAnsi="Arial" w:cs="Arial"/>
          <w:bCs/>
          <w:sz w:val="24"/>
        </w:rPr>
        <w:t xml:space="preserve">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proofErr w:type="gram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proofErr w:type="gram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</w:t>
      </w:r>
      <w:proofErr w:type="spellStart"/>
      <w:r w:rsidR="004704EE">
        <w:rPr>
          <w:rFonts w:ascii="Arial" w:eastAsia="Arial" w:hAnsi="Arial" w:cs="Arial"/>
          <w:bCs/>
          <w:sz w:val="24"/>
        </w:rPr>
        <w:t>ViewImports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 -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493F00AF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77777777" w:rsidR="00985DC5" w:rsidRPr="00714479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</w:p>
    <w:p w14:paraId="5173F492" w14:textId="687A74C1" w:rsidR="00997F1F" w:rsidRPr="00BE4C50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3CDE09A6" w14:textId="414AB2E2" w:rsidR="00997F1F" w:rsidRDefault="00AC1277" w:rsidP="00AC1277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MINUTO 11 AULA 04- TAGHELPERS CUSTOMS</w:t>
      </w:r>
    </w:p>
    <w:p w14:paraId="69BD6F0D" w14:textId="77777777" w:rsidR="00AC1277" w:rsidRPr="00AC1277" w:rsidRDefault="00AC1277" w:rsidP="00AC1277">
      <w:pPr>
        <w:jc w:val="center"/>
        <w:rPr>
          <w:rFonts w:ascii="Arial" w:eastAsia="Arial" w:hAnsi="Arial" w:cs="Arial"/>
          <w:b/>
          <w:sz w:val="24"/>
        </w:rPr>
      </w:pPr>
    </w:p>
    <w:sectPr w:rsidR="00AC1277" w:rsidRPr="00AC1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21B73"/>
    <w:rsid w:val="001416D2"/>
    <w:rsid w:val="00212759"/>
    <w:rsid w:val="002A4349"/>
    <w:rsid w:val="00367A7C"/>
    <w:rsid w:val="003E12A1"/>
    <w:rsid w:val="004704EE"/>
    <w:rsid w:val="004A3A35"/>
    <w:rsid w:val="00560E90"/>
    <w:rsid w:val="0060484C"/>
    <w:rsid w:val="00622A5A"/>
    <w:rsid w:val="006B67AC"/>
    <w:rsid w:val="006C7167"/>
    <w:rsid w:val="00714479"/>
    <w:rsid w:val="00731BF4"/>
    <w:rsid w:val="007D26E5"/>
    <w:rsid w:val="0091360E"/>
    <w:rsid w:val="00985DC5"/>
    <w:rsid w:val="00997F1F"/>
    <w:rsid w:val="00AA482A"/>
    <w:rsid w:val="00AC1277"/>
    <w:rsid w:val="00BC00E8"/>
    <w:rsid w:val="00BE4C50"/>
    <w:rsid w:val="00DB31CE"/>
    <w:rsid w:val="00E002E6"/>
    <w:rsid w:val="00E5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1852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18</cp:revision>
  <dcterms:created xsi:type="dcterms:W3CDTF">2021-09-14T02:15:00Z</dcterms:created>
  <dcterms:modified xsi:type="dcterms:W3CDTF">2021-09-23T03:00:00Z</dcterms:modified>
</cp:coreProperties>
</file>