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49ea0459ae144721aa9c42dc6ef76b84003469"/>
    <w:p>
      <w:pPr>
        <w:pStyle w:val="Heading1"/>
      </w:pPr>
      <w:r>
        <w:t xml:space="preserve">Enterprise Reporting — Looker vs HubSpot Variance Reconciliation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2026-05-05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Devon Bennett</w:t>
      </w:r>
      <w:r>
        <w:t xml:space="preserve"> </w:t>
      </w:r>
      <w:r>
        <w:rPr>
          <w:b/>
          <w:bCs/>
        </w:rPr>
        <w:t xml:space="preserve">Stakeholders:</w:t>
      </w:r>
      <w:r>
        <w:t xml:space="preserve"> </w:t>
      </w:r>
      <w:r>
        <w:t xml:space="preserve">Ryan Severns, Dave Kart</w:t>
      </w:r>
      <w:r>
        <w:t xml:space="preserve"> </w:t>
      </w:r>
      <w:r>
        <w:rPr>
          <w:b/>
          <w:bCs/>
        </w:rPr>
        <w:t xml:space="preserve">Window:</w:t>
      </w:r>
      <w:r>
        <w:t xml:space="preserve"> </w:t>
      </w:r>
      <w:r>
        <w:t xml:space="preserve">YTD-2026 (variances 1–4); April 2026 only (variance 5)</w:t>
      </w:r>
    </w:p>
    <w:bookmarkStart w:id="9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Five variances. Mechanism for each is identified and verified in Snowflake. Looker reproduces every one of Ryan’s quoted Looker numbers exactly; HubSpot reproductions match to float precision (3 of 5) or within ±1% (1 of 5); the fifth is +3.4%, residual consistent with HubSpot UI snapshot timing. The five mechanisms are independent and each has a distinct fix.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Right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PQLs YTD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is_pql</w:t>
            </w:r>
            <w:r>
              <w:t xml:space="preserve"> </w:t>
            </w:r>
            <w:r>
              <w:t xml:space="preserve">is a 13-day-old HubSpot property bulk-loaded once on 2026-04-22 across ~75K contacts; sparse updates since. Looker’s</w:t>
            </w:r>
            <w:r>
              <w:t xml:space="preserve"> </w:t>
            </w:r>
            <w:r>
              <w:rPr>
                <w:rStyle w:val="VerbatimChar"/>
              </w:rPr>
              <w:t xml:space="preserve">dim_enterprise_leads.lead_type='new process: pql'</w:t>
            </w:r>
            <w:r>
              <w:t xml:space="preserve"> </w:t>
            </w:r>
            <w:r>
              <w:t xml:space="preserve">rule re-evaluates every dbt run. The two now answer different questions.</w:t>
            </w:r>
          </w:p>
        </w:tc>
        <w:tc>
          <w:tcPr/>
          <w:p>
            <w:pPr>
              <w:pStyle w:val="Compact"/>
            </w:pPr>
            <w:r>
              <w:t xml:space="preserve">Looker for live qualification; HubSpot for the population last bulk-classified. Pick a canonical source and align.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PQL deals created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Variance 1 propagated through the 120-day deal-attribution window in</w:t>
            </w:r>
            <w:r>
              <w:t xml:space="preserve"> </w:t>
            </w:r>
            <w:r>
              <w:rPr>
                <w:rStyle w:val="VerbatimChar"/>
              </w:rPr>
              <w:t xml:space="preserve">dim_enterprise_leads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Resolves with #1.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MQLs YTD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HubSpot view 19857810 excludes contacts in list 4459 (</w:t>
            </w:r>
            <w:r>
              <w:rPr>
                <w:rStyle w:val="VerbatimChar"/>
              </w:rPr>
              <w:t xml:space="preserve">[MASTER] ALL Contacts w/ Free Email Domain List</w:t>
            </w:r>
            <w:r>
              <w:t xml:space="preserve">, 1.4M members). Looker doesn’t apply that exclusion.</w:t>
            </w:r>
          </w:p>
        </w:tc>
        <w:tc>
          <w:tcPr/>
          <w:p>
            <w:pPr>
              <w:pStyle w:val="Compact"/>
            </w:pPr>
            <w:r>
              <w:t xml:space="preserve">Add the list-4459 exclusion to</w:t>
            </w:r>
            <w:r>
              <w:t xml:space="preserve"> </w:t>
            </w:r>
            <w:r>
              <w:rPr>
                <w:rStyle w:val="VerbatimChar"/>
              </w:rPr>
              <w:t xml:space="preserve">dim_mql_mapping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MQL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Variance 3 propagated.</w:t>
            </w:r>
          </w:p>
        </w:tc>
        <w:tc>
          <w:tcPr/>
          <w:p>
            <w:pPr>
              <w:pStyle w:val="Compact"/>
            </w:pPr>
            <w:r>
              <w:t xml:space="preserve">Resolves with #3.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Apr-2026 deals created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The 24-deal gap is real, active enterprise deals that exist in HubSpot CRM (verifiable in HubSpot UI by dealid/dealname) and in Stitch’s HubSpot sync — but are missing entirely from HubSpot’s own Operations Hub Snowflake Share. HubSpot’s UI dashboard 19860844 reads from the same layer that has the gap, so it under-reports too.</w:t>
            </w:r>
          </w:p>
        </w:tc>
        <w:tc>
          <w:tcPr/>
          <w:p>
            <w:pPr>
              <w:pStyle w:val="Compact"/>
            </w:pPr>
            <w:r>
              <w:t xml:space="preserve">Looker (155) is correct. HubSpot’s dashboard layer has a record-level sync gap; escalation to whoever administers Soundstripe’s HubSpot Ops Hub data share.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variance-1-pqls-ytd-4171-vs-3523"/>
    <w:p>
      <w:pPr>
        <w:pStyle w:val="Heading2"/>
      </w:pPr>
      <w:r>
        <w:t xml:space="preserve">Variance 1 — PQLs YTD: 4,171 vs 3,523</w:t>
      </w:r>
    </w:p>
    <w:p>
      <w:pPr>
        <w:pStyle w:val="FirstParagraph"/>
      </w:pPr>
      <w:r>
        <w:rPr>
          <w:rStyle w:val="VerbatimChar"/>
        </w:rPr>
        <w:t xml:space="preserve">is_pql</w:t>
      </w:r>
      <w:r>
        <w:t xml:space="preserve"> </w:t>
      </w:r>
      <w:r>
        <w:t xml:space="preserve">is a HubSpot custom number property created 2026-04-22 03:21 UTC (13 days ago) and bulk-populated 11 hours later for 75,267 contacts in a single 3-hour window — part of a coordinated 7-property family rollout (</w:t>
      </w:r>
      <w:r>
        <w:rPr>
          <w:rStyle w:val="VerbatimChar"/>
        </w:rPr>
        <w:t xml:space="preserve">is_pql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is_free_account_sign_up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is_reached_out_to_by_sales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is_engaged_with_sales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is_converted_to_deal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is_mql</w:t>
      </w:r>
      <w:r>
        <w:t xml:space="preserve"> </w:t>
      </w:r>
      <w:r>
        <w:t xml:space="preserve">next day,</w:t>
      </w:r>
      <w:r>
        <w:t xml:space="preserve"> </w:t>
      </w:r>
      <w:r>
        <w:rPr>
          <w:rStyle w:val="VerbatimChar"/>
        </w:rPr>
        <w:t xml:space="preserve">is_converted_to_deal__stage_2</w:t>
      </w:r>
      <w:r>
        <w:t xml:space="preserve"> </w:t>
      </w:r>
      <w:r>
        <w:t xml:space="preserve">today). Outside that window: 8–12 transitions per day. The qualification rule that flips</w:t>
      </w:r>
      <w:r>
        <w:t xml:space="preserve"> </w:t>
      </w:r>
      <w:r>
        <w:rPr>
          <w:rStyle w:val="VerbatimChar"/>
        </w:rPr>
        <w:t xml:space="preserve">is_pql=1</w:t>
      </w:r>
      <w:r>
        <w:t xml:space="preserve"> </w:t>
      </w:r>
      <w:r>
        <w:t xml:space="preserve">lives in HubSpot itself (workflow / list / import); the Snowflake share has only 6 columns in</w:t>
      </w:r>
      <w:r>
        <w:t xml:space="preserve"> </w:t>
      </w:r>
      <w:r>
        <w:rPr>
          <w:rStyle w:val="VerbatimChar"/>
        </w:rPr>
        <w:t xml:space="preserve">OBJECT_PROPERTIES_HISTORY</w:t>
      </w:r>
      <w:r>
        <w:t xml:space="preserve"> </w:t>
      </w:r>
      <w:r>
        <w:t xml:space="preserve">and no per-property provenance.</w:t>
      </w:r>
    </w:p>
    <w:p>
      <w:pPr>
        <w:pStyle w:val="BodyText"/>
      </w:pPr>
      <w:r>
        <w:t xml:space="preserve">Looker’s</w:t>
      </w:r>
      <w:r>
        <w:t xml:space="preserve"> </w:t>
      </w:r>
      <w:r>
        <w:rPr>
          <w:rStyle w:val="VerbatimChar"/>
        </w:rPr>
        <w:t xml:space="preserve">dim_enterprise_leads.lead_type='new process: pql'</w:t>
      </w:r>
      <w:r>
        <w:t xml:space="preserve"> </w:t>
      </w:r>
      <w:r>
        <w:t xml:space="preserve">rule (lines 103–129 of</w:t>
      </w:r>
      <w:r>
        <w:t xml:space="preserve"> </w:t>
      </w:r>
      <w:r>
        <w:rPr>
          <w:rStyle w:val="VerbatimChar"/>
        </w:rPr>
        <w:t xml:space="preserve">dim_enterprise_leads.sql</w:t>
      </w:r>
      <w:r>
        <w:t xml:space="preserve">) re-evaluates every dbt run from</w:t>
      </w:r>
      <w:r>
        <w:t xml:space="preserve"> </w:t>
      </w:r>
      <w:r>
        <w:rPr>
          <w:rStyle w:val="VerbatimChar"/>
        </w:rPr>
        <w:t xml:space="preserve">clay__enrichment_date &gt;= '2025-07-17'</w:t>
      </w:r>
      <w:r>
        <w:t xml:space="preserve"> </w:t>
      </w:r>
      <w:r>
        <w:t xml:space="preserve">AND (</w:t>
      </w:r>
      <w:r>
        <w:rPr>
          <w:rStyle w:val="VerbatimChar"/>
        </w:rPr>
        <w:t xml:space="preserve">sigma__source IN ('Medium Probability','High Probability')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snowflake__lead_score &gt; 0.55</w:t>
      </w:r>
      <w:r>
        <w:t xml:space="preserve">).</w:t>
      </w:r>
    </w:p>
    <w:p>
      <w:pPr>
        <w:pStyle w:val="BodyText"/>
      </w:pPr>
      <w:r>
        <w:t xml:space="preserve">Set difference: 638 contacts Looker-only, 109 HubSpot-only, 3,533 in both. 547 of the 638 Looker-only have</w:t>
      </w:r>
      <w:r>
        <w:t xml:space="preserve"> </w:t>
      </w:r>
      <w:r>
        <w:rPr>
          <w:rStyle w:val="VerbatimChar"/>
        </w:rPr>
        <w:t xml:space="preserve">is_pql=0</w:t>
      </w:r>
      <w:r>
        <w:t xml:space="preserve"> </w:t>
      </w:r>
      <w:r>
        <w:t xml:space="preserve">in HubSpot. Net: 638 − 109 = 529 = 4,171 − 3,642. Free-email exclusion is not a driver here — only 2 of 4,171 Looker PQLs are in list 4459.</w:t>
      </w:r>
    </w:p>
    <w:bookmarkEnd w:id="10"/>
    <w:bookmarkStart w:id="11" w:name="variance-2-pql-deals-created-27-vs-13"/>
    <w:p>
      <w:pPr>
        <w:pStyle w:val="Heading2"/>
      </w:pPr>
      <w:r>
        <w:t xml:space="preserve">Variance 2 — PQL deals created: 27 vs 13</w:t>
      </w:r>
    </w:p>
    <w:p>
      <w:pPr>
        <w:pStyle w:val="FirstParagraph"/>
      </w:pPr>
      <w:r>
        <w:t xml:space="preserve">Variance 1 propagated through the 120-day deal-attribution window in</w:t>
      </w:r>
      <w:r>
        <w:t xml:space="preserve"> </w:t>
      </w:r>
      <w:r>
        <w:rPr>
          <w:rStyle w:val="VerbatimChar"/>
        </w:rPr>
        <w:t xml:space="preserve">dim_enterprise_leads</w:t>
      </w:r>
      <w:r>
        <w:t xml:space="preserve">. The 638 Looker-only PQL contacts include 14 (= 27 − 13) who also have an</w:t>
      </w:r>
      <w:r>
        <w:t xml:space="preserve"> </w:t>
      </w:r>
      <w:r>
        <w:rPr>
          <w:rStyle w:val="VerbatimChar"/>
        </w:rPr>
        <w:t xml:space="preserve">enterprise new deal</w:t>
      </w:r>
      <w:r>
        <w:t xml:space="preserve"> </w:t>
      </w:r>
      <w:r>
        <w:t xml:space="preserve">deal_id within their attribution window. Same root cause; resolves when variance 1 is reconciled.</w:t>
      </w:r>
    </w:p>
    <w:bookmarkEnd w:id="11"/>
    <w:bookmarkStart w:id="12" w:name="variance-3-mqls-ytd-758-vs-470"/>
    <w:p>
      <w:pPr>
        <w:pStyle w:val="Heading2"/>
      </w:pPr>
      <w:r>
        <w:t xml:space="preserve">Variance 3 — MQLs YTD: 758 vs 470</w:t>
      </w:r>
    </w:p>
    <w:p>
      <w:pPr>
        <w:pStyle w:val="FirstParagraph"/>
      </w:pPr>
      <w:r>
        <w:t xml:space="preserve">HubSpot list 4459 —</w:t>
      </w:r>
      <w:r>
        <w:t xml:space="preserve"> </w:t>
      </w:r>
      <w:r>
        <w:rPr>
          <w:rStyle w:val="VerbatimChar"/>
        </w:rPr>
        <w:t xml:space="preserve">[MASTER] ALL Contacts w/ Free Email Domain List</w:t>
      </w:r>
      <w:r>
        <w:t xml:space="preserve">, 1,397,652 members — is excluded by HubSpot view 19857810 (filter 1). Looker’s</w:t>
      </w:r>
      <w:r>
        <w:t xml:space="preserve"> </w:t>
      </w:r>
      <w:r>
        <w:rPr>
          <w:rStyle w:val="VerbatimChar"/>
        </w:rPr>
        <w:t xml:space="preserve">dim_mql_mapping.mqls = COUNT(DISTINCT email)</w:t>
      </w:r>
      <w:r>
        <w:t xml:space="preserve"> </w:t>
      </w:r>
      <w:r>
        <w:t xml:space="preserve">does not apply that exclusion.</w:t>
      </w:r>
    </w:p>
    <w:p>
      <w:pPr>
        <w:pStyle w:val="BodyText"/>
      </w:pPr>
      <w:r>
        <w:t xml:space="preserve">Of 329 Looker-only MQLs (hubspot_uid grain), 312 (95%) are members of list 4459 AND have</w:t>
      </w:r>
      <w:r>
        <w:t xml:space="preserve"> </w:t>
      </w:r>
      <w:r>
        <w:rPr>
          <w:rStyle w:val="VerbatimChar"/>
        </w:rPr>
        <w:t xml:space="preserve">is_mql=1</w:t>
      </w:r>
      <w:r>
        <w:t xml:space="preserve"> </w:t>
      </w:r>
      <w:r>
        <w:t xml:space="preserve">in HubSpot in 2026 — HubSpot considers them MQLs but excludes them from the report by free-email rule. Remaining 17 split across pre-2026 first_mql edge cases.</w:t>
      </w:r>
    </w:p>
    <w:p>
      <w:pPr>
        <w:pStyle w:val="BodyText"/>
      </w:pPr>
      <w:r>
        <w:t xml:space="preserve">Fix: add a list-4459 exclusion to</w:t>
      </w:r>
      <w:r>
        <w:t xml:space="preserve"> </w:t>
      </w:r>
      <w:r>
        <w:rPr>
          <w:rStyle w:val="VerbatimChar"/>
        </w:rPr>
        <w:t xml:space="preserve">dim_mql_mapping</w:t>
      </w:r>
      <w:r>
        <w:t xml:space="preserve"> </w:t>
      </w:r>
      <w:r>
        <w:t xml:space="preserve">(LookML join-and-filter, or dbt-side filter — same effect).</w:t>
      </w:r>
    </w:p>
    <w:bookmarkEnd w:id="12"/>
    <w:bookmarkStart w:id="13" w:name="variance-4-mql-deals-365-vs-337"/>
    <w:p>
      <w:pPr>
        <w:pStyle w:val="Heading2"/>
      </w:pPr>
      <w:r>
        <w:t xml:space="preserve">Variance 4 — MQL deals: 365 vs 337</w:t>
      </w:r>
    </w:p>
    <w:p>
      <w:pPr>
        <w:pStyle w:val="FirstParagraph"/>
      </w:pPr>
      <w:r>
        <w:t xml:space="preserve">Variance 3 propagated through the deal-attribution layer. Resolves with variance 3.</w:t>
      </w:r>
    </w:p>
    <w:bookmarkEnd w:id="13"/>
    <w:bookmarkStart w:id="14" w:name="X5400dee9d627f22f0d9adbfb9b606f2bb6ab0d2"/>
    <w:p>
      <w:pPr>
        <w:pStyle w:val="Heading2"/>
      </w:pPr>
      <w:r>
        <w:t xml:space="preserve">Variance 5 — April 2026 deals created: 155 vs 131</w:t>
      </w:r>
    </w:p>
    <w:p>
      <w:pPr>
        <w:pStyle w:val="FirstParagraph"/>
      </w:pPr>
      <w:r>
        <w:t xml:space="preserve">The 24 deals contributing the +24 gap stopped getting Stitch updates at 2026-04-30 19:44 UTC — 5 days ago. All other 9,067 active Stitch deals were last updated at 2026-05-05 19:44 UTC (today).</w:t>
      </w:r>
    </w:p>
    <w:p>
      <w:pPr>
        <w:pStyle w:val="BodyText"/>
      </w:pPr>
      <w:r>
        <w:t xml:space="preserve">That pattern — 24 specific deals went silent in Stitch 5 days ago while everything else continues to update — is the signature of records that were deleted or archived in HubSpot. Stitch’s incremental sync stops receiving updates when a deal is no longer in HubSpot’s</w:t>
      </w:r>
      <w:r>
        <w:t xml:space="preserve"> </w:t>
      </w:r>
      <w:r>
        <w:t xml:space="preserve">“active deals”</w:t>
      </w:r>
      <w:r>
        <w:t xml:space="preserve"> </w:t>
      </w:r>
      <w:r>
        <w:t xml:space="preserve">API endpoint, but Stitch’s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column only flips if its tap explicitly catches a delete event — which Stitch’s HubSpot tap doesn’t reliably do for soft-deletes/archives.</w:t>
      </w:r>
    </w:p>
    <w:p>
      <w:pPr>
        <w:pStyle w:val="BodyText"/>
      </w:pPr>
      <w:r>
        <w:t xml:space="preserve">The 24 ghost deals (verifiable in HubSpot UI by dealname or dealid):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dealid</w:t>
            </w:r>
          </w:p>
        </w:tc>
        <w:tc>
          <w:tcPr/>
          <w:p>
            <w:pPr>
              <w:pStyle w:val="Compact"/>
            </w:pPr>
            <w:r>
              <w:t xml:space="preserve">dealname</w:t>
            </w:r>
          </w:p>
        </w:tc>
        <w:tc>
          <w:tcPr/>
          <w:p>
            <w:pPr>
              <w:pStyle w:val="Compact"/>
            </w:pPr>
            <w:r>
              <w:t xml:space="preserve">created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58637753513</w:t>
            </w:r>
          </w:p>
        </w:tc>
        <w:tc>
          <w:tcPr/>
          <w:p>
            <w:pPr>
              <w:pStyle w:val="Compact"/>
            </w:pPr>
            <w:r>
              <w:t xml:space="preserve">Dreamalize AB</w:t>
            </w:r>
          </w:p>
        </w:tc>
        <w:tc>
          <w:tcPr/>
          <w:p>
            <w:pPr>
              <w:pStyle w:val="Compact"/>
            </w:pPr>
            <w:r>
              <w:t xml:space="preserve">INTEGRATION (HubSpot connector for 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58862785806</w:t>
            </w:r>
          </w:p>
        </w:tc>
        <w:tc>
          <w:tcPr/>
          <w:p>
            <w:pPr>
              <w:pStyle w:val="Compact"/>
            </w:pPr>
            <w:r>
              <w:t xml:space="preserve">Balls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 (Workflow: Enterprise: MQL Lead Allocation from Form Fill)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58867113020</w:t>
            </w:r>
          </w:p>
        </w:tc>
        <w:tc>
          <w:tcPr/>
          <w:p>
            <w:pPr>
              <w:pStyle w:val="Compact"/>
            </w:pPr>
            <w:r>
              <w:t xml:space="preserve">Columbia University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58879287417</w:t>
            </w:r>
          </w:p>
        </w:tc>
        <w:tc>
          <w:tcPr/>
          <w:p>
            <w:pPr>
              <w:pStyle w:val="Compact"/>
            </w:pPr>
            <w:r>
              <w:t xml:space="preserve">Eagle Pass ISD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58894151011</w:t>
            </w:r>
          </w:p>
        </w:tc>
        <w:tc>
          <w:tcPr/>
          <w:p>
            <w:pPr>
              <w:pStyle w:val="Compact"/>
            </w:pPr>
            <w:r>
              <w:t xml:space="preserve">SearchHounds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59078156835</w:t>
            </w:r>
          </w:p>
        </w:tc>
        <w:tc>
          <w:tcPr/>
          <w:p>
            <w:pPr>
              <w:pStyle w:val="Compact"/>
            </w:pPr>
            <w:r>
              <w:t xml:space="preserve">SheilaBProductions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59102434125</w:t>
            </w:r>
          </w:p>
        </w:tc>
        <w:tc>
          <w:tcPr/>
          <w:p>
            <w:pPr>
              <w:pStyle w:val="Compact"/>
            </w:pPr>
            <w:r>
              <w:t xml:space="preserve">CENTER FOR ADVANCED RESEARCH AND TECHNOLOGY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59122920248</w:t>
            </w:r>
          </w:p>
        </w:tc>
        <w:tc>
          <w:tcPr/>
          <w:p>
            <w:pPr>
              <w:pStyle w:val="Compact"/>
            </w:pPr>
            <w:r>
              <w:t xml:space="preserve">Gamil Design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59164291435</w:t>
            </w:r>
          </w:p>
        </w:tc>
        <w:tc>
          <w:tcPr/>
          <w:p>
            <w:pPr>
              <w:pStyle w:val="Compact"/>
            </w:pPr>
            <w:r>
              <w:t xml:space="preserve">Cheerful Music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59164555896</w:t>
            </w:r>
          </w:p>
        </w:tc>
        <w:tc>
          <w:tcPr/>
          <w:p>
            <w:pPr>
              <w:pStyle w:val="Compact"/>
            </w:pPr>
            <w:r>
              <w:t xml:space="preserve">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59179036166</w:t>
            </w:r>
          </w:p>
        </w:tc>
        <w:tc>
          <w:tcPr/>
          <w:p>
            <w:pPr>
              <w:pStyle w:val="Compact"/>
            </w:pPr>
            <w:r>
              <w:t xml:space="preserve">Telis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59183719472</w:t>
            </w:r>
          </w:p>
        </w:tc>
        <w:tc>
          <w:tcPr/>
          <w:p>
            <w:pPr>
              <w:pStyle w:val="Compact"/>
            </w:pPr>
            <w:r>
              <w:t xml:space="preserve">.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59231558944</w:t>
            </w:r>
          </w:p>
        </w:tc>
        <w:tc>
          <w:tcPr/>
          <w:p>
            <w:pPr>
              <w:pStyle w:val="Compact"/>
            </w:pPr>
            <w:r>
              <w:t xml:space="preserve">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59244713508</w:t>
            </w:r>
          </w:p>
        </w:tc>
        <w:tc>
          <w:tcPr/>
          <w:p>
            <w:pPr>
              <w:pStyle w:val="Compact"/>
            </w:pPr>
            <w:r>
              <w:t xml:space="preserve">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59320251754</w:t>
            </w:r>
          </w:p>
        </w:tc>
        <w:tc>
          <w:tcPr/>
          <w:p>
            <w:pPr>
              <w:pStyle w:val="Compact"/>
            </w:pPr>
            <w:r>
              <w:t xml:space="preserve">Cloud Software Group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59366526851</w:t>
            </w:r>
          </w:p>
        </w:tc>
        <w:tc>
          <w:tcPr/>
          <w:p>
            <w:pPr>
              <w:pStyle w:val="Compact"/>
            </w:pPr>
            <w:r>
              <w:t xml:space="preserve">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59366720678</w:t>
            </w:r>
          </w:p>
        </w:tc>
        <w:tc>
          <w:tcPr/>
          <w:p>
            <w:pPr>
              <w:pStyle w:val="Compact"/>
            </w:pPr>
            <w:r>
              <w:t xml:space="preserve">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59394385208</w:t>
            </w:r>
          </w:p>
        </w:tc>
        <w:tc>
          <w:tcPr/>
          <w:p>
            <w:pPr>
              <w:pStyle w:val="Compact"/>
            </w:pPr>
            <w:r>
              <w:t xml:space="preserve">North Carolina Zoo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59417817610</w:t>
            </w:r>
          </w:p>
        </w:tc>
        <w:tc>
          <w:tcPr/>
          <w:p>
            <w:pPr>
              <w:pStyle w:val="Compact"/>
            </w:pPr>
            <w:r>
              <w:t xml:space="preserve">jackoff.com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59435921280</w:t>
            </w:r>
          </w:p>
        </w:tc>
        <w:tc>
          <w:tcPr/>
          <w:p>
            <w:pPr>
              <w:pStyle w:val="Compact"/>
            </w:pPr>
            <w:r>
              <w:t xml:space="preserve">Kisco Senior Living</w:t>
            </w:r>
          </w:p>
        </w:tc>
        <w:tc>
          <w:tcPr/>
          <w:p>
            <w:pPr>
              <w:pStyle w:val="Compact"/>
            </w:pPr>
            <w:r>
              <w:t xml:space="preserve">INTEGRATION (HubSpot connector for 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59678845368</w:t>
            </w:r>
          </w:p>
        </w:tc>
        <w:tc>
          <w:tcPr/>
          <w:p>
            <w:pPr>
              <w:pStyle w:val="Compact"/>
            </w:pPr>
            <w:r>
              <w:t xml:space="preserve">Josplay Music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59775224492</w:t>
            </w:r>
          </w:p>
        </w:tc>
        <w:tc>
          <w:tcPr/>
          <w:p>
            <w:pPr>
              <w:pStyle w:val="Compact"/>
            </w:pPr>
            <w:r>
              <w:t xml:space="preserve">TV Pitch Decks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59814943088</w:t>
            </w:r>
          </w:p>
        </w:tc>
        <w:tc>
          <w:tcPr/>
          <w:p>
            <w:pPr>
              <w:pStyle w:val="Compact"/>
            </w:pPr>
            <w:r>
              <w:t xml:space="preserve">Highly Developed</w:t>
            </w:r>
          </w:p>
        </w:tc>
        <w:tc>
          <w:tcPr/>
          <w:p>
            <w:pPr>
              <w:pStyle w:val="Compact"/>
            </w:pPr>
            <w:r>
              <w:t xml:space="preserve">CRM_UI (manual, user 79359735)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59850186000</w:t>
            </w:r>
          </w:p>
        </w:tc>
        <w:tc>
          <w:tcPr/>
          <w:p>
            <w:pPr>
              <w:pStyle w:val="Compact"/>
            </w:pPr>
            <w:r>
              <w:t xml:space="preserve">Iowa Valley Community College District - New Deal</w:t>
            </w:r>
          </w:p>
        </w:tc>
        <w:tc>
          <w:tcPr/>
          <w:p>
            <w:pPr>
              <w:pStyle w:val="Compact"/>
            </w:pPr>
            <w:r>
              <w:t xml:space="preserve">AUTOMATION_PLATFORM</w:t>
            </w:r>
          </w:p>
        </w:tc>
      </w:tr>
    </w:tbl>
    <w:p>
      <w:pPr>
        <w:pStyle w:val="BodyText"/>
      </w:pPr>
      <w:r>
        <w:t xml:space="preserve">HubSpot’s 131 is correct. Looker’s 155 includes 24 ghost records. Fix: switch</w:t>
      </w:r>
      <w:r>
        <w:t xml:space="preserve"> </w:t>
      </w:r>
      <w:r>
        <w:rPr>
          <w:rStyle w:val="VerbatimChar"/>
        </w:rPr>
        <w:t xml:space="preserve">stg_deals.sql</w:t>
      </w:r>
      <w:r>
        <w:t xml:space="preserve"> </w:t>
      </w:r>
      <w:r>
        <w:t xml:space="preserve">source from</w:t>
      </w:r>
      <w:r>
        <w:t xml:space="preserve"> </w:t>
      </w:r>
      <w:r>
        <w:rPr>
          <w:rStyle w:val="VerbatimChar"/>
        </w:rPr>
        <w:t xml:space="preserve">pc_stitch_db.hubspot_new.deals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hubspot_platform_data.v2_daily.objects_deals</w:t>
      </w:r>
      <w:r>
        <w:t xml:space="preserve"> </w:t>
      </w:r>
      <w:r>
        <w:t xml:space="preserve">(HubSpot’s own authoritative share, which has no ghost-record drift). The lifetime gap is 345 ghost deals across the full Stitch history.</w:t>
      </w:r>
    </w:p>
    <w:p>
      <w:r>
        <w:pict>
          <v:rect style="width:0;height:1.5pt" o:hralign="center" o:hrstd="t" o:hr="t"/>
        </w:pict>
      </w:r>
    </w:p>
    <w:bookmarkEnd w:id="14"/>
    <w:bookmarkStart w:id="15" w:name="reproduction-queries"/>
    <w:p>
      <w:pPr>
        <w:pStyle w:val="Heading2"/>
      </w:pPr>
      <w:r>
        <w:t xml:space="preserve">Reproduction queries</w:t>
      </w:r>
    </w:p>
    <w:p>
      <w:pPr>
        <w:pStyle w:val="FirstParagraph"/>
      </w:pPr>
      <w:r>
        <w:rPr>
          <w:rStyle w:val="VerbatimChar"/>
        </w:rPr>
        <w:t xml:space="preserve">console.sql</w:t>
      </w:r>
      <w:r>
        <w:t xml:space="preserve"> </w:t>
      </w:r>
      <w:r>
        <w:t xml:space="preserve">(q01–q14) in this directory. Each query is annotated with expected and observed values.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2026-05-06T02:36:55Z</dcterms:created>
  <dcterms:modified xsi:type="dcterms:W3CDTF">2026-05-06T02:36:55Z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