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1977" w14:textId="77777777" w:rsidR="00A81E07" w:rsidRDefault="00490A57">
      <w:pPr>
        <w:jc w:val="center"/>
      </w:pPr>
      <w:r>
        <w:rPr>
          <w:b/>
          <w:color w:val="1F4E79"/>
          <w:sz w:val="36"/>
        </w:rPr>
        <w:t>Mock Wealth Plan: Saving for Child’s Undergraduate Study in Canada</w:t>
      </w:r>
    </w:p>
    <w:p w14:paraId="489F9E8C" w14:textId="77777777" w:rsidR="00A81E07" w:rsidRDefault="00490A57">
      <w:pPr>
        <w:jc w:val="center"/>
      </w:pPr>
      <w:r>
        <w:rPr>
          <w:i/>
          <w:color w:val="5A5A5A"/>
        </w:rPr>
        <w:t>Narrative-rich client-facing draft generated from the revised template</w:t>
      </w:r>
    </w:p>
    <w:p w14:paraId="672A6659" w14:textId="77777777" w:rsidR="00A81E07" w:rsidRDefault="00A81E07"/>
    <w:p w14:paraId="186D6D5E" w14:textId="77777777" w:rsidR="00A81E07" w:rsidRDefault="00490A57">
      <w:r>
        <w:t>This mock wealth plan is prepared for POC demonstration purposes. It is not regulated financial advice and should be reviewed by a qualified adviser before use with a real client.</w:t>
      </w:r>
    </w:p>
    <w:p w14:paraId="0583529C" w14:textId="77777777" w:rsidR="00A81E07" w:rsidRDefault="00490A57">
      <w:pPr>
        <w:pStyle w:val="Heading1"/>
      </w:pPr>
      <w:r>
        <w:t>1. Executive Summary</w:t>
      </w:r>
    </w:p>
    <w:p w14:paraId="238AA3E1" w14:textId="77777777" w:rsidR="00A81E07" w:rsidRDefault="00490A57">
      <w:r>
        <w:t>The family’s objective is to prepare enough money for their 10-year-old child to complete a 4-year undergraduate degree in Canada. Australia is also acceptable as a backup destination, which gives the family useful flexibility if future costs, admissions, or visa conditions change.</w:t>
      </w:r>
    </w:p>
    <w:p w14:paraId="019FF1F8" w14:textId="77777777" w:rsidR="00A81E07" w:rsidRDefault="00490A57">
      <w:r>
        <w:t>Based on the current planning assumptions, the family should target an education fund of approximately VND 6.0 billion. This amount is intended to cover tuition, living expenses, student-related costs, travel, setup costs, inflation, and a foreign-exchange buffer. The figure should be treated as a planning target rather than a fixed guarantee, because actual tuition, cost of living, exchange rates, and the child’s final school choice may change over time.</w:t>
      </w:r>
    </w:p>
    <w:p w14:paraId="3B6DB9E6" w14:textId="77777777" w:rsidR="00A81E07" w:rsidRDefault="00490A57">
      <w:r>
        <w:t>The family has already made a positive start with VND 600 million saved and a current monthly contribution of VND 20 million. However, if this contribution continues unchanged and the education fund earns around 6% per year, the projected fund at university start is approximately VND 3.89 billion. This leaves an estimated funding gap of around VND 2.11 billion, meaning the current plan covers about 65% of the target.</w:t>
      </w:r>
    </w:p>
    <w:p w14:paraId="0D86E72D" w14:textId="77777777" w:rsidR="00A81E07" w:rsidRDefault="00490A57">
      <w:r>
        <w:t>Overall conclusion: The goal is feasible, but the current saving plan needs adjustment. The most important recommendation is to increase the monthly education saving toward approximately VND 36–37 million, ideally using a gradual step-up approach so the increase remains comfortable for the household.</w:t>
      </w:r>
    </w:p>
    <w:tbl>
      <w:tblPr>
        <w:tblStyle w:val="TableGrid"/>
        <w:tblW w:w="0" w:type="auto"/>
        <w:jc w:val="center"/>
        <w:tblLook w:val="04A0" w:firstRow="1" w:lastRow="0" w:firstColumn="1" w:lastColumn="0" w:noHBand="0" w:noVBand="1"/>
      </w:tblPr>
      <w:tblGrid>
        <w:gridCol w:w="5107"/>
        <w:gridCol w:w="5107"/>
      </w:tblGrid>
      <w:tr w:rsidR="00A81E07" w14:paraId="5DA4EDB9" w14:textId="77777777">
        <w:trPr>
          <w:jc w:val="center"/>
        </w:trPr>
        <w:tc>
          <w:tcPr>
            <w:tcW w:w="5112" w:type="dxa"/>
            <w:shd w:val="clear" w:color="auto" w:fill="1F4E78"/>
          </w:tcPr>
          <w:p w14:paraId="3B658D1A" w14:textId="77777777" w:rsidR="00A81E07" w:rsidRDefault="00490A57">
            <w:r>
              <w:rPr>
                <w:b/>
                <w:color w:val="FFFFFF"/>
                <w:sz w:val="17"/>
              </w:rPr>
              <w:t>Summary Item</w:t>
            </w:r>
          </w:p>
        </w:tc>
        <w:tc>
          <w:tcPr>
            <w:tcW w:w="5112" w:type="dxa"/>
            <w:shd w:val="clear" w:color="auto" w:fill="1F4E78"/>
          </w:tcPr>
          <w:p w14:paraId="112A0A54" w14:textId="77777777" w:rsidR="00A81E07" w:rsidRDefault="00490A57">
            <w:r>
              <w:rPr>
                <w:b/>
                <w:color w:val="FFFFFF"/>
                <w:sz w:val="17"/>
              </w:rPr>
              <w:t>Client-Facing Result</w:t>
            </w:r>
          </w:p>
        </w:tc>
      </w:tr>
      <w:tr w:rsidR="00A81E07" w14:paraId="009C85A9" w14:textId="77777777">
        <w:trPr>
          <w:jc w:val="center"/>
        </w:trPr>
        <w:tc>
          <w:tcPr>
            <w:tcW w:w="5112" w:type="dxa"/>
          </w:tcPr>
          <w:p w14:paraId="76A240B9" w14:textId="77777777" w:rsidR="00A81E07" w:rsidRDefault="00490A57">
            <w:r>
              <w:rPr>
                <w:sz w:val="17"/>
              </w:rPr>
              <w:t>Target education fund</w:t>
            </w:r>
          </w:p>
        </w:tc>
        <w:tc>
          <w:tcPr>
            <w:tcW w:w="5112" w:type="dxa"/>
          </w:tcPr>
          <w:p w14:paraId="6ADC3281" w14:textId="77777777" w:rsidR="00A81E07" w:rsidRDefault="00490A57">
            <w:r>
              <w:rPr>
                <w:sz w:val="17"/>
              </w:rPr>
              <w:t>Approx. VND 6.0 billion</w:t>
            </w:r>
          </w:p>
        </w:tc>
      </w:tr>
      <w:tr w:rsidR="00A81E07" w14:paraId="16F78512" w14:textId="77777777">
        <w:trPr>
          <w:jc w:val="center"/>
        </w:trPr>
        <w:tc>
          <w:tcPr>
            <w:tcW w:w="5112" w:type="dxa"/>
          </w:tcPr>
          <w:p w14:paraId="50A6BC11" w14:textId="77777777" w:rsidR="00A81E07" w:rsidRDefault="00490A57">
            <w:r>
              <w:rPr>
                <w:sz w:val="17"/>
              </w:rPr>
              <w:t>Existing education fund</w:t>
            </w:r>
          </w:p>
        </w:tc>
        <w:tc>
          <w:tcPr>
            <w:tcW w:w="5112" w:type="dxa"/>
          </w:tcPr>
          <w:p w14:paraId="6AAEA974" w14:textId="77777777" w:rsidR="00A81E07" w:rsidRDefault="00490A57">
            <w:r>
              <w:rPr>
                <w:sz w:val="17"/>
              </w:rPr>
              <w:t>VND 600 million</w:t>
            </w:r>
          </w:p>
        </w:tc>
      </w:tr>
      <w:tr w:rsidR="00A81E07" w14:paraId="707A0DBC" w14:textId="77777777">
        <w:trPr>
          <w:jc w:val="center"/>
        </w:trPr>
        <w:tc>
          <w:tcPr>
            <w:tcW w:w="5112" w:type="dxa"/>
          </w:tcPr>
          <w:p w14:paraId="2651F7C6" w14:textId="77777777" w:rsidR="00A81E07" w:rsidRDefault="00490A57">
            <w:r>
              <w:rPr>
                <w:sz w:val="17"/>
              </w:rPr>
              <w:t>Current monthly saving</w:t>
            </w:r>
          </w:p>
        </w:tc>
        <w:tc>
          <w:tcPr>
            <w:tcW w:w="5112" w:type="dxa"/>
          </w:tcPr>
          <w:p w14:paraId="6C40EE48" w14:textId="77777777" w:rsidR="00A81E07" w:rsidRDefault="00490A57">
            <w:r>
              <w:rPr>
                <w:sz w:val="17"/>
              </w:rPr>
              <w:t>VND 20 million</w:t>
            </w:r>
          </w:p>
        </w:tc>
      </w:tr>
      <w:tr w:rsidR="00A81E07" w14:paraId="1A1BB3E6" w14:textId="77777777">
        <w:trPr>
          <w:jc w:val="center"/>
        </w:trPr>
        <w:tc>
          <w:tcPr>
            <w:tcW w:w="5112" w:type="dxa"/>
          </w:tcPr>
          <w:p w14:paraId="0F485FA6" w14:textId="77777777" w:rsidR="00A81E07" w:rsidRDefault="00490A57">
            <w:r>
              <w:rPr>
                <w:sz w:val="17"/>
              </w:rPr>
              <w:t>Projected fund at current saving rate</w:t>
            </w:r>
          </w:p>
        </w:tc>
        <w:tc>
          <w:tcPr>
            <w:tcW w:w="5112" w:type="dxa"/>
          </w:tcPr>
          <w:p w14:paraId="670F0A13" w14:textId="77777777" w:rsidR="00A81E07" w:rsidRDefault="00490A57">
            <w:r>
              <w:rPr>
                <w:sz w:val="17"/>
              </w:rPr>
              <w:t>Approx. VND 3.89 billion</w:t>
            </w:r>
          </w:p>
        </w:tc>
      </w:tr>
      <w:tr w:rsidR="00A81E07" w14:paraId="7A455DCB" w14:textId="77777777">
        <w:trPr>
          <w:jc w:val="center"/>
        </w:trPr>
        <w:tc>
          <w:tcPr>
            <w:tcW w:w="5112" w:type="dxa"/>
          </w:tcPr>
          <w:p w14:paraId="3E31DA0B" w14:textId="77777777" w:rsidR="00A81E07" w:rsidRDefault="00490A57">
            <w:r>
              <w:rPr>
                <w:sz w:val="17"/>
              </w:rPr>
              <w:t>Estimated funding gap</w:t>
            </w:r>
          </w:p>
        </w:tc>
        <w:tc>
          <w:tcPr>
            <w:tcW w:w="5112" w:type="dxa"/>
          </w:tcPr>
          <w:p w14:paraId="0BD10DD8" w14:textId="77777777" w:rsidR="00A81E07" w:rsidRDefault="00490A57">
            <w:r>
              <w:rPr>
                <w:sz w:val="17"/>
              </w:rPr>
              <w:t>Approx. VND 2.11 billion</w:t>
            </w:r>
          </w:p>
        </w:tc>
      </w:tr>
      <w:tr w:rsidR="00A81E07" w14:paraId="42FB643A" w14:textId="77777777">
        <w:trPr>
          <w:jc w:val="center"/>
        </w:trPr>
        <w:tc>
          <w:tcPr>
            <w:tcW w:w="5112" w:type="dxa"/>
          </w:tcPr>
          <w:p w14:paraId="59AE583A" w14:textId="77777777" w:rsidR="00A81E07" w:rsidRDefault="00490A57">
            <w:r>
              <w:rPr>
                <w:sz w:val="17"/>
              </w:rPr>
              <w:t>Coverage ratio</w:t>
            </w:r>
          </w:p>
        </w:tc>
        <w:tc>
          <w:tcPr>
            <w:tcW w:w="5112" w:type="dxa"/>
          </w:tcPr>
          <w:p w14:paraId="7EB7576E" w14:textId="77777777" w:rsidR="00A81E07" w:rsidRDefault="00490A57">
            <w:r>
              <w:rPr>
                <w:sz w:val="17"/>
              </w:rPr>
              <w:t>Approx. 65%</w:t>
            </w:r>
          </w:p>
        </w:tc>
      </w:tr>
      <w:tr w:rsidR="00A81E07" w14:paraId="28D66D4D" w14:textId="77777777">
        <w:trPr>
          <w:jc w:val="center"/>
        </w:trPr>
        <w:tc>
          <w:tcPr>
            <w:tcW w:w="5112" w:type="dxa"/>
          </w:tcPr>
          <w:p w14:paraId="75ACF94C" w14:textId="77777777" w:rsidR="00A81E07" w:rsidRDefault="00490A57">
            <w:r>
              <w:rPr>
                <w:sz w:val="17"/>
              </w:rPr>
              <w:t>Recommended monthly saving</w:t>
            </w:r>
          </w:p>
        </w:tc>
        <w:tc>
          <w:tcPr>
            <w:tcW w:w="5112" w:type="dxa"/>
          </w:tcPr>
          <w:p w14:paraId="25C0F04C" w14:textId="77777777" w:rsidR="00A81E07" w:rsidRDefault="00490A57">
            <w:r>
              <w:rPr>
                <w:sz w:val="17"/>
              </w:rPr>
              <w:t>Approx. VND 36–37 million</w:t>
            </w:r>
          </w:p>
        </w:tc>
      </w:tr>
      <w:tr w:rsidR="00A81E07" w14:paraId="35C1A7DB" w14:textId="77777777">
        <w:trPr>
          <w:jc w:val="center"/>
        </w:trPr>
        <w:tc>
          <w:tcPr>
            <w:tcW w:w="5112" w:type="dxa"/>
          </w:tcPr>
          <w:p w14:paraId="6A72EADA" w14:textId="77777777" w:rsidR="00A81E07" w:rsidRDefault="00490A57">
            <w:r>
              <w:rPr>
                <w:sz w:val="17"/>
              </w:rPr>
              <w:t>Plan status</w:t>
            </w:r>
          </w:p>
        </w:tc>
        <w:tc>
          <w:tcPr>
            <w:tcW w:w="5112" w:type="dxa"/>
          </w:tcPr>
          <w:p w14:paraId="090ED744" w14:textId="77777777" w:rsidR="00A81E07" w:rsidRDefault="00490A57">
            <w:r>
              <w:rPr>
                <w:sz w:val="17"/>
              </w:rPr>
              <w:t>Partially on track; feasible with contribution increase and disciplined investment</w:t>
            </w:r>
          </w:p>
        </w:tc>
      </w:tr>
    </w:tbl>
    <w:p w14:paraId="0A37501D" w14:textId="77777777" w:rsidR="00A81E07" w:rsidRDefault="00A81E07"/>
    <w:p w14:paraId="2E4C326D" w14:textId="77777777" w:rsidR="00A81E07" w:rsidRDefault="00490A57">
      <w:pPr>
        <w:pStyle w:val="Heading1"/>
      </w:pPr>
      <w:r>
        <w:t>2. Client and Child Education Profile</w:t>
      </w:r>
    </w:p>
    <w:p w14:paraId="6910C076" w14:textId="77777777" w:rsidR="00A81E07" w:rsidRDefault="00490A57">
      <w:r>
        <w:t>The child is currently 10 years old and in primary school. This creates an estimated preparation period of about 8 years before university entry. This is an important advantage because the family still has time to save regularly, invest with a moderate growth objective, and gradually reduce risk before tuition payments begin.</w:t>
      </w:r>
    </w:p>
    <w:p w14:paraId="43F4599C" w14:textId="77777777" w:rsidR="00A81E07" w:rsidRDefault="00490A57">
      <w:r>
        <w:t>Canada is the preferred destination, while Australia is an acceptable backup. This flexibility is valuable because study-abroad costs can differ significantly by country, city, institution, and program. By keeping a backup destination open, the family can still protect the education goal if costs in the preferred destination rise faster than expected.</w:t>
      </w:r>
    </w:p>
    <w:p w14:paraId="1A95395B" w14:textId="77777777" w:rsidR="00A81E07" w:rsidRDefault="00490A57">
      <w:r>
        <w:lastRenderedPageBreak/>
        <w:t>The target is a strong reputable university, not necessarily a top global university. The likely fields are Business, Economics, or Technology. These choices suggest a medium to medium-high cost profile. The assumed lifestyle is moderate and comfortable, meaning the plan should provide for a realistic student living experience without assuming premium spending.</w:t>
      </w:r>
    </w:p>
    <w:tbl>
      <w:tblPr>
        <w:tblStyle w:val="TableGrid"/>
        <w:tblW w:w="0" w:type="auto"/>
        <w:jc w:val="center"/>
        <w:tblLook w:val="04A0" w:firstRow="1" w:lastRow="0" w:firstColumn="1" w:lastColumn="0" w:noHBand="0" w:noVBand="1"/>
      </w:tblPr>
      <w:tblGrid>
        <w:gridCol w:w="5107"/>
        <w:gridCol w:w="5107"/>
      </w:tblGrid>
      <w:tr w:rsidR="00A81E07" w14:paraId="38C3B819" w14:textId="77777777">
        <w:trPr>
          <w:jc w:val="center"/>
        </w:trPr>
        <w:tc>
          <w:tcPr>
            <w:tcW w:w="5112" w:type="dxa"/>
            <w:shd w:val="clear" w:color="auto" w:fill="1F4E78"/>
          </w:tcPr>
          <w:p w14:paraId="2B8B4B6D" w14:textId="77777777" w:rsidR="00A81E07" w:rsidRDefault="00490A57">
            <w:r>
              <w:rPr>
                <w:b/>
                <w:color w:val="FFFFFF"/>
                <w:sz w:val="17"/>
              </w:rPr>
              <w:t>Profile Area</w:t>
            </w:r>
          </w:p>
        </w:tc>
        <w:tc>
          <w:tcPr>
            <w:tcW w:w="5112" w:type="dxa"/>
            <w:shd w:val="clear" w:color="auto" w:fill="1F4E78"/>
          </w:tcPr>
          <w:p w14:paraId="7560FE20" w14:textId="77777777" w:rsidR="00A81E07" w:rsidRDefault="00490A57">
            <w:r>
              <w:rPr>
                <w:b/>
                <w:color w:val="FFFFFF"/>
                <w:sz w:val="17"/>
              </w:rPr>
              <w:t>Client Profile</w:t>
            </w:r>
          </w:p>
        </w:tc>
      </w:tr>
      <w:tr w:rsidR="00A81E07" w14:paraId="7435679D" w14:textId="77777777">
        <w:trPr>
          <w:jc w:val="center"/>
        </w:trPr>
        <w:tc>
          <w:tcPr>
            <w:tcW w:w="5112" w:type="dxa"/>
          </w:tcPr>
          <w:p w14:paraId="33EAB801" w14:textId="77777777" w:rsidR="00A81E07" w:rsidRDefault="00490A57">
            <w:r>
              <w:rPr>
                <w:sz w:val="17"/>
              </w:rPr>
              <w:t>Child profile</w:t>
            </w:r>
          </w:p>
        </w:tc>
        <w:tc>
          <w:tcPr>
            <w:tcW w:w="5112" w:type="dxa"/>
          </w:tcPr>
          <w:p w14:paraId="1325C80F" w14:textId="77777777" w:rsidR="00A81E07" w:rsidRDefault="00490A57">
            <w:r>
              <w:rPr>
                <w:sz w:val="17"/>
              </w:rPr>
              <w:t>10 years old; primary school; expected undergraduate start in about 8 years</w:t>
            </w:r>
          </w:p>
        </w:tc>
      </w:tr>
      <w:tr w:rsidR="00A81E07" w14:paraId="1E2352DB" w14:textId="77777777">
        <w:trPr>
          <w:jc w:val="center"/>
        </w:trPr>
        <w:tc>
          <w:tcPr>
            <w:tcW w:w="5112" w:type="dxa"/>
          </w:tcPr>
          <w:p w14:paraId="5B08F80D" w14:textId="77777777" w:rsidR="00A81E07" w:rsidRDefault="00490A57">
            <w:r>
              <w:rPr>
                <w:sz w:val="17"/>
              </w:rPr>
              <w:t>Study destination</w:t>
            </w:r>
          </w:p>
        </w:tc>
        <w:tc>
          <w:tcPr>
            <w:tcW w:w="5112" w:type="dxa"/>
          </w:tcPr>
          <w:p w14:paraId="05D97A5C" w14:textId="77777777" w:rsidR="00A81E07" w:rsidRDefault="00490A57">
            <w:r>
              <w:rPr>
                <w:sz w:val="17"/>
              </w:rPr>
              <w:t>Canada preferred; Australia backup; somewhat flexible</w:t>
            </w:r>
          </w:p>
        </w:tc>
      </w:tr>
      <w:tr w:rsidR="00A81E07" w14:paraId="03CCCAAE" w14:textId="77777777">
        <w:trPr>
          <w:jc w:val="center"/>
        </w:trPr>
        <w:tc>
          <w:tcPr>
            <w:tcW w:w="5112" w:type="dxa"/>
          </w:tcPr>
          <w:p w14:paraId="12D3C0E8" w14:textId="77777777" w:rsidR="00A81E07" w:rsidRDefault="00490A57">
            <w:r>
              <w:rPr>
                <w:sz w:val="17"/>
              </w:rPr>
              <w:t>Academic preference</w:t>
            </w:r>
          </w:p>
        </w:tc>
        <w:tc>
          <w:tcPr>
            <w:tcW w:w="5112" w:type="dxa"/>
          </w:tcPr>
          <w:p w14:paraId="1D1C5854" w14:textId="77777777" w:rsidR="00A81E07" w:rsidRDefault="00490A57">
            <w:r>
              <w:rPr>
                <w:sz w:val="17"/>
              </w:rPr>
              <w:t>Strong reputable university; Business/Economics or Technology</w:t>
            </w:r>
          </w:p>
        </w:tc>
      </w:tr>
      <w:tr w:rsidR="00A81E07" w14:paraId="0D2F9998" w14:textId="77777777">
        <w:trPr>
          <w:jc w:val="center"/>
        </w:trPr>
        <w:tc>
          <w:tcPr>
            <w:tcW w:w="5112" w:type="dxa"/>
          </w:tcPr>
          <w:p w14:paraId="6DC4F67A" w14:textId="77777777" w:rsidR="00A81E07" w:rsidRDefault="00490A57">
            <w:r>
              <w:rPr>
                <w:sz w:val="17"/>
              </w:rPr>
              <w:t>Lifestyle assumption</w:t>
            </w:r>
          </w:p>
        </w:tc>
        <w:tc>
          <w:tcPr>
            <w:tcW w:w="5112" w:type="dxa"/>
          </w:tcPr>
          <w:p w14:paraId="6321387A" w14:textId="77777777" w:rsidR="00A81E07" w:rsidRDefault="00490A57">
            <w:r>
              <w:rPr>
                <w:sz w:val="17"/>
              </w:rPr>
              <w:t>Moderate and comfortable</w:t>
            </w:r>
          </w:p>
        </w:tc>
      </w:tr>
      <w:tr w:rsidR="00A81E07" w14:paraId="1C7FF656" w14:textId="77777777">
        <w:trPr>
          <w:jc w:val="center"/>
        </w:trPr>
        <w:tc>
          <w:tcPr>
            <w:tcW w:w="5112" w:type="dxa"/>
          </w:tcPr>
          <w:p w14:paraId="57DBB843" w14:textId="77777777" w:rsidR="00A81E07" w:rsidRDefault="00490A57">
            <w:r>
              <w:rPr>
                <w:sz w:val="17"/>
              </w:rPr>
              <w:t>Household context</w:t>
            </w:r>
          </w:p>
        </w:tc>
        <w:tc>
          <w:tcPr>
            <w:tcW w:w="5112" w:type="dxa"/>
          </w:tcPr>
          <w:p w14:paraId="6EF8995C" w14:textId="77777777" w:rsidR="00A81E07" w:rsidRDefault="00490A57">
            <w:r>
              <w:rPr>
                <w:sz w:val="17"/>
              </w:rPr>
              <w:t>After-tax income VND 160 million/month; living expenses VND 75 million/month; mortgage repayment VND 25 million/month</w:t>
            </w:r>
          </w:p>
        </w:tc>
      </w:tr>
    </w:tbl>
    <w:p w14:paraId="5DAB6C7B" w14:textId="77777777" w:rsidR="00A81E07" w:rsidRDefault="00A81E07"/>
    <w:p w14:paraId="29CD40AF" w14:textId="77777777" w:rsidR="00A81E07" w:rsidRDefault="00490A57">
      <w:pPr>
        <w:pStyle w:val="Heading1"/>
      </w:pPr>
      <w:r>
        <w:t>3. Education Goal and Planning Scope</w:t>
      </w:r>
    </w:p>
    <w:p w14:paraId="2C751677" w14:textId="77777777" w:rsidR="00A81E07" w:rsidRDefault="00490A57">
      <w:r>
        <w:t>The education goal is to accumulate enough money to fully support the child’s 4-year undergraduate study in Canada. The plan is designed to cover more than tuition alone. For a realistic study-abroad plan, the family also needs to prepare for living costs, student insurance, learning materials, local transportation, personal expenses, travel, initial setup costs, visa/admin costs, and buffers for inflation and currency movement.</w:t>
      </w:r>
    </w:p>
    <w:p w14:paraId="3425DF42" w14:textId="77777777" w:rsidR="00A81E07" w:rsidRDefault="00490A57">
      <w:r>
        <w:t>The current plan does not include postgraduate study, migration costs, property purchase abroad, luxury spending, or major uninsured medical events. These items can be added later if the family wants a broader education or migration plan, but excluding them now keeps the target focused and manageable.</w:t>
      </w:r>
    </w:p>
    <w:p w14:paraId="47851A60" w14:textId="77777777" w:rsidR="00A81E07" w:rsidRDefault="00490A57">
      <w:r>
        <w:t>Scholarships and part-time work are treated as helpful upside rather than core funding. This is a conservative approach because scholarships are not guaranteed, and part-time work depends on visa rules, academic workload, and job availability.</w:t>
      </w:r>
    </w:p>
    <w:tbl>
      <w:tblPr>
        <w:tblStyle w:val="TableGrid"/>
        <w:tblW w:w="0" w:type="auto"/>
        <w:jc w:val="center"/>
        <w:tblLook w:val="04A0" w:firstRow="1" w:lastRow="0" w:firstColumn="1" w:lastColumn="0" w:noHBand="0" w:noVBand="1"/>
      </w:tblPr>
      <w:tblGrid>
        <w:gridCol w:w="5107"/>
        <w:gridCol w:w="5107"/>
      </w:tblGrid>
      <w:tr w:rsidR="00A81E07" w14:paraId="7C941B03" w14:textId="77777777">
        <w:trPr>
          <w:jc w:val="center"/>
        </w:trPr>
        <w:tc>
          <w:tcPr>
            <w:tcW w:w="5112" w:type="dxa"/>
            <w:shd w:val="clear" w:color="auto" w:fill="1F4E78"/>
          </w:tcPr>
          <w:p w14:paraId="335E74BC" w14:textId="77777777" w:rsidR="00A81E07" w:rsidRDefault="00490A57">
            <w:r>
              <w:rPr>
                <w:b/>
                <w:color w:val="FFFFFF"/>
                <w:sz w:val="17"/>
              </w:rPr>
              <w:t>Scope Area</w:t>
            </w:r>
          </w:p>
        </w:tc>
        <w:tc>
          <w:tcPr>
            <w:tcW w:w="5112" w:type="dxa"/>
            <w:shd w:val="clear" w:color="auto" w:fill="1F4E78"/>
          </w:tcPr>
          <w:p w14:paraId="5C8855FA" w14:textId="77777777" w:rsidR="00A81E07" w:rsidRDefault="00490A57">
            <w:r>
              <w:rPr>
                <w:b/>
                <w:color w:val="FFFFFF"/>
                <w:sz w:val="17"/>
              </w:rPr>
              <w:t>Client-Facing Plan</w:t>
            </w:r>
          </w:p>
        </w:tc>
      </w:tr>
      <w:tr w:rsidR="00A81E07" w14:paraId="0F29BF5E" w14:textId="77777777">
        <w:trPr>
          <w:jc w:val="center"/>
        </w:trPr>
        <w:tc>
          <w:tcPr>
            <w:tcW w:w="5112" w:type="dxa"/>
          </w:tcPr>
          <w:p w14:paraId="0F0D3F8D" w14:textId="77777777" w:rsidR="00A81E07" w:rsidRDefault="00490A57">
            <w:r>
              <w:rPr>
                <w:sz w:val="17"/>
              </w:rPr>
              <w:t>Goal statement</w:t>
            </w:r>
          </w:p>
        </w:tc>
        <w:tc>
          <w:tcPr>
            <w:tcW w:w="5112" w:type="dxa"/>
          </w:tcPr>
          <w:p w14:paraId="34BF3D5C" w14:textId="77777777" w:rsidR="00A81E07" w:rsidRDefault="00490A57">
            <w:r>
              <w:rPr>
                <w:sz w:val="17"/>
              </w:rPr>
              <w:t>Accumulate approximately VND 6.0 billion to fund 4 years of undergraduate study in Canada starting in about 8 years</w:t>
            </w:r>
          </w:p>
        </w:tc>
      </w:tr>
      <w:tr w:rsidR="00A81E07" w14:paraId="35A631E8" w14:textId="77777777">
        <w:trPr>
          <w:jc w:val="center"/>
        </w:trPr>
        <w:tc>
          <w:tcPr>
            <w:tcW w:w="5112" w:type="dxa"/>
          </w:tcPr>
          <w:p w14:paraId="5686F25A" w14:textId="77777777" w:rsidR="00A81E07" w:rsidRDefault="00490A57">
            <w:r>
              <w:rPr>
                <w:sz w:val="17"/>
              </w:rPr>
              <w:t>Included costs</w:t>
            </w:r>
          </w:p>
        </w:tc>
        <w:tc>
          <w:tcPr>
            <w:tcW w:w="5112" w:type="dxa"/>
          </w:tcPr>
          <w:p w14:paraId="262668BD" w14:textId="77777777" w:rsidR="00A81E07" w:rsidRDefault="00490A57">
            <w:r>
              <w:rPr>
                <w:sz w:val="17"/>
              </w:rPr>
              <w:t>Tuition, living expenses, student insurance, books and supplies, local transport, personal expenses, annual travel, setup cost, visa/admin cost, inflation, FX buffer</w:t>
            </w:r>
          </w:p>
        </w:tc>
      </w:tr>
      <w:tr w:rsidR="00A81E07" w14:paraId="7C80979D" w14:textId="77777777">
        <w:trPr>
          <w:jc w:val="center"/>
        </w:trPr>
        <w:tc>
          <w:tcPr>
            <w:tcW w:w="5112" w:type="dxa"/>
          </w:tcPr>
          <w:p w14:paraId="4A4892D2" w14:textId="77777777" w:rsidR="00A81E07" w:rsidRDefault="00490A57">
            <w:r>
              <w:rPr>
                <w:sz w:val="17"/>
              </w:rPr>
              <w:t>Excluded costs</w:t>
            </w:r>
          </w:p>
        </w:tc>
        <w:tc>
          <w:tcPr>
            <w:tcW w:w="5112" w:type="dxa"/>
          </w:tcPr>
          <w:p w14:paraId="5A9DFAE8" w14:textId="77777777" w:rsidR="00A81E07" w:rsidRDefault="00490A57">
            <w:r>
              <w:rPr>
                <w:sz w:val="17"/>
              </w:rPr>
              <w:t>Postgraduate study, migration costs, property purchase abroad, luxury spending, major uninsured medical events</w:t>
            </w:r>
          </w:p>
        </w:tc>
      </w:tr>
      <w:tr w:rsidR="00A81E07" w14:paraId="492E48A2" w14:textId="77777777">
        <w:trPr>
          <w:jc w:val="center"/>
        </w:trPr>
        <w:tc>
          <w:tcPr>
            <w:tcW w:w="5112" w:type="dxa"/>
          </w:tcPr>
          <w:p w14:paraId="77855C00" w14:textId="77777777" w:rsidR="00A81E07" w:rsidRDefault="00490A57">
            <w:r>
              <w:rPr>
                <w:sz w:val="17"/>
              </w:rPr>
              <w:t>Treatment of scholarships/work</w:t>
            </w:r>
          </w:p>
        </w:tc>
        <w:tc>
          <w:tcPr>
            <w:tcW w:w="5112" w:type="dxa"/>
          </w:tcPr>
          <w:p w14:paraId="7E476456" w14:textId="77777777" w:rsidR="00A81E07" w:rsidRDefault="00490A57">
            <w:r>
              <w:rPr>
                <w:sz w:val="17"/>
              </w:rPr>
              <w:t>Scholarship and part-time work are upside/fallback items, not base-case funding</w:t>
            </w:r>
          </w:p>
        </w:tc>
      </w:tr>
    </w:tbl>
    <w:p w14:paraId="02EB378F" w14:textId="77777777" w:rsidR="00A81E07" w:rsidRDefault="00A81E07"/>
    <w:p w14:paraId="4FDA83A4" w14:textId="77777777" w:rsidR="00A81E07" w:rsidRDefault="00490A57">
      <w:pPr>
        <w:pStyle w:val="Heading1"/>
      </w:pPr>
      <w:r>
        <w:t>4. Study Cost Assumptions and Target Fund</w:t>
      </w:r>
    </w:p>
    <w:p w14:paraId="4C83563A" w14:textId="77777777" w:rsidR="00A81E07" w:rsidRDefault="00490A57">
      <w:r>
        <w:t>The cost estimate starts with an assumed current annual cost of CAD 45,000 in Canada. This consists of CAD 28,000 for tuition, CAD 14,000 for living costs, and CAD 3,000 for other recurring student costs such as insurance, books, local transport, personal expenses, and travel allowance.</w:t>
      </w:r>
    </w:p>
    <w:p w14:paraId="18B7B89F" w14:textId="77777777" w:rsidR="00A81E07" w:rsidRDefault="00490A57">
      <w:r>
        <w:t>Because the child is expected to start university in about 8 years, today’s cost must be inflated to the future study period. A blended inflation assumption of 5% per year is used for this POC. Under this assumption, the estimated 4-year future program cost is approximately CAD 286,500.</w:t>
      </w:r>
    </w:p>
    <w:p w14:paraId="04DA3A00" w14:textId="77777777" w:rsidR="00A81E07" w:rsidRDefault="00490A57">
      <w:r>
        <w:t>The family earns and saves mainly in VND, while the education cost is expected to be in CAD. Therefore, the plan converts the future CAD cost into VND using a planning exchange rate of 1 CAD = VND 19,000 and adds a 10% FX buffer. This results in a rounded target education fund of approximately VND 6.0 billion. The rounded amount is easier to communicate and provides a practical buffer for estimation uncertainty.</w:t>
      </w:r>
    </w:p>
    <w:tbl>
      <w:tblPr>
        <w:tblStyle w:val="TableGrid"/>
        <w:tblW w:w="0" w:type="auto"/>
        <w:jc w:val="center"/>
        <w:tblLook w:val="04A0" w:firstRow="1" w:lastRow="0" w:firstColumn="1" w:lastColumn="0" w:noHBand="0" w:noVBand="1"/>
      </w:tblPr>
      <w:tblGrid>
        <w:gridCol w:w="5107"/>
        <w:gridCol w:w="5107"/>
      </w:tblGrid>
      <w:tr w:rsidR="00A81E07" w14:paraId="7DB75E5C" w14:textId="77777777">
        <w:trPr>
          <w:jc w:val="center"/>
        </w:trPr>
        <w:tc>
          <w:tcPr>
            <w:tcW w:w="5112" w:type="dxa"/>
            <w:shd w:val="clear" w:color="auto" w:fill="1F4E78"/>
          </w:tcPr>
          <w:p w14:paraId="59796301" w14:textId="77777777" w:rsidR="00A81E07" w:rsidRDefault="00490A57">
            <w:r>
              <w:rPr>
                <w:b/>
                <w:color w:val="FFFFFF"/>
                <w:sz w:val="17"/>
              </w:rPr>
              <w:t>Cost / Assumption</w:t>
            </w:r>
          </w:p>
        </w:tc>
        <w:tc>
          <w:tcPr>
            <w:tcW w:w="5112" w:type="dxa"/>
            <w:shd w:val="clear" w:color="auto" w:fill="1F4E78"/>
          </w:tcPr>
          <w:p w14:paraId="08260710" w14:textId="77777777" w:rsidR="00A81E07" w:rsidRDefault="00490A57">
            <w:r>
              <w:rPr>
                <w:b/>
                <w:color w:val="FFFFFF"/>
                <w:sz w:val="17"/>
              </w:rPr>
              <w:t>Client-Facing Estimate</w:t>
            </w:r>
          </w:p>
        </w:tc>
      </w:tr>
      <w:tr w:rsidR="00A81E07" w14:paraId="497A7709" w14:textId="77777777">
        <w:trPr>
          <w:jc w:val="center"/>
        </w:trPr>
        <w:tc>
          <w:tcPr>
            <w:tcW w:w="5112" w:type="dxa"/>
          </w:tcPr>
          <w:p w14:paraId="6E47E241" w14:textId="77777777" w:rsidR="00A81E07" w:rsidRDefault="00490A57">
            <w:r>
              <w:rPr>
                <w:sz w:val="17"/>
              </w:rPr>
              <w:t>Annual tuition</w:t>
            </w:r>
          </w:p>
        </w:tc>
        <w:tc>
          <w:tcPr>
            <w:tcW w:w="5112" w:type="dxa"/>
          </w:tcPr>
          <w:p w14:paraId="2B16F22A" w14:textId="77777777" w:rsidR="00A81E07" w:rsidRDefault="00490A57">
            <w:r>
              <w:rPr>
                <w:sz w:val="17"/>
              </w:rPr>
              <w:t>CAD 28,000 per year</w:t>
            </w:r>
          </w:p>
        </w:tc>
      </w:tr>
      <w:tr w:rsidR="00A81E07" w14:paraId="4F44A611" w14:textId="77777777">
        <w:trPr>
          <w:jc w:val="center"/>
        </w:trPr>
        <w:tc>
          <w:tcPr>
            <w:tcW w:w="5112" w:type="dxa"/>
          </w:tcPr>
          <w:p w14:paraId="4D667032" w14:textId="77777777" w:rsidR="00A81E07" w:rsidRDefault="00490A57">
            <w:r>
              <w:rPr>
                <w:sz w:val="17"/>
              </w:rPr>
              <w:t>Annual living cost</w:t>
            </w:r>
          </w:p>
        </w:tc>
        <w:tc>
          <w:tcPr>
            <w:tcW w:w="5112" w:type="dxa"/>
          </w:tcPr>
          <w:p w14:paraId="0224DF40" w14:textId="77777777" w:rsidR="00A81E07" w:rsidRDefault="00490A57">
            <w:r>
              <w:rPr>
                <w:sz w:val="17"/>
              </w:rPr>
              <w:t>CAD 14,000 per year</w:t>
            </w:r>
          </w:p>
        </w:tc>
      </w:tr>
      <w:tr w:rsidR="00A81E07" w14:paraId="29787CBB" w14:textId="77777777">
        <w:trPr>
          <w:jc w:val="center"/>
        </w:trPr>
        <w:tc>
          <w:tcPr>
            <w:tcW w:w="5112" w:type="dxa"/>
          </w:tcPr>
          <w:p w14:paraId="5B88D566" w14:textId="77777777" w:rsidR="00A81E07" w:rsidRDefault="00490A57">
            <w:r>
              <w:rPr>
                <w:sz w:val="17"/>
              </w:rPr>
              <w:t>Other annual costs</w:t>
            </w:r>
          </w:p>
        </w:tc>
        <w:tc>
          <w:tcPr>
            <w:tcW w:w="5112" w:type="dxa"/>
          </w:tcPr>
          <w:p w14:paraId="51F01469" w14:textId="77777777" w:rsidR="00A81E07" w:rsidRDefault="00490A57">
            <w:r>
              <w:rPr>
                <w:sz w:val="17"/>
              </w:rPr>
              <w:t>CAD 3,000 per year</w:t>
            </w:r>
          </w:p>
        </w:tc>
      </w:tr>
      <w:tr w:rsidR="00A81E07" w14:paraId="2EF8ECA6" w14:textId="77777777">
        <w:trPr>
          <w:jc w:val="center"/>
        </w:trPr>
        <w:tc>
          <w:tcPr>
            <w:tcW w:w="5112" w:type="dxa"/>
          </w:tcPr>
          <w:p w14:paraId="4C6AD18A" w14:textId="77777777" w:rsidR="00A81E07" w:rsidRDefault="00490A57">
            <w:r>
              <w:rPr>
                <w:sz w:val="17"/>
              </w:rPr>
              <w:t>Annual cost today</w:t>
            </w:r>
          </w:p>
        </w:tc>
        <w:tc>
          <w:tcPr>
            <w:tcW w:w="5112" w:type="dxa"/>
          </w:tcPr>
          <w:p w14:paraId="5B97B4F9" w14:textId="77777777" w:rsidR="00A81E07" w:rsidRDefault="00490A57">
            <w:r>
              <w:rPr>
                <w:sz w:val="17"/>
              </w:rPr>
              <w:t>CAD 45,000 per year</w:t>
            </w:r>
          </w:p>
        </w:tc>
      </w:tr>
      <w:tr w:rsidR="00A81E07" w14:paraId="31CF08BC" w14:textId="77777777">
        <w:trPr>
          <w:jc w:val="center"/>
        </w:trPr>
        <w:tc>
          <w:tcPr>
            <w:tcW w:w="5112" w:type="dxa"/>
          </w:tcPr>
          <w:p w14:paraId="30C92433" w14:textId="77777777" w:rsidR="00A81E07" w:rsidRDefault="00490A57">
            <w:r>
              <w:rPr>
                <w:sz w:val="17"/>
              </w:rPr>
              <w:t>Today-value program cost</w:t>
            </w:r>
          </w:p>
        </w:tc>
        <w:tc>
          <w:tcPr>
            <w:tcW w:w="5112" w:type="dxa"/>
          </w:tcPr>
          <w:p w14:paraId="5003EC45" w14:textId="77777777" w:rsidR="00A81E07" w:rsidRDefault="00490A57">
            <w:r>
              <w:rPr>
                <w:sz w:val="17"/>
              </w:rPr>
              <w:t>CAD 180,000 for 4 years</w:t>
            </w:r>
          </w:p>
        </w:tc>
      </w:tr>
      <w:tr w:rsidR="00A81E07" w14:paraId="71AA5BC7" w14:textId="77777777">
        <w:trPr>
          <w:jc w:val="center"/>
        </w:trPr>
        <w:tc>
          <w:tcPr>
            <w:tcW w:w="5112" w:type="dxa"/>
          </w:tcPr>
          <w:p w14:paraId="29E6BBE1" w14:textId="77777777" w:rsidR="00A81E07" w:rsidRDefault="00490A57">
            <w:r>
              <w:rPr>
                <w:sz w:val="17"/>
              </w:rPr>
              <w:t>Inflation assumption</w:t>
            </w:r>
          </w:p>
        </w:tc>
        <w:tc>
          <w:tcPr>
            <w:tcW w:w="5112" w:type="dxa"/>
          </w:tcPr>
          <w:p w14:paraId="40CA18AD" w14:textId="77777777" w:rsidR="00A81E07" w:rsidRDefault="00490A57">
            <w:r>
              <w:rPr>
                <w:sz w:val="17"/>
              </w:rPr>
              <w:t>5% per year blended education/living-cost inflation</w:t>
            </w:r>
          </w:p>
        </w:tc>
      </w:tr>
      <w:tr w:rsidR="00A81E07" w14:paraId="75E87118" w14:textId="77777777">
        <w:trPr>
          <w:jc w:val="center"/>
        </w:trPr>
        <w:tc>
          <w:tcPr>
            <w:tcW w:w="5112" w:type="dxa"/>
          </w:tcPr>
          <w:p w14:paraId="5FA4FD98" w14:textId="77777777" w:rsidR="00A81E07" w:rsidRDefault="00490A57">
            <w:r>
              <w:rPr>
                <w:sz w:val="17"/>
              </w:rPr>
              <w:t>Future program cost</w:t>
            </w:r>
          </w:p>
        </w:tc>
        <w:tc>
          <w:tcPr>
            <w:tcW w:w="5112" w:type="dxa"/>
          </w:tcPr>
          <w:p w14:paraId="67FA358C" w14:textId="77777777" w:rsidR="00A81E07" w:rsidRDefault="00490A57">
            <w:r>
              <w:rPr>
                <w:sz w:val="17"/>
              </w:rPr>
              <w:t>Approx. CAD 286,500</w:t>
            </w:r>
          </w:p>
        </w:tc>
      </w:tr>
      <w:tr w:rsidR="00A81E07" w14:paraId="639B28D4" w14:textId="77777777">
        <w:trPr>
          <w:jc w:val="center"/>
        </w:trPr>
        <w:tc>
          <w:tcPr>
            <w:tcW w:w="5112" w:type="dxa"/>
          </w:tcPr>
          <w:p w14:paraId="668CDBE9" w14:textId="77777777" w:rsidR="00A81E07" w:rsidRDefault="00490A57">
            <w:r>
              <w:rPr>
                <w:sz w:val="17"/>
              </w:rPr>
              <w:t>FX assumption</w:t>
            </w:r>
          </w:p>
        </w:tc>
        <w:tc>
          <w:tcPr>
            <w:tcW w:w="5112" w:type="dxa"/>
          </w:tcPr>
          <w:p w14:paraId="5A957B1D" w14:textId="77777777" w:rsidR="00A81E07" w:rsidRDefault="00490A57">
            <w:r>
              <w:rPr>
                <w:sz w:val="17"/>
              </w:rPr>
              <w:t>1 CAD = VND 19,000</w:t>
            </w:r>
          </w:p>
        </w:tc>
      </w:tr>
      <w:tr w:rsidR="00A81E07" w14:paraId="7ABAA485" w14:textId="77777777">
        <w:trPr>
          <w:jc w:val="center"/>
        </w:trPr>
        <w:tc>
          <w:tcPr>
            <w:tcW w:w="5112" w:type="dxa"/>
          </w:tcPr>
          <w:p w14:paraId="111ADA48" w14:textId="77777777" w:rsidR="00A81E07" w:rsidRDefault="00490A57">
            <w:r>
              <w:rPr>
                <w:sz w:val="17"/>
              </w:rPr>
              <w:t>FX buffer</w:t>
            </w:r>
          </w:p>
        </w:tc>
        <w:tc>
          <w:tcPr>
            <w:tcW w:w="5112" w:type="dxa"/>
          </w:tcPr>
          <w:p w14:paraId="434B6B21" w14:textId="77777777" w:rsidR="00A81E07" w:rsidRDefault="00490A57">
            <w:r>
              <w:rPr>
                <w:sz w:val="17"/>
              </w:rPr>
              <w:t>10%</w:t>
            </w:r>
          </w:p>
        </w:tc>
      </w:tr>
      <w:tr w:rsidR="00A81E07" w14:paraId="3B08E1ED" w14:textId="77777777">
        <w:trPr>
          <w:jc w:val="center"/>
        </w:trPr>
        <w:tc>
          <w:tcPr>
            <w:tcW w:w="5112" w:type="dxa"/>
          </w:tcPr>
          <w:p w14:paraId="123C4BEC" w14:textId="77777777" w:rsidR="00A81E07" w:rsidRDefault="00490A57">
            <w:r>
              <w:rPr>
                <w:sz w:val="17"/>
              </w:rPr>
              <w:t>Final rounded target</w:t>
            </w:r>
          </w:p>
        </w:tc>
        <w:tc>
          <w:tcPr>
            <w:tcW w:w="5112" w:type="dxa"/>
          </w:tcPr>
          <w:p w14:paraId="33ADA126" w14:textId="77777777" w:rsidR="00A81E07" w:rsidRDefault="00490A57">
            <w:r>
              <w:rPr>
                <w:sz w:val="17"/>
              </w:rPr>
              <w:t>Approx. VND 6.0 billion</w:t>
            </w:r>
          </w:p>
        </w:tc>
      </w:tr>
    </w:tbl>
    <w:p w14:paraId="6A05A809" w14:textId="77777777" w:rsidR="00A81E07" w:rsidRDefault="00A81E07"/>
    <w:p w14:paraId="3D9C1103" w14:textId="77777777" w:rsidR="00A81E07" w:rsidRDefault="00490A57">
      <w:pPr>
        <w:pStyle w:val="Heading1"/>
      </w:pPr>
      <w:r>
        <w:t>5. Current Financial Position</w:t>
      </w:r>
    </w:p>
    <w:p w14:paraId="368AF7EF" w14:textId="77777777" w:rsidR="00A81E07" w:rsidRDefault="00490A57">
      <w:r>
        <w:t>The family has already accumulated VND 600 million for the education goal. This is a meaningful starting point, especially because the child still has around 8 years before university. However, the current fund is relatively conservative, with a large portion in term deposits. This provides safety and liquidity but may not generate enough growth to close the funding gap without higher monthly contributions.</w:t>
      </w:r>
    </w:p>
    <w:p w14:paraId="5019E2BF" w14:textId="77777777" w:rsidR="00A81E07" w:rsidRDefault="00490A57">
      <w:r>
        <w:t>The household cash flow is healthy. Monthly after-tax income is VND 160 million, while living expenses are VND 75 million and mortgage repayment is VND 25 million. This leaves VND 60 million of surplus before education saving. After the current VND 20 million monthly education contribution, the family still has about VND 40 million surplus.</w:t>
      </w:r>
    </w:p>
    <w:p w14:paraId="48E5C5D6" w14:textId="77777777" w:rsidR="00A81E07" w:rsidRDefault="00490A57">
      <w:r>
        <w:t>This positive surplus is the main reason the goal is considered feasible with adjustment. Increasing the monthly contribution to around VND 36–37 million would still leave an estimated monthly surplus of about VND 23 million. However, because the family also has a mortgage and insurance adequacy is uncertain, the education plan should be supported by a stronger protection review.</w:t>
      </w:r>
    </w:p>
    <w:tbl>
      <w:tblPr>
        <w:tblStyle w:val="TableGrid"/>
        <w:tblW w:w="0" w:type="auto"/>
        <w:jc w:val="center"/>
        <w:tblLook w:val="04A0" w:firstRow="1" w:lastRow="0" w:firstColumn="1" w:lastColumn="0" w:noHBand="0" w:noVBand="1"/>
      </w:tblPr>
      <w:tblGrid>
        <w:gridCol w:w="5107"/>
        <w:gridCol w:w="5107"/>
      </w:tblGrid>
      <w:tr w:rsidR="00A81E07" w14:paraId="1953165B" w14:textId="77777777">
        <w:trPr>
          <w:jc w:val="center"/>
        </w:trPr>
        <w:tc>
          <w:tcPr>
            <w:tcW w:w="5112" w:type="dxa"/>
            <w:shd w:val="clear" w:color="auto" w:fill="1F4E78"/>
          </w:tcPr>
          <w:p w14:paraId="636423D1" w14:textId="77777777" w:rsidR="00A81E07" w:rsidRDefault="00490A57">
            <w:r>
              <w:rPr>
                <w:b/>
                <w:color w:val="FFFFFF"/>
                <w:sz w:val="17"/>
              </w:rPr>
              <w:t>Area</w:t>
            </w:r>
          </w:p>
        </w:tc>
        <w:tc>
          <w:tcPr>
            <w:tcW w:w="5112" w:type="dxa"/>
            <w:shd w:val="clear" w:color="auto" w:fill="1F4E78"/>
          </w:tcPr>
          <w:p w14:paraId="5DEF9CCE" w14:textId="77777777" w:rsidR="00A81E07" w:rsidRDefault="00490A57">
            <w:r>
              <w:rPr>
                <w:b/>
                <w:color w:val="FFFFFF"/>
                <w:sz w:val="17"/>
              </w:rPr>
              <w:t>Client-Facing Assessment</w:t>
            </w:r>
          </w:p>
        </w:tc>
      </w:tr>
      <w:tr w:rsidR="00A81E07" w14:paraId="2A2AC22F" w14:textId="77777777">
        <w:trPr>
          <w:jc w:val="center"/>
        </w:trPr>
        <w:tc>
          <w:tcPr>
            <w:tcW w:w="5112" w:type="dxa"/>
          </w:tcPr>
          <w:p w14:paraId="6C9AFCBA" w14:textId="77777777" w:rsidR="00A81E07" w:rsidRDefault="00490A57">
            <w:r>
              <w:rPr>
                <w:sz w:val="17"/>
              </w:rPr>
              <w:t>Existing education fund</w:t>
            </w:r>
          </w:p>
        </w:tc>
        <w:tc>
          <w:tcPr>
            <w:tcW w:w="5112" w:type="dxa"/>
          </w:tcPr>
          <w:p w14:paraId="3C473675" w14:textId="77777777" w:rsidR="00A81E07" w:rsidRDefault="00490A57">
            <w:r>
              <w:rPr>
                <w:sz w:val="17"/>
              </w:rPr>
              <w:t>VND 600 million saved for education</w:t>
            </w:r>
          </w:p>
        </w:tc>
      </w:tr>
      <w:tr w:rsidR="00A81E07" w14:paraId="2D7B93C5" w14:textId="77777777">
        <w:trPr>
          <w:jc w:val="center"/>
        </w:trPr>
        <w:tc>
          <w:tcPr>
            <w:tcW w:w="5112" w:type="dxa"/>
          </w:tcPr>
          <w:p w14:paraId="7486748D" w14:textId="77777777" w:rsidR="00A81E07" w:rsidRDefault="00490A57">
            <w:r>
              <w:rPr>
                <w:sz w:val="17"/>
              </w:rPr>
              <w:t>Fund composition</w:t>
            </w:r>
          </w:p>
        </w:tc>
        <w:tc>
          <w:tcPr>
            <w:tcW w:w="5112" w:type="dxa"/>
          </w:tcPr>
          <w:p w14:paraId="046747F3" w14:textId="77777777" w:rsidR="00A81E07" w:rsidRDefault="00490A57">
            <w:r>
              <w:rPr>
                <w:sz w:val="17"/>
              </w:rPr>
              <w:t>VND 400 million term deposit; VND 100 million mutual fund; VND 100 million equivalent USD account</w:t>
            </w:r>
          </w:p>
        </w:tc>
      </w:tr>
      <w:tr w:rsidR="00A81E07" w14:paraId="60CDEDD0" w14:textId="77777777">
        <w:trPr>
          <w:jc w:val="center"/>
        </w:trPr>
        <w:tc>
          <w:tcPr>
            <w:tcW w:w="5112" w:type="dxa"/>
          </w:tcPr>
          <w:p w14:paraId="2BE1BF5A" w14:textId="77777777" w:rsidR="00A81E07" w:rsidRDefault="00490A57">
            <w:r>
              <w:rPr>
                <w:sz w:val="17"/>
              </w:rPr>
              <w:t>Fund quality</w:t>
            </w:r>
          </w:p>
        </w:tc>
        <w:tc>
          <w:tcPr>
            <w:tcW w:w="5112" w:type="dxa"/>
          </w:tcPr>
          <w:p w14:paraId="6FC5034F" w14:textId="77777777" w:rsidR="00A81E07" w:rsidRDefault="00490A57">
            <w:r>
              <w:rPr>
                <w:sz w:val="17"/>
              </w:rPr>
              <w:t>Liquid and relatively conservative; current expected return may be lower than required for the goal</w:t>
            </w:r>
          </w:p>
        </w:tc>
      </w:tr>
      <w:tr w:rsidR="00A81E07" w14:paraId="65BB8788" w14:textId="77777777">
        <w:trPr>
          <w:jc w:val="center"/>
        </w:trPr>
        <w:tc>
          <w:tcPr>
            <w:tcW w:w="5112" w:type="dxa"/>
          </w:tcPr>
          <w:p w14:paraId="5496E1C9" w14:textId="77777777" w:rsidR="00A81E07" w:rsidRDefault="00490A57">
            <w:r>
              <w:rPr>
                <w:sz w:val="17"/>
              </w:rPr>
              <w:t>Savings behavior</w:t>
            </w:r>
          </w:p>
        </w:tc>
        <w:tc>
          <w:tcPr>
            <w:tcW w:w="5112" w:type="dxa"/>
          </w:tcPr>
          <w:p w14:paraId="3E8A48B1" w14:textId="77777777" w:rsidR="00A81E07" w:rsidRDefault="00490A57">
            <w:r>
              <w:rPr>
                <w:sz w:val="17"/>
              </w:rPr>
              <w:t>VND 20 million/month, equal to VND 240 million/year</w:t>
            </w:r>
          </w:p>
        </w:tc>
      </w:tr>
      <w:tr w:rsidR="00A81E07" w14:paraId="1D851CED" w14:textId="77777777">
        <w:trPr>
          <w:jc w:val="center"/>
        </w:trPr>
        <w:tc>
          <w:tcPr>
            <w:tcW w:w="5112" w:type="dxa"/>
          </w:tcPr>
          <w:p w14:paraId="50B83557" w14:textId="77777777" w:rsidR="00A81E07" w:rsidRDefault="00490A57">
            <w:r>
              <w:rPr>
                <w:sz w:val="17"/>
              </w:rPr>
              <w:t>Cash flow</w:t>
            </w:r>
          </w:p>
        </w:tc>
        <w:tc>
          <w:tcPr>
            <w:tcW w:w="5112" w:type="dxa"/>
          </w:tcPr>
          <w:p w14:paraId="3EDAAD8A" w14:textId="77777777" w:rsidR="00A81E07" w:rsidRDefault="00490A57">
            <w:r>
              <w:rPr>
                <w:sz w:val="17"/>
              </w:rPr>
              <w:t>VND 160 million income - VND 75 million expenses - VND 25 million debt = VND 60 million surplus before education saving</w:t>
            </w:r>
          </w:p>
        </w:tc>
      </w:tr>
      <w:tr w:rsidR="00A81E07" w14:paraId="1BD7C8D4" w14:textId="77777777">
        <w:trPr>
          <w:jc w:val="center"/>
        </w:trPr>
        <w:tc>
          <w:tcPr>
            <w:tcW w:w="5112" w:type="dxa"/>
          </w:tcPr>
          <w:p w14:paraId="3B332CA7" w14:textId="77777777" w:rsidR="00A81E07" w:rsidRDefault="00490A57">
            <w:r>
              <w:rPr>
                <w:sz w:val="17"/>
              </w:rPr>
              <w:t>After current saving</w:t>
            </w:r>
          </w:p>
        </w:tc>
        <w:tc>
          <w:tcPr>
            <w:tcW w:w="5112" w:type="dxa"/>
          </w:tcPr>
          <w:p w14:paraId="46401782" w14:textId="77777777" w:rsidR="00A81E07" w:rsidRDefault="00490A57">
            <w:r>
              <w:rPr>
                <w:sz w:val="17"/>
              </w:rPr>
              <w:t>Approx. VND 40 million surplus remains after VND 20 million education saving</w:t>
            </w:r>
          </w:p>
        </w:tc>
      </w:tr>
      <w:tr w:rsidR="00A81E07" w14:paraId="2C84FD14" w14:textId="77777777">
        <w:trPr>
          <w:jc w:val="center"/>
        </w:trPr>
        <w:tc>
          <w:tcPr>
            <w:tcW w:w="5112" w:type="dxa"/>
          </w:tcPr>
          <w:p w14:paraId="2FA9274D" w14:textId="77777777" w:rsidR="00A81E07" w:rsidRDefault="00490A57">
            <w:r>
              <w:rPr>
                <w:sz w:val="17"/>
              </w:rPr>
              <w:t>Protection position</w:t>
            </w:r>
          </w:p>
        </w:tc>
        <w:tc>
          <w:tcPr>
            <w:tcW w:w="5112" w:type="dxa"/>
          </w:tcPr>
          <w:p w14:paraId="0D1D1965" w14:textId="77777777" w:rsidR="00A81E07" w:rsidRDefault="00490A57">
            <w:r>
              <w:rPr>
                <w:sz w:val="17"/>
              </w:rPr>
              <w:t>Emergency fund around 6 months; insurance coverage exists but should be reviewed</w:t>
            </w:r>
          </w:p>
        </w:tc>
      </w:tr>
    </w:tbl>
    <w:p w14:paraId="5A39BBE3" w14:textId="77777777" w:rsidR="00A81E07" w:rsidRDefault="00A81E07"/>
    <w:p w14:paraId="29A304B2" w14:textId="77777777" w:rsidR="00A81E07" w:rsidRDefault="00490A57">
      <w:pPr>
        <w:pStyle w:val="Heading1"/>
      </w:pPr>
      <w:r>
        <w:t>6. Funding Gap Analysis</w:t>
      </w:r>
    </w:p>
    <w:p w14:paraId="45BF8C90" w14:textId="77777777" w:rsidR="00A81E07" w:rsidRDefault="00490A57">
      <w:r>
        <w:t>The funding analysis compares the required target fund with the amount the family is likely to accumulate under the current saving plan. The target is approximately VND 6.0 billion. If the family continues saving VND 20 million per month and earns an average return of 6% per year, the projected fund is approximately VND 3.89 billion.</w:t>
      </w:r>
    </w:p>
    <w:p w14:paraId="310AE1D1" w14:textId="77777777" w:rsidR="00A81E07" w:rsidRDefault="00490A57">
      <w:r>
        <w:t>This creates a funding gap of approximately VND 2.11 billion. In practical terms, the current plan is not failing, but it is underfunded. The family has built a strong foundation, but the monthly contribution needs to increase to match the ambition of a fully funded Canada undergraduate plan.</w:t>
      </w:r>
    </w:p>
    <w:p w14:paraId="4DC9432D" w14:textId="77777777" w:rsidR="00A81E07" w:rsidRDefault="00490A57">
      <w:r>
        <w:t>Without investment return, the family would need to save about VND 56.25 million per month. With a 6% annual return assumption, the required monthly saving reduces to approximately VND 36–37 million. This demonstrates why both disciplined saving and suitable investment growth are important.</w:t>
      </w:r>
    </w:p>
    <w:tbl>
      <w:tblPr>
        <w:tblStyle w:val="TableGrid"/>
        <w:tblW w:w="0" w:type="auto"/>
        <w:jc w:val="center"/>
        <w:tblLook w:val="04A0" w:firstRow="1" w:lastRow="0" w:firstColumn="1" w:lastColumn="0" w:noHBand="0" w:noVBand="1"/>
      </w:tblPr>
      <w:tblGrid>
        <w:gridCol w:w="5107"/>
        <w:gridCol w:w="5107"/>
      </w:tblGrid>
      <w:tr w:rsidR="00A81E07" w14:paraId="0C3AEDAD" w14:textId="77777777">
        <w:trPr>
          <w:jc w:val="center"/>
        </w:trPr>
        <w:tc>
          <w:tcPr>
            <w:tcW w:w="5112" w:type="dxa"/>
            <w:shd w:val="clear" w:color="auto" w:fill="1F4E78"/>
          </w:tcPr>
          <w:p w14:paraId="1AABCD1F" w14:textId="77777777" w:rsidR="00A81E07" w:rsidRDefault="00490A57">
            <w:r>
              <w:rPr>
                <w:b/>
                <w:color w:val="FFFFFF"/>
                <w:sz w:val="17"/>
              </w:rPr>
              <w:t>Funding Metric</w:t>
            </w:r>
          </w:p>
        </w:tc>
        <w:tc>
          <w:tcPr>
            <w:tcW w:w="5112" w:type="dxa"/>
            <w:shd w:val="clear" w:color="auto" w:fill="1F4E78"/>
          </w:tcPr>
          <w:p w14:paraId="3D80699F" w14:textId="77777777" w:rsidR="00A81E07" w:rsidRDefault="00490A57">
            <w:r>
              <w:rPr>
                <w:b/>
                <w:color w:val="FFFFFF"/>
                <w:sz w:val="17"/>
              </w:rPr>
              <w:t>Client-Facing Result</w:t>
            </w:r>
          </w:p>
        </w:tc>
      </w:tr>
      <w:tr w:rsidR="00A81E07" w14:paraId="29E1A582" w14:textId="77777777">
        <w:trPr>
          <w:jc w:val="center"/>
        </w:trPr>
        <w:tc>
          <w:tcPr>
            <w:tcW w:w="5112" w:type="dxa"/>
          </w:tcPr>
          <w:p w14:paraId="78862E94" w14:textId="77777777" w:rsidR="00A81E07" w:rsidRDefault="00490A57">
            <w:r>
              <w:rPr>
                <w:sz w:val="17"/>
              </w:rPr>
              <w:t>Target fund</w:t>
            </w:r>
          </w:p>
        </w:tc>
        <w:tc>
          <w:tcPr>
            <w:tcW w:w="5112" w:type="dxa"/>
          </w:tcPr>
          <w:p w14:paraId="746ADF47" w14:textId="77777777" w:rsidR="00A81E07" w:rsidRDefault="00490A57">
            <w:r>
              <w:rPr>
                <w:sz w:val="17"/>
              </w:rPr>
              <w:t>Approx. VND 6.0 billion</w:t>
            </w:r>
          </w:p>
        </w:tc>
      </w:tr>
      <w:tr w:rsidR="00A81E07" w14:paraId="383D0D8C" w14:textId="77777777">
        <w:trPr>
          <w:jc w:val="center"/>
        </w:trPr>
        <w:tc>
          <w:tcPr>
            <w:tcW w:w="5112" w:type="dxa"/>
          </w:tcPr>
          <w:p w14:paraId="6242ACC0" w14:textId="77777777" w:rsidR="00A81E07" w:rsidRDefault="00490A57">
            <w:r>
              <w:rPr>
                <w:sz w:val="17"/>
              </w:rPr>
              <w:t>Projected fund</w:t>
            </w:r>
          </w:p>
        </w:tc>
        <w:tc>
          <w:tcPr>
            <w:tcW w:w="5112" w:type="dxa"/>
          </w:tcPr>
          <w:p w14:paraId="5CB67F26" w14:textId="77777777" w:rsidR="00A81E07" w:rsidRDefault="00490A57">
            <w:r>
              <w:rPr>
                <w:sz w:val="17"/>
              </w:rPr>
              <w:t>Approx. VND 3.89 billion</w:t>
            </w:r>
          </w:p>
        </w:tc>
      </w:tr>
      <w:tr w:rsidR="00A81E07" w14:paraId="75C6EC9F" w14:textId="77777777">
        <w:trPr>
          <w:jc w:val="center"/>
        </w:trPr>
        <w:tc>
          <w:tcPr>
            <w:tcW w:w="5112" w:type="dxa"/>
          </w:tcPr>
          <w:p w14:paraId="33E70789" w14:textId="77777777" w:rsidR="00A81E07" w:rsidRDefault="00490A57">
            <w:r>
              <w:rPr>
                <w:sz w:val="17"/>
              </w:rPr>
              <w:t>Funding gap</w:t>
            </w:r>
          </w:p>
        </w:tc>
        <w:tc>
          <w:tcPr>
            <w:tcW w:w="5112" w:type="dxa"/>
          </w:tcPr>
          <w:p w14:paraId="746A6647" w14:textId="77777777" w:rsidR="00A81E07" w:rsidRDefault="00490A57">
            <w:r>
              <w:rPr>
                <w:sz w:val="17"/>
              </w:rPr>
              <w:t>Approx. VND 2.11 billion</w:t>
            </w:r>
          </w:p>
        </w:tc>
      </w:tr>
      <w:tr w:rsidR="00A81E07" w14:paraId="185804B1" w14:textId="77777777">
        <w:trPr>
          <w:jc w:val="center"/>
        </w:trPr>
        <w:tc>
          <w:tcPr>
            <w:tcW w:w="5112" w:type="dxa"/>
          </w:tcPr>
          <w:p w14:paraId="3C45E4FE" w14:textId="77777777" w:rsidR="00A81E07" w:rsidRDefault="00490A57">
            <w:r>
              <w:rPr>
                <w:sz w:val="17"/>
              </w:rPr>
              <w:t>Coverage ratio</w:t>
            </w:r>
          </w:p>
        </w:tc>
        <w:tc>
          <w:tcPr>
            <w:tcW w:w="5112" w:type="dxa"/>
          </w:tcPr>
          <w:p w14:paraId="694B3B4A" w14:textId="77777777" w:rsidR="00A81E07" w:rsidRDefault="00490A57">
            <w:r>
              <w:rPr>
                <w:sz w:val="17"/>
              </w:rPr>
              <w:t>Approx. 65%</w:t>
            </w:r>
          </w:p>
        </w:tc>
      </w:tr>
      <w:tr w:rsidR="00A81E07" w14:paraId="2EE7380B" w14:textId="77777777">
        <w:trPr>
          <w:jc w:val="center"/>
        </w:trPr>
        <w:tc>
          <w:tcPr>
            <w:tcW w:w="5112" w:type="dxa"/>
          </w:tcPr>
          <w:p w14:paraId="07336B7E" w14:textId="77777777" w:rsidR="00A81E07" w:rsidRDefault="00490A57">
            <w:r>
              <w:rPr>
                <w:sz w:val="17"/>
              </w:rPr>
              <w:t>Required monthly saving without return</w:t>
            </w:r>
          </w:p>
        </w:tc>
        <w:tc>
          <w:tcPr>
            <w:tcW w:w="5112" w:type="dxa"/>
          </w:tcPr>
          <w:p w14:paraId="42D3113B" w14:textId="77777777" w:rsidR="00A81E07" w:rsidRDefault="00490A57">
            <w:r>
              <w:rPr>
                <w:sz w:val="17"/>
              </w:rPr>
              <w:t>Approx. VND 56.25 million/month</w:t>
            </w:r>
          </w:p>
        </w:tc>
      </w:tr>
      <w:tr w:rsidR="00A81E07" w14:paraId="60106A3D" w14:textId="77777777">
        <w:trPr>
          <w:jc w:val="center"/>
        </w:trPr>
        <w:tc>
          <w:tcPr>
            <w:tcW w:w="5112" w:type="dxa"/>
          </w:tcPr>
          <w:p w14:paraId="2D2078CD" w14:textId="77777777" w:rsidR="00A81E07" w:rsidRDefault="00490A57">
            <w:r>
              <w:rPr>
                <w:sz w:val="17"/>
              </w:rPr>
              <w:t>Required monthly saving with 6% return</w:t>
            </w:r>
          </w:p>
        </w:tc>
        <w:tc>
          <w:tcPr>
            <w:tcW w:w="5112" w:type="dxa"/>
          </w:tcPr>
          <w:p w14:paraId="34D8D36B" w14:textId="77777777" w:rsidR="00A81E07" w:rsidRDefault="00490A57">
            <w:r>
              <w:rPr>
                <w:sz w:val="17"/>
              </w:rPr>
              <w:t>Approx. VND 36–37 million/month</w:t>
            </w:r>
          </w:p>
        </w:tc>
      </w:tr>
      <w:tr w:rsidR="00A81E07" w14:paraId="3E1B4AAE" w14:textId="77777777">
        <w:trPr>
          <w:jc w:val="center"/>
        </w:trPr>
        <w:tc>
          <w:tcPr>
            <w:tcW w:w="5112" w:type="dxa"/>
          </w:tcPr>
          <w:p w14:paraId="208D1211" w14:textId="77777777" w:rsidR="00A81E07" w:rsidRDefault="00490A57">
            <w:r>
              <w:rPr>
                <w:sz w:val="17"/>
              </w:rPr>
              <w:t>Feasibility rating</w:t>
            </w:r>
          </w:p>
        </w:tc>
        <w:tc>
          <w:tcPr>
            <w:tcW w:w="5112" w:type="dxa"/>
          </w:tcPr>
          <w:p w14:paraId="79DF6D37" w14:textId="77777777" w:rsidR="00A81E07" w:rsidRDefault="00490A57">
            <w:r>
              <w:rPr>
                <w:sz w:val="17"/>
              </w:rPr>
              <w:t>Feasible with adjustment</w:t>
            </w:r>
          </w:p>
        </w:tc>
      </w:tr>
    </w:tbl>
    <w:p w14:paraId="41C8F396" w14:textId="77777777" w:rsidR="00A81E07" w:rsidRDefault="00A81E07"/>
    <w:p w14:paraId="68F80451" w14:textId="77777777" w:rsidR="00A81E07" w:rsidRDefault="00490A57">
      <w:pPr>
        <w:pStyle w:val="Heading1"/>
      </w:pPr>
      <w:r>
        <w:t>7. Recommended Saving and Investment Strategy</w:t>
      </w:r>
    </w:p>
    <w:p w14:paraId="747542DC" w14:textId="77777777" w:rsidR="00A81E07" w:rsidRDefault="00490A57">
      <w:r>
        <w:t>The recommended strategy is to increase monthly saving gradually while investing the education fund in a moderate balanced portfolio. The family’s risk profile supports this approach: they have basic investment experience, moderate risk tolerance, and are willing to hold through temporary market declines.</w:t>
      </w:r>
    </w:p>
    <w:p w14:paraId="5449DA93" w14:textId="77777777" w:rsidR="00A81E07" w:rsidRDefault="00490A57">
      <w:r>
        <w:t>A practical contribution path is to increase monthly saving from VND 20 million to VND 30 million for the next 12 months, then move toward VND 37 million from year 2 onward. This avoids a sudden jump while still moving the plan toward the required funding level.</w:t>
      </w:r>
    </w:p>
    <w:p w14:paraId="2EADC4C7" w14:textId="77777777" w:rsidR="00A81E07" w:rsidRDefault="00490A57">
      <w:r>
        <w:t>The investment strategy should follow a glidepath. In the early years, the portfolio can include more growth assets because the family has time to recover from market volatility. As the child approaches university age, the portfolio should gradually shift toward fixed income, deposits, money market funds, and destination-currency reserves. This reduces the risk of a market downturn just before tuition payments begin.</w:t>
      </w:r>
    </w:p>
    <w:tbl>
      <w:tblPr>
        <w:tblStyle w:val="TableGrid"/>
        <w:tblW w:w="0" w:type="auto"/>
        <w:jc w:val="center"/>
        <w:tblLook w:val="04A0" w:firstRow="1" w:lastRow="0" w:firstColumn="1" w:lastColumn="0" w:noHBand="0" w:noVBand="1"/>
      </w:tblPr>
      <w:tblGrid>
        <w:gridCol w:w="5107"/>
        <w:gridCol w:w="5107"/>
      </w:tblGrid>
      <w:tr w:rsidR="00A81E07" w14:paraId="6CBC9E36" w14:textId="77777777">
        <w:trPr>
          <w:jc w:val="center"/>
        </w:trPr>
        <w:tc>
          <w:tcPr>
            <w:tcW w:w="5112" w:type="dxa"/>
            <w:shd w:val="clear" w:color="auto" w:fill="1F4E78"/>
          </w:tcPr>
          <w:p w14:paraId="3B429154" w14:textId="77777777" w:rsidR="00A81E07" w:rsidRDefault="00490A57">
            <w:r>
              <w:rPr>
                <w:b/>
                <w:color w:val="FFFFFF"/>
                <w:sz w:val="17"/>
              </w:rPr>
              <w:t>Strategy Area</w:t>
            </w:r>
          </w:p>
        </w:tc>
        <w:tc>
          <w:tcPr>
            <w:tcW w:w="5112" w:type="dxa"/>
            <w:shd w:val="clear" w:color="auto" w:fill="1F4E78"/>
          </w:tcPr>
          <w:p w14:paraId="12D1F924" w14:textId="77777777" w:rsidR="00A81E07" w:rsidRDefault="00490A57">
            <w:r>
              <w:rPr>
                <w:b/>
                <w:color w:val="FFFFFF"/>
                <w:sz w:val="17"/>
              </w:rPr>
              <w:t>Client-Facing Recommendation</w:t>
            </w:r>
          </w:p>
        </w:tc>
      </w:tr>
      <w:tr w:rsidR="00A81E07" w14:paraId="193B114D" w14:textId="77777777">
        <w:trPr>
          <w:jc w:val="center"/>
        </w:trPr>
        <w:tc>
          <w:tcPr>
            <w:tcW w:w="5112" w:type="dxa"/>
          </w:tcPr>
          <w:p w14:paraId="56BA8786" w14:textId="77777777" w:rsidR="00A81E07" w:rsidRDefault="00490A57">
            <w:r>
              <w:rPr>
                <w:sz w:val="17"/>
              </w:rPr>
              <w:t>Monthly saving recommendation</w:t>
            </w:r>
          </w:p>
        </w:tc>
        <w:tc>
          <w:tcPr>
            <w:tcW w:w="5112" w:type="dxa"/>
          </w:tcPr>
          <w:p w14:paraId="6E6389C7" w14:textId="77777777" w:rsidR="00A81E07" w:rsidRDefault="00490A57">
            <w:r>
              <w:rPr>
                <w:sz w:val="17"/>
              </w:rPr>
              <w:t>Step up from VND 20 million to VND 30 million, then toward VND 36–37 million/month</w:t>
            </w:r>
          </w:p>
        </w:tc>
      </w:tr>
      <w:tr w:rsidR="00A81E07" w14:paraId="3FAD2A6F" w14:textId="77777777">
        <w:trPr>
          <w:jc w:val="center"/>
        </w:trPr>
        <w:tc>
          <w:tcPr>
            <w:tcW w:w="5112" w:type="dxa"/>
          </w:tcPr>
          <w:p w14:paraId="1B0303BE" w14:textId="77777777" w:rsidR="00A81E07" w:rsidRDefault="00490A57">
            <w:r>
              <w:rPr>
                <w:sz w:val="17"/>
              </w:rPr>
              <w:t>Risk profile</w:t>
            </w:r>
          </w:p>
        </w:tc>
        <w:tc>
          <w:tcPr>
            <w:tcW w:w="5112" w:type="dxa"/>
          </w:tcPr>
          <w:p w14:paraId="78D8BF8E" w14:textId="77777777" w:rsidR="00A81E07" w:rsidRDefault="00490A57">
            <w:r>
              <w:rPr>
                <w:sz w:val="17"/>
              </w:rPr>
              <w:t>Moderate risk profile with reasonable 5–7% return expectation</w:t>
            </w:r>
          </w:p>
        </w:tc>
      </w:tr>
      <w:tr w:rsidR="00A81E07" w14:paraId="1C0B0795" w14:textId="77777777">
        <w:trPr>
          <w:jc w:val="center"/>
        </w:trPr>
        <w:tc>
          <w:tcPr>
            <w:tcW w:w="5112" w:type="dxa"/>
          </w:tcPr>
          <w:p w14:paraId="41596C71" w14:textId="77777777" w:rsidR="00A81E07" w:rsidRDefault="00490A57">
            <w:r>
              <w:rPr>
                <w:sz w:val="17"/>
              </w:rPr>
              <w:t>Portfolio approach</w:t>
            </w:r>
          </w:p>
        </w:tc>
        <w:tc>
          <w:tcPr>
            <w:tcW w:w="5112" w:type="dxa"/>
          </w:tcPr>
          <w:p w14:paraId="47C2B9BE" w14:textId="77777777" w:rsidR="00A81E07" w:rsidRDefault="00490A57">
            <w:r>
              <w:rPr>
                <w:sz w:val="17"/>
              </w:rPr>
              <w:t>Moderate balanced growth portfolio using 6% planning return</w:t>
            </w:r>
          </w:p>
        </w:tc>
      </w:tr>
      <w:tr w:rsidR="00A81E07" w14:paraId="4730F948" w14:textId="77777777">
        <w:trPr>
          <w:jc w:val="center"/>
        </w:trPr>
        <w:tc>
          <w:tcPr>
            <w:tcW w:w="5112" w:type="dxa"/>
          </w:tcPr>
          <w:p w14:paraId="61D6D86D" w14:textId="77777777" w:rsidR="00A81E07" w:rsidRDefault="00490A57">
            <w:r>
              <w:rPr>
                <w:sz w:val="17"/>
              </w:rPr>
              <w:t>Years 1–4 allocation</w:t>
            </w:r>
          </w:p>
        </w:tc>
        <w:tc>
          <w:tcPr>
            <w:tcW w:w="5112" w:type="dxa"/>
          </w:tcPr>
          <w:p w14:paraId="39BDEDC9" w14:textId="77777777" w:rsidR="00A81E07" w:rsidRDefault="00490A57">
            <w:r>
              <w:rPr>
                <w:sz w:val="17"/>
              </w:rPr>
              <w:t>Indicative: 45% equity funds, 25% bonds/fixed income, 15% term deposits/money market, 15% CAD/USD savings</w:t>
            </w:r>
          </w:p>
        </w:tc>
      </w:tr>
      <w:tr w:rsidR="00A81E07" w14:paraId="786CA0C0" w14:textId="77777777">
        <w:trPr>
          <w:jc w:val="center"/>
        </w:trPr>
        <w:tc>
          <w:tcPr>
            <w:tcW w:w="5112" w:type="dxa"/>
          </w:tcPr>
          <w:p w14:paraId="5FE8679C" w14:textId="77777777" w:rsidR="00A81E07" w:rsidRDefault="00490A57">
            <w:r>
              <w:rPr>
                <w:sz w:val="17"/>
              </w:rPr>
              <w:t>Years 5–6 allocation</w:t>
            </w:r>
          </w:p>
        </w:tc>
        <w:tc>
          <w:tcPr>
            <w:tcW w:w="5112" w:type="dxa"/>
          </w:tcPr>
          <w:p w14:paraId="0A1ECA35" w14:textId="77777777" w:rsidR="00A81E07" w:rsidRDefault="00490A57">
            <w:r>
              <w:rPr>
                <w:sz w:val="17"/>
              </w:rPr>
              <w:t>Reduce equity exposure and increase fixed income/cash</w:t>
            </w:r>
          </w:p>
        </w:tc>
      </w:tr>
      <w:tr w:rsidR="00A81E07" w14:paraId="64569E02" w14:textId="77777777">
        <w:trPr>
          <w:jc w:val="center"/>
        </w:trPr>
        <w:tc>
          <w:tcPr>
            <w:tcW w:w="5112" w:type="dxa"/>
          </w:tcPr>
          <w:p w14:paraId="46B8DDC8" w14:textId="77777777" w:rsidR="00A81E07" w:rsidRDefault="00490A57">
            <w:r>
              <w:rPr>
                <w:sz w:val="17"/>
              </w:rPr>
              <w:t>Years 7–8 allocation</w:t>
            </w:r>
          </w:p>
        </w:tc>
        <w:tc>
          <w:tcPr>
            <w:tcW w:w="5112" w:type="dxa"/>
          </w:tcPr>
          <w:p w14:paraId="39E4267A" w14:textId="77777777" w:rsidR="00A81E07" w:rsidRDefault="00490A57">
            <w:r>
              <w:rPr>
                <w:sz w:val="17"/>
              </w:rPr>
              <w:t>Prioritize capital protection, liquidity, and CAD/USD readiness</w:t>
            </w:r>
          </w:p>
        </w:tc>
      </w:tr>
      <w:tr w:rsidR="00A81E07" w14:paraId="27CADEBC" w14:textId="77777777">
        <w:trPr>
          <w:jc w:val="center"/>
        </w:trPr>
        <w:tc>
          <w:tcPr>
            <w:tcW w:w="5112" w:type="dxa"/>
          </w:tcPr>
          <w:p w14:paraId="225741FE" w14:textId="77777777" w:rsidR="00A81E07" w:rsidRDefault="00490A57">
            <w:r>
              <w:rPr>
                <w:sz w:val="17"/>
              </w:rPr>
              <w:t>Drawdown strategy</w:t>
            </w:r>
          </w:p>
        </w:tc>
        <w:tc>
          <w:tcPr>
            <w:tcW w:w="5112" w:type="dxa"/>
          </w:tcPr>
          <w:p w14:paraId="1835BDEA" w14:textId="77777777" w:rsidR="00A81E07" w:rsidRDefault="00490A57">
            <w:r>
              <w:rPr>
                <w:sz w:val="17"/>
              </w:rPr>
              <w:t>Use separate buckets for first-year cash, next-year reserve, later-year conservative reserve, and emergency buffer</w:t>
            </w:r>
          </w:p>
        </w:tc>
      </w:tr>
    </w:tbl>
    <w:p w14:paraId="72A3D3EC" w14:textId="77777777" w:rsidR="00A81E07" w:rsidRDefault="00A81E07"/>
    <w:p w14:paraId="56E3B3F7" w14:textId="77777777" w:rsidR="00A81E07" w:rsidRDefault="00490A57">
      <w:pPr>
        <w:pStyle w:val="Heading1"/>
      </w:pPr>
      <w:r>
        <w:t>8. Currency and FX Strategy</w:t>
      </w:r>
    </w:p>
    <w:p w14:paraId="4D2D2FBD" w14:textId="77777777" w:rsidR="00A81E07" w:rsidRDefault="00490A57">
      <w:r>
        <w:t>Currency risk is a major consideration because the family’s income and most savings are in VND, while the child’s future education cost is expected to be in CAD. If CAD appreciates against VND, the required VND amount may increase even if tuition and living costs remain unchanged in Canada.</w:t>
      </w:r>
    </w:p>
    <w:p w14:paraId="5B0BD2A5" w14:textId="77777777" w:rsidR="00A81E07" w:rsidRDefault="00490A57">
      <w:r>
        <w:t>The family already has some foreign-currency exposure through a USD account, but most of the education fund remains in VND. The recommendation is to build CAD/USD exposure gradually rather than waiting until the year of departure. This reduces the risk of having to convert a large amount at an unfavorable exchange rate.</w:t>
      </w:r>
    </w:p>
    <w:p w14:paraId="2FE1D1E2" w14:textId="77777777" w:rsidR="00A81E07" w:rsidRDefault="00490A57">
      <w:r>
        <w:t>In the early years, the family can keep most assets in VND while starting a modest foreign-currency allocation. In the final years before departure, the family should hold at least the first year of expected study cost in low-risk or destination-currency assets.</w:t>
      </w:r>
    </w:p>
    <w:tbl>
      <w:tblPr>
        <w:tblStyle w:val="TableGrid"/>
        <w:tblW w:w="0" w:type="auto"/>
        <w:jc w:val="center"/>
        <w:tblLook w:val="04A0" w:firstRow="1" w:lastRow="0" w:firstColumn="1" w:lastColumn="0" w:noHBand="0" w:noVBand="1"/>
      </w:tblPr>
      <w:tblGrid>
        <w:gridCol w:w="5107"/>
        <w:gridCol w:w="5107"/>
      </w:tblGrid>
      <w:tr w:rsidR="00A81E07" w14:paraId="650E3FC6" w14:textId="77777777">
        <w:trPr>
          <w:jc w:val="center"/>
        </w:trPr>
        <w:tc>
          <w:tcPr>
            <w:tcW w:w="5112" w:type="dxa"/>
            <w:shd w:val="clear" w:color="auto" w:fill="1F4E78"/>
          </w:tcPr>
          <w:p w14:paraId="22D58F6B" w14:textId="77777777" w:rsidR="00A81E07" w:rsidRDefault="00490A57">
            <w:r>
              <w:rPr>
                <w:b/>
                <w:color w:val="FFFFFF"/>
                <w:sz w:val="17"/>
              </w:rPr>
              <w:t>FX Area</w:t>
            </w:r>
          </w:p>
        </w:tc>
        <w:tc>
          <w:tcPr>
            <w:tcW w:w="5112" w:type="dxa"/>
            <w:shd w:val="clear" w:color="auto" w:fill="1F4E78"/>
          </w:tcPr>
          <w:p w14:paraId="0E673561" w14:textId="77777777" w:rsidR="00A81E07" w:rsidRDefault="00490A57">
            <w:r>
              <w:rPr>
                <w:b/>
                <w:color w:val="FFFFFF"/>
                <w:sz w:val="17"/>
              </w:rPr>
              <w:t>Client-Facing Recommendation</w:t>
            </w:r>
          </w:p>
        </w:tc>
      </w:tr>
      <w:tr w:rsidR="00A81E07" w14:paraId="08B3BE6A" w14:textId="77777777">
        <w:trPr>
          <w:jc w:val="center"/>
        </w:trPr>
        <w:tc>
          <w:tcPr>
            <w:tcW w:w="5112" w:type="dxa"/>
          </w:tcPr>
          <w:p w14:paraId="7A9359E4" w14:textId="77777777" w:rsidR="00A81E07" w:rsidRDefault="00490A57">
            <w:r>
              <w:rPr>
                <w:sz w:val="17"/>
              </w:rPr>
              <w:t>Currency mismatch</w:t>
            </w:r>
          </w:p>
        </w:tc>
        <w:tc>
          <w:tcPr>
            <w:tcW w:w="5112" w:type="dxa"/>
          </w:tcPr>
          <w:p w14:paraId="29A937FB" w14:textId="77777777" w:rsidR="00A81E07" w:rsidRDefault="00490A57">
            <w:r>
              <w:rPr>
                <w:sz w:val="17"/>
              </w:rPr>
              <w:t>Family currency is VND; expected education currency is CAD</w:t>
            </w:r>
          </w:p>
        </w:tc>
      </w:tr>
      <w:tr w:rsidR="00A81E07" w14:paraId="057D8649" w14:textId="77777777">
        <w:trPr>
          <w:jc w:val="center"/>
        </w:trPr>
        <w:tc>
          <w:tcPr>
            <w:tcW w:w="5112" w:type="dxa"/>
          </w:tcPr>
          <w:p w14:paraId="121E7EF9" w14:textId="77777777" w:rsidR="00A81E07" w:rsidRDefault="00490A57">
            <w:r>
              <w:rPr>
                <w:sz w:val="17"/>
              </w:rPr>
              <w:t>FX assumptions</w:t>
            </w:r>
          </w:p>
        </w:tc>
        <w:tc>
          <w:tcPr>
            <w:tcW w:w="5112" w:type="dxa"/>
          </w:tcPr>
          <w:p w14:paraId="277863BF" w14:textId="77777777" w:rsidR="00A81E07" w:rsidRDefault="00490A57">
            <w:r>
              <w:rPr>
                <w:sz w:val="17"/>
              </w:rPr>
              <w:t>Planning rate: 1 CAD = VND 19,000; FX buffer: 10%</w:t>
            </w:r>
          </w:p>
        </w:tc>
      </w:tr>
      <w:tr w:rsidR="00A81E07" w14:paraId="03C7C3A9" w14:textId="77777777">
        <w:trPr>
          <w:jc w:val="center"/>
        </w:trPr>
        <w:tc>
          <w:tcPr>
            <w:tcW w:w="5112" w:type="dxa"/>
          </w:tcPr>
          <w:p w14:paraId="4047BE07" w14:textId="77777777" w:rsidR="00A81E07" w:rsidRDefault="00490A57">
            <w:r>
              <w:rPr>
                <w:sz w:val="17"/>
              </w:rPr>
              <w:t>Current FX exposure</w:t>
            </w:r>
          </w:p>
        </w:tc>
        <w:tc>
          <w:tcPr>
            <w:tcW w:w="5112" w:type="dxa"/>
          </w:tcPr>
          <w:p w14:paraId="168E4809" w14:textId="77777777" w:rsidR="00A81E07" w:rsidRDefault="00490A57">
            <w:r>
              <w:rPr>
                <w:sz w:val="17"/>
              </w:rPr>
              <w:t>VND 100 million equivalent in USD account</w:t>
            </w:r>
          </w:p>
        </w:tc>
      </w:tr>
      <w:tr w:rsidR="00A81E07" w14:paraId="71124177" w14:textId="77777777">
        <w:trPr>
          <w:jc w:val="center"/>
        </w:trPr>
        <w:tc>
          <w:tcPr>
            <w:tcW w:w="5112" w:type="dxa"/>
          </w:tcPr>
          <w:p w14:paraId="5D62A4AA" w14:textId="77777777" w:rsidR="00A81E07" w:rsidRDefault="00490A57">
            <w:r>
              <w:rPr>
                <w:sz w:val="17"/>
              </w:rPr>
              <w:t>Recommended FX action</w:t>
            </w:r>
          </w:p>
        </w:tc>
        <w:tc>
          <w:tcPr>
            <w:tcW w:w="5112" w:type="dxa"/>
          </w:tcPr>
          <w:p w14:paraId="7E5119A1" w14:textId="77777777" w:rsidR="00A81E07" w:rsidRDefault="00490A57">
            <w:r>
              <w:rPr>
                <w:sz w:val="17"/>
              </w:rPr>
              <w:t>Start with around 15% foreign-currency exposure and increase closer to departure</w:t>
            </w:r>
          </w:p>
        </w:tc>
      </w:tr>
      <w:tr w:rsidR="00A81E07" w14:paraId="31A1F099" w14:textId="77777777">
        <w:trPr>
          <w:jc w:val="center"/>
        </w:trPr>
        <w:tc>
          <w:tcPr>
            <w:tcW w:w="5112" w:type="dxa"/>
          </w:tcPr>
          <w:p w14:paraId="23A8228F" w14:textId="77777777" w:rsidR="00A81E07" w:rsidRDefault="00490A57">
            <w:r>
              <w:rPr>
                <w:sz w:val="17"/>
              </w:rPr>
              <w:t>Reason</w:t>
            </w:r>
          </w:p>
        </w:tc>
        <w:tc>
          <w:tcPr>
            <w:tcW w:w="5112" w:type="dxa"/>
          </w:tcPr>
          <w:p w14:paraId="74C271A1" w14:textId="77777777" w:rsidR="00A81E07" w:rsidRDefault="00490A57">
            <w:r>
              <w:rPr>
                <w:sz w:val="17"/>
              </w:rPr>
              <w:t>Reduce risk of large one-time conversion shortly before tuition payment</w:t>
            </w:r>
          </w:p>
        </w:tc>
      </w:tr>
    </w:tbl>
    <w:p w14:paraId="0D0B940D" w14:textId="77777777" w:rsidR="00A81E07" w:rsidRDefault="00A81E07"/>
    <w:p w14:paraId="3D710222" w14:textId="77777777" w:rsidR="00A81E07" w:rsidRDefault="00490A57">
      <w:pPr>
        <w:pStyle w:val="Heading1"/>
      </w:pPr>
      <w:r>
        <w:t>9. Protection and Emergency Readiness</w:t>
      </w:r>
    </w:p>
    <w:p w14:paraId="03EAD2B3" w14:textId="77777777" w:rsidR="00A81E07" w:rsidRDefault="00490A57">
      <w:r>
        <w:t>The education plan depends on the family’s ability to keep contributing for the next 8 years. Because the family has a mortgage and insurance adequacy is uncertain, protection planning is important. The goal is not only to grow the fund but also to protect the plan if income is disrupted.</w:t>
      </w:r>
    </w:p>
    <w:p w14:paraId="4179B1B7" w14:textId="77777777" w:rsidR="00A81E07" w:rsidRDefault="00490A57">
      <w:r>
        <w:t>The current emergency fund of around 6 months of expenses is acceptable as a minimum. However, because the family has a mortgage and a large future education commitment, a stronger target of 9–12 months of essential expenses is recommended. This emergency fund should be separate from the education investment fund.</w:t>
      </w:r>
    </w:p>
    <w:p w14:paraId="6D1CCB5C" w14:textId="77777777" w:rsidR="00A81E07" w:rsidRDefault="00490A57">
      <w:r>
        <w:t>The family should review life insurance, health insurance, critical illness coverage, and mortgage protection. If one parent faces death, serious illness, or long-term income disruption, adequate protection can help prevent the education fund from being used for emergency household needs.</w:t>
      </w:r>
    </w:p>
    <w:tbl>
      <w:tblPr>
        <w:tblStyle w:val="TableGrid"/>
        <w:tblW w:w="0" w:type="auto"/>
        <w:jc w:val="center"/>
        <w:tblLook w:val="04A0" w:firstRow="1" w:lastRow="0" w:firstColumn="1" w:lastColumn="0" w:noHBand="0" w:noVBand="1"/>
      </w:tblPr>
      <w:tblGrid>
        <w:gridCol w:w="5107"/>
        <w:gridCol w:w="5107"/>
      </w:tblGrid>
      <w:tr w:rsidR="00A81E07" w14:paraId="7AF73BC2" w14:textId="77777777">
        <w:trPr>
          <w:jc w:val="center"/>
        </w:trPr>
        <w:tc>
          <w:tcPr>
            <w:tcW w:w="5112" w:type="dxa"/>
            <w:shd w:val="clear" w:color="auto" w:fill="1F4E78"/>
          </w:tcPr>
          <w:p w14:paraId="3657E163" w14:textId="77777777" w:rsidR="00A81E07" w:rsidRDefault="00490A57">
            <w:r>
              <w:rPr>
                <w:b/>
                <w:color w:val="FFFFFF"/>
                <w:sz w:val="17"/>
              </w:rPr>
              <w:t>Protection Area</w:t>
            </w:r>
          </w:p>
        </w:tc>
        <w:tc>
          <w:tcPr>
            <w:tcW w:w="5112" w:type="dxa"/>
            <w:shd w:val="clear" w:color="auto" w:fill="1F4E78"/>
          </w:tcPr>
          <w:p w14:paraId="3C5DC4F6" w14:textId="77777777" w:rsidR="00A81E07" w:rsidRDefault="00490A57">
            <w:r>
              <w:rPr>
                <w:b/>
                <w:color w:val="FFFFFF"/>
                <w:sz w:val="17"/>
              </w:rPr>
              <w:t>Client-Facing Recommendation</w:t>
            </w:r>
          </w:p>
        </w:tc>
      </w:tr>
      <w:tr w:rsidR="00A81E07" w14:paraId="023D3726" w14:textId="77777777">
        <w:trPr>
          <w:jc w:val="center"/>
        </w:trPr>
        <w:tc>
          <w:tcPr>
            <w:tcW w:w="5112" w:type="dxa"/>
          </w:tcPr>
          <w:p w14:paraId="538A549C" w14:textId="77777777" w:rsidR="00A81E07" w:rsidRDefault="00490A57">
            <w:r>
              <w:rPr>
                <w:sz w:val="17"/>
              </w:rPr>
              <w:t>Emergency fund</w:t>
            </w:r>
          </w:p>
        </w:tc>
        <w:tc>
          <w:tcPr>
            <w:tcW w:w="5112" w:type="dxa"/>
          </w:tcPr>
          <w:p w14:paraId="0FC5EDC1" w14:textId="77777777" w:rsidR="00A81E07" w:rsidRDefault="00490A57">
            <w:r>
              <w:rPr>
                <w:sz w:val="17"/>
              </w:rPr>
              <w:t>Current around 6 months; target 9–12 months</w:t>
            </w:r>
          </w:p>
        </w:tc>
      </w:tr>
      <w:tr w:rsidR="00A81E07" w14:paraId="5EBDCCC4" w14:textId="77777777">
        <w:trPr>
          <w:jc w:val="center"/>
        </w:trPr>
        <w:tc>
          <w:tcPr>
            <w:tcW w:w="5112" w:type="dxa"/>
          </w:tcPr>
          <w:p w14:paraId="0EF00165" w14:textId="77777777" w:rsidR="00A81E07" w:rsidRDefault="00490A57">
            <w:r>
              <w:rPr>
                <w:sz w:val="17"/>
              </w:rPr>
              <w:t>Insurance status</w:t>
            </w:r>
          </w:p>
        </w:tc>
        <w:tc>
          <w:tcPr>
            <w:tcW w:w="5112" w:type="dxa"/>
          </w:tcPr>
          <w:p w14:paraId="09236C14" w14:textId="77777777" w:rsidR="00A81E07" w:rsidRDefault="00490A57">
            <w:r>
              <w:rPr>
                <w:sz w:val="17"/>
              </w:rPr>
              <w:t>Some coverage exists, but adequacy is unclear</w:t>
            </w:r>
          </w:p>
        </w:tc>
      </w:tr>
      <w:tr w:rsidR="00A81E07" w14:paraId="5DEE4344" w14:textId="77777777">
        <w:trPr>
          <w:jc w:val="center"/>
        </w:trPr>
        <w:tc>
          <w:tcPr>
            <w:tcW w:w="5112" w:type="dxa"/>
          </w:tcPr>
          <w:p w14:paraId="1A098381" w14:textId="77777777" w:rsidR="00A81E07" w:rsidRDefault="00490A57">
            <w:r>
              <w:rPr>
                <w:sz w:val="17"/>
              </w:rPr>
              <w:t>Protection gap</w:t>
            </w:r>
          </w:p>
        </w:tc>
        <w:tc>
          <w:tcPr>
            <w:tcW w:w="5112" w:type="dxa"/>
          </w:tcPr>
          <w:p w14:paraId="088163C4" w14:textId="77777777" w:rsidR="00A81E07" w:rsidRDefault="00490A57">
            <w:r>
              <w:rPr>
                <w:sz w:val="17"/>
              </w:rPr>
              <w:t>Potential education-continuity risk</w:t>
            </w:r>
          </w:p>
        </w:tc>
      </w:tr>
      <w:tr w:rsidR="00A81E07" w14:paraId="26682FD2" w14:textId="77777777">
        <w:trPr>
          <w:jc w:val="center"/>
        </w:trPr>
        <w:tc>
          <w:tcPr>
            <w:tcW w:w="5112" w:type="dxa"/>
          </w:tcPr>
          <w:p w14:paraId="08BF9F4B" w14:textId="77777777" w:rsidR="00A81E07" w:rsidRDefault="00490A57">
            <w:r>
              <w:rPr>
                <w:sz w:val="17"/>
              </w:rPr>
              <w:t>Recommendation</w:t>
            </w:r>
          </w:p>
        </w:tc>
        <w:tc>
          <w:tcPr>
            <w:tcW w:w="5112" w:type="dxa"/>
          </w:tcPr>
          <w:p w14:paraId="660F24B8" w14:textId="77777777" w:rsidR="00A81E07" w:rsidRDefault="00490A57">
            <w:r>
              <w:rPr>
                <w:sz w:val="17"/>
              </w:rPr>
              <w:t>Review life, health, critical illness, and mortgage protection coverage</w:t>
            </w:r>
          </w:p>
        </w:tc>
      </w:tr>
    </w:tbl>
    <w:p w14:paraId="0E27B00A" w14:textId="77777777" w:rsidR="00A81E07" w:rsidRDefault="00A81E07"/>
    <w:p w14:paraId="758F334B" w14:textId="77777777" w:rsidR="00A81E07" w:rsidRDefault="00490A57">
      <w:pPr>
        <w:pStyle w:val="Heading1"/>
      </w:pPr>
      <w:r>
        <w:t>10. Scholarship, Part-Time Work, Loan, and Fallback Strategy</w:t>
      </w:r>
    </w:p>
    <w:p w14:paraId="1467E396" w14:textId="77777777" w:rsidR="00A81E07" w:rsidRDefault="00490A57">
      <w:r>
        <w:t>Scholarships and part-time work can help reduce the burden on the family, but they should not be treated as guaranteed funding in the base case. A conservative plan should assume the family can fund the core education cost without relying on uncertain external support.</w:t>
      </w:r>
    </w:p>
    <w:p w14:paraId="467EEC80" w14:textId="77777777" w:rsidR="00A81E07" w:rsidRDefault="00490A57">
      <w:r>
        <w:t>Scholarships can be modeled as an optimistic scenario. If the child later qualifies for a scholarship, the saved amount can be redirected to postgraduate study, living-quality buffer, emergency reserve, retirement, or mortgage repayment. Part-time work may help offset personal expenses, but it depends on visa rules, study workload, and job availability.</w:t>
      </w:r>
    </w:p>
    <w:p w14:paraId="1AFDFE46" w14:textId="77777777" w:rsidR="00A81E07" w:rsidRDefault="00490A57">
      <w:r>
        <w:t>Student loans are not preferred by the family and should remain a fallback option only. If the funding gap remains material, the better first options are to increase savings, allocate annual bonuses, choose a lower-cost university or city, or use Australia/another suitable destination as a backup.</w:t>
      </w:r>
    </w:p>
    <w:tbl>
      <w:tblPr>
        <w:tblStyle w:val="TableGrid"/>
        <w:tblW w:w="0" w:type="auto"/>
        <w:jc w:val="center"/>
        <w:tblLook w:val="04A0" w:firstRow="1" w:lastRow="0" w:firstColumn="1" w:lastColumn="0" w:noHBand="0" w:noVBand="1"/>
      </w:tblPr>
      <w:tblGrid>
        <w:gridCol w:w="5107"/>
        <w:gridCol w:w="5107"/>
      </w:tblGrid>
      <w:tr w:rsidR="00A81E07" w14:paraId="08D356DB" w14:textId="77777777">
        <w:trPr>
          <w:jc w:val="center"/>
        </w:trPr>
        <w:tc>
          <w:tcPr>
            <w:tcW w:w="5112" w:type="dxa"/>
            <w:shd w:val="clear" w:color="auto" w:fill="1F4E78"/>
          </w:tcPr>
          <w:p w14:paraId="568DA181" w14:textId="77777777" w:rsidR="00A81E07" w:rsidRDefault="00490A57">
            <w:r>
              <w:rPr>
                <w:b/>
                <w:color w:val="FFFFFF"/>
                <w:sz w:val="17"/>
              </w:rPr>
              <w:t>Fallback Area</w:t>
            </w:r>
          </w:p>
        </w:tc>
        <w:tc>
          <w:tcPr>
            <w:tcW w:w="5112" w:type="dxa"/>
            <w:shd w:val="clear" w:color="auto" w:fill="1F4E78"/>
          </w:tcPr>
          <w:p w14:paraId="39CA5C34" w14:textId="77777777" w:rsidR="00A81E07" w:rsidRDefault="00490A57">
            <w:r>
              <w:rPr>
                <w:b/>
                <w:color w:val="FFFFFF"/>
                <w:sz w:val="17"/>
              </w:rPr>
              <w:t>Client-Facing Recommendation</w:t>
            </w:r>
          </w:p>
        </w:tc>
      </w:tr>
      <w:tr w:rsidR="00A81E07" w14:paraId="1400A77D" w14:textId="77777777">
        <w:trPr>
          <w:jc w:val="center"/>
        </w:trPr>
        <w:tc>
          <w:tcPr>
            <w:tcW w:w="5112" w:type="dxa"/>
          </w:tcPr>
          <w:p w14:paraId="3C017F2B" w14:textId="77777777" w:rsidR="00A81E07" w:rsidRDefault="00490A57">
            <w:r>
              <w:rPr>
                <w:sz w:val="17"/>
              </w:rPr>
              <w:t>Scholarship</w:t>
            </w:r>
          </w:p>
        </w:tc>
        <w:tc>
          <w:tcPr>
            <w:tcW w:w="5112" w:type="dxa"/>
          </w:tcPr>
          <w:p w14:paraId="183974FD" w14:textId="77777777" w:rsidR="00A81E07" w:rsidRDefault="00490A57">
            <w:r>
              <w:rPr>
                <w:sz w:val="17"/>
              </w:rPr>
              <w:t>Acceptable, but not included in base case</w:t>
            </w:r>
          </w:p>
        </w:tc>
      </w:tr>
      <w:tr w:rsidR="00A81E07" w14:paraId="71951814" w14:textId="77777777">
        <w:trPr>
          <w:jc w:val="center"/>
        </w:trPr>
        <w:tc>
          <w:tcPr>
            <w:tcW w:w="5112" w:type="dxa"/>
          </w:tcPr>
          <w:p w14:paraId="4A93032C" w14:textId="77777777" w:rsidR="00A81E07" w:rsidRDefault="00490A57">
            <w:r>
              <w:rPr>
                <w:sz w:val="17"/>
              </w:rPr>
              <w:t>Part-time work</w:t>
            </w:r>
          </w:p>
        </w:tc>
        <w:tc>
          <w:tcPr>
            <w:tcW w:w="5112" w:type="dxa"/>
          </w:tcPr>
          <w:p w14:paraId="53AD8FF6" w14:textId="77777777" w:rsidR="00A81E07" w:rsidRDefault="00490A57">
            <w:r>
              <w:rPr>
                <w:sz w:val="17"/>
              </w:rPr>
              <w:t>Acceptable, but not relied on for core funding</w:t>
            </w:r>
          </w:p>
        </w:tc>
      </w:tr>
      <w:tr w:rsidR="00A81E07" w14:paraId="619F634F" w14:textId="77777777">
        <w:trPr>
          <w:jc w:val="center"/>
        </w:trPr>
        <w:tc>
          <w:tcPr>
            <w:tcW w:w="5112" w:type="dxa"/>
          </w:tcPr>
          <w:p w14:paraId="15D3FD91" w14:textId="77777777" w:rsidR="00A81E07" w:rsidRDefault="00490A57">
            <w:r>
              <w:rPr>
                <w:sz w:val="17"/>
              </w:rPr>
              <w:t>Student loan</w:t>
            </w:r>
          </w:p>
        </w:tc>
        <w:tc>
          <w:tcPr>
            <w:tcW w:w="5112" w:type="dxa"/>
          </w:tcPr>
          <w:p w14:paraId="474381AC" w14:textId="77777777" w:rsidR="00A81E07" w:rsidRDefault="00490A57">
            <w:r>
              <w:rPr>
                <w:sz w:val="17"/>
              </w:rPr>
              <w:t>Not preferred; last-resort fallback</w:t>
            </w:r>
          </w:p>
        </w:tc>
      </w:tr>
      <w:tr w:rsidR="00A81E07" w14:paraId="771CA69B" w14:textId="77777777">
        <w:trPr>
          <w:jc w:val="center"/>
        </w:trPr>
        <w:tc>
          <w:tcPr>
            <w:tcW w:w="5112" w:type="dxa"/>
          </w:tcPr>
          <w:p w14:paraId="27A33578" w14:textId="77777777" w:rsidR="00A81E07" w:rsidRDefault="00490A57">
            <w:r>
              <w:rPr>
                <w:sz w:val="17"/>
              </w:rPr>
              <w:t>Fallback destination/university</w:t>
            </w:r>
          </w:p>
        </w:tc>
        <w:tc>
          <w:tcPr>
            <w:tcW w:w="5112" w:type="dxa"/>
          </w:tcPr>
          <w:p w14:paraId="318A05E2" w14:textId="77777777" w:rsidR="00A81E07" w:rsidRDefault="00490A57">
            <w:r>
              <w:rPr>
                <w:sz w:val="17"/>
              </w:rPr>
              <w:t>Compare Australia, lower-cost Canadian cities, and affordable public universities</w:t>
            </w:r>
          </w:p>
        </w:tc>
      </w:tr>
      <w:tr w:rsidR="00A81E07" w14:paraId="37854C0E" w14:textId="77777777">
        <w:trPr>
          <w:jc w:val="center"/>
        </w:trPr>
        <w:tc>
          <w:tcPr>
            <w:tcW w:w="5112" w:type="dxa"/>
          </w:tcPr>
          <w:p w14:paraId="17E5E598" w14:textId="77777777" w:rsidR="00A81E07" w:rsidRDefault="00490A57">
            <w:r>
              <w:rPr>
                <w:sz w:val="17"/>
              </w:rPr>
              <w:t>Gap-closing strategy</w:t>
            </w:r>
          </w:p>
        </w:tc>
        <w:tc>
          <w:tcPr>
            <w:tcW w:w="5112" w:type="dxa"/>
          </w:tcPr>
          <w:p w14:paraId="425A46A4" w14:textId="77777777" w:rsidR="00A81E07" w:rsidRDefault="00490A57">
            <w:r>
              <w:rPr>
                <w:sz w:val="17"/>
              </w:rPr>
              <w:t>Higher monthly saving, bonus allocation, scholarship upside, university cost control, and FX planning</w:t>
            </w:r>
          </w:p>
        </w:tc>
      </w:tr>
    </w:tbl>
    <w:p w14:paraId="60061E4C" w14:textId="77777777" w:rsidR="00A81E07" w:rsidRDefault="00A81E07"/>
    <w:p w14:paraId="1E22C0CA" w14:textId="77777777" w:rsidR="00A81E07" w:rsidRDefault="00490A57">
      <w:pPr>
        <w:pStyle w:val="Heading1"/>
      </w:pPr>
      <w:r>
        <w:t>11. Scenario Analysis</w:t>
      </w:r>
    </w:p>
    <w:p w14:paraId="56270E9C" w14:textId="77777777" w:rsidR="00A81E07" w:rsidRDefault="00490A57">
      <w:r>
        <w:t>Scenario analysis shows how the plan may change if assumptions move in a favorable or unfavorable direction. The base case should be used for core planning. The conservative case helps the family understand stress risks, while the optimistic case shows potential upside.</w:t>
      </w:r>
    </w:p>
    <w:tbl>
      <w:tblPr>
        <w:tblStyle w:val="TableGrid"/>
        <w:tblW w:w="0" w:type="auto"/>
        <w:jc w:val="center"/>
        <w:tblLook w:val="04A0" w:firstRow="1" w:lastRow="0" w:firstColumn="1" w:lastColumn="0" w:noHBand="0" w:noVBand="1"/>
      </w:tblPr>
      <w:tblGrid>
        <w:gridCol w:w="5107"/>
        <w:gridCol w:w="5107"/>
      </w:tblGrid>
      <w:tr w:rsidR="00A81E07" w14:paraId="60F22417" w14:textId="77777777">
        <w:trPr>
          <w:jc w:val="center"/>
        </w:trPr>
        <w:tc>
          <w:tcPr>
            <w:tcW w:w="5112" w:type="dxa"/>
            <w:shd w:val="clear" w:color="auto" w:fill="1F4E78"/>
          </w:tcPr>
          <w:p w14:paraId="730FDE5E" w14:textId="77777777" w:rsidR="00A81E07" w:rsidRDefault="00490A57">
            <w:r>
              <w:rPr>
                <w:b/>
                <w:color w:val="FFFFFF"/>
                <w:sz w:val="17"/>
              </w:rPr>
              <w:t>Scenario</w:t>
            </w:r>
          </w:p>
        </w:tc>
        <w:tc>
          <w:tcPr>
            <w:tcW w:w="5112" w:type="dxa"/>
            <w:shd w:val="clear" w:color="auto" w:fill="1F4E78"/>
          </w:tcPr>
          <w:p w14:paraId="73C6BCB5" w14:textId="77777777" w:rsidR="00A81E07" w:rsidRDefault="00490A57">
            <w:r>
              <w:rPr>
                <w:b/>
                <w:color w:val="FFFFFF"/>
                <w:sz w:val="17"/>
              </w:rPr>
              <w:t>Client-Facing Result</w:t>
            </w:r>
          </w:p>
        </w:tc>
      </w:tr>
      <w:tr w:rsidR="00A81E07" w14:paraId="1134F56F" w14:textId="77777777">
        <w:trPr>
          <w:jc w:val="center"/>
        </w:trPr>
        <w:tc>
          <w:tcPr>
            <w:tcW w:w="5112" w:type="dxa"/>
          </w:tcPr>
          <w:p w14:paraId="2C56FA35" w14:textId="77777777" w:rsidR="00A81E07" w:rsidRDefault="00490A57">
            <w:r>
              <w:rPr>
                <w:sz w:val="17"/>
              </w:rPr>
              <w:t>Base case</w:t>
            </w:r>
          </w:p>
        </w:tc>
        <w:tc>
          <w:tcPr>
            <w:tcW w:w="5112" w:type="dxa"/>
          </w:tcPr>
          <w:p w14:paraId="196BF0CE" w14:textId="77777777" w:rsidR="00A81E07" w:rsidRDefault="00490A57">
            <w:r>
              <w:rPr>
                <w:sz w:val="17"/>
              </w:rPr>
              <w:t>With a VND 6.0 billion target, 6% return assumption, and VND 36–37 million monthly saving, the goal is achievable.</w:t>
            </w:r>
          </w:p>
        </w:tc>
      </w:tr>
      <w:tr w:rsidR="00A81E07" w14:paraId="715E80A2" w14:textId="77777777">
        <w:trPr>
          <w:jc w:val="center"/>
        </w:trPr>
        <w:tc>
          <w:tcPr>
            <w:tcW w:w="5112" w:type="dxa"/>
          </w:tcPr>
          <w:p w14:paraId="41390587" w14:textId="77777777" w:rsidR="00A81E07" w:rsidRDefault="00490A57">
            <w:r>
              <w:rPr>
                <w:sz w:val="17"/>
              </w:rPr>
              <w:t>Conservative case</w:t>
            </w:r>
          </w:p>
        </w:tc>
        <w:tc>
          <w:tcPr>
            <w:tcW w:w="5112" w:type="dxa"/>
          </w:tcPr>
          <w:p w14:paraId="21A287B4" w14:textId="77777777" w:rsidR="00A81E07" w:rsidRDefault="00490A57">
            <w:r>
              <w:rPr>
                <w:sz w:val="17"/>
              </w:rPr>
              <w:t>If investment return is lower, inflation is higher, or CAD strengthens, the family may need higher savings, bonus allocation, lower-cost university choice, or scholarship support.</w:t>
            </w:r>
          </w:p>
        </w:tc>
      </w:tr>
      <w:tr w:rsidR="00A81E07" w14:paraId="1B589D97" w14:textId="77777777">
        <w:trPr>
          <w:jc w:val="center"/>
        </w:trPr>
        <w:tc>
          <w:tcPr>
            <w:tcW w:w="5112" w:type="dxa"/>
          </w:tcPr>
          <w:p w14:paraId="74142E99" w14:textId="77777777" w:rsidR="00A81E07" w:rsidRDefault="00490A57">
            <w:r>
              <w:rPr>
                <w:sz w:val="17"/>
              </w:rPr>
              <w:t>Optimistic case</w:t>
            </w:r>
          </w:p>
        </w:tc>
        <w:tc>
          <w:tcPr>
            <w:tcW w:w="5112" w:type="dxa"/>
          </w:tcPr>
          <w:p w14:paraId="1AC29A5F" w14:textId="77777777" w:rsidR="00A81E07" w:rsidRDefault="00490A57">
            <w:r>
              <w:rPr>
                <w:sz w:val="17"/>
              </w:rPr>
              <w:t>If returns are stronger, FX remains stable, or scholarship covers part of tuition, the family may have surplus funds for postgraduate study, retirement, or mortgage repayment.</w:t>
            </w:r>
          </w:p>
        </w:tc>
      </w:tr>
      <w:tr w:rsidR="00A81E07" w14:paraId="1CB92350" w14:textId="77777777">
        <w:trPr>
          <w:jc w:val="center"/>
        </w:trPr>
        <w:tc>
          <w:tcPr>
            <w:tcW w:w="5112" w:type="dxa"/>
          </w:tcPr>
          <w:p w14:paraId="2204D1E5" w14:textId="77777777" w:rsidR="00A81E07" w:rsidRDefault="00490A57">
            <w:r>
              <w:rPr>
                <w:sz w:val="17"/>
              </w:rPr>
              <w:t>Fallback case</w:t>
            </w:r>
          </w:p>
        </w:tc>
        <w:tc>
          <w:tcPr>
            <w:tcW w:w="5112" w:type="dxa"/>
          </w:tcPr>
          <w:p w14:paraId="4835FF61" w14:textId="77777777" w:rsidR="00A81E07" w:rsidRDefault="00490A57">
            <w:r>
              <w:rPr>
                <w:sz w:val="17"/>
              </w:rPr>
              <w:t>If the funding gap remains, prioritize higher contribution, lower-cost university/city, Australia or another suitable backup destination, and scholarship preparation.</w:t>
            </w:r>
          </w:p>
        </w:tc>
      </w:tr>
    </w:tbl>
    <w:p w14:paraId="44EAFD9C" w14:textId="77777777" w:rsidR="00A81E07" w:rsidRDefault="00A81E07"/>
    <w:p w14:paraId="1FFD4896" w14:textId="77777777" w:rsidR="00A81E07" w:rsidRDefault="00490A57">
      <w:r>
        <w:t>The family should not wait until the final years to react to the conservative case. Annual reviews should update tuition, living costs, FX rate, portfolio performance, and scholarship assumptions so that adjustments can be made early.</w:t>
      </w:r>
    </w:p>
    <w:p w14:paraId="29763936" w14:textId="77777777" w:rsidR="00A81E07" w:rsidRDefault="00490A57">
      <w:pPr>
        <w:pStyle w:val="Heading1"/>
      </w:pPr>
      <w:r>
        <w:t>12. Recommended Action Plan</w:t>
      </w:r>
    </w:p>
    <w:p w14:paraId="6A484AAE" w14:textId="77777777" w:rsidR="00A81E07" w:rsidRDefault="00490A57">
      <w:r>
        <w:t>The plan should now move from analysis to execution. The highest-priority actions are to separate the education fund, increase the monthly contribution, implement a suitable investment strategy, and review protection coverage.</w:t>
      </w:r>
    </w:p>
    <w:tbl>
      <w:tblPr>
        <w:tblStyle w:val="TableGrid"/>
        <w:tblW w:w="0" w:type="auto"/>
        <w:jc w:val="center"/>
        <w:tblLook w:val="04A0" w:firstRow="1" w:lastRow="0" w:firstColumn="1" w:lastColumn="0" w:noHBand="0" w:noVBand="1"/>
      </w:tblPr>
      <w:tblGrid>
        <w:gridCol w:w="5107"/>
        <w:gridCol w:w="5107"/>
      </w:tblGrid>
      <w:tr w:rsidR="00A81E07" w14:paraId="62C4680C" w14:textId="77777777">
        <w:trPr>
          <w:jc w:val="center"/>
        </w:trPr>
        <w:tc>
          <w:tcPr>
            <w:tcW w:w="5112" w:type="dxa"/>
            <w:shd w:val="clear" w:color="auto" w:fill="1F4E78"/>
          </w:tcPr>
          <w:p w14:paraId="3816B0AB" w14:textId="77777777" w:rsidR="00A81E07" w:rsidRDefault="00490A57">
            <w:r>
              <w:rPr>
                <w:b/>
                <w:color w:val="FFFFFF"/>
                <w:sz w:val="17"/>
              </w:rPr>
              <w:t>Timing</w:t>
            </w:r>
          </w:p>
        </w:tc>
        <w:tc>
          <w:tcPr>
            <w:tcW w:w="5112" w:type="dxa"/>
            <w:shd w:val="clear" w:color="auto" w:fill="1F4E78"/>
          </w:tcPr>
          <w:p w14:paraId="12E8F6F8" w14:textId="77777777" w:rsidR="00A81E07" w:rsidRDefault="00490A57">
            <w:r>
              <w:rPr>
                <w:b/>
                <w:color w:val="FFFFFF"/>
                <w:sz w:val="17"/>
              </w:rPr>
              <w:t>Client-Facing Action</w:t>
            </w:r>
          </w:p>
        </w:tc>
      </w:tr>
      <w:tr w:rsidR="00A81E07" w14:paraId="2A47541E" w14:textId="77777777">
        <w:trPr>
          <w:jc w:val="center"/>
        </w:trPr>
        <w:tc>
          <w:tcPr>
            <w:tcW w:w="5112" w:type="dxa"/>
          </w:tcPr>
          <w:p w14:paraId="7A8F8FE5" w14:textId="77777777" w:rsidR="00A81E07" w:rsidRDefault="00490A57">
            <w:r>
              <w:rPr>
                <w:sz w:val="17"/>
              </w:rPr>
              <w:t>Next 1–3 months</w:t>
            </w:r>
          </w:p>
        </w:tc>
        <w:tc>
          <w:tcPr>
            <w:tcW w:w="5112" w:type="dxa"/>
          </w:tcPr>
          <w:p w14:paraId="6EB208D3" w14:textId="77777777" w:rsidR="00A81E07" w:rsidRDefault="00490A57">
            <w:r>
              <w:rPr>
                <w:sz w:val="17"/>
              </w:rPr>
              <w:t>Open a separate education fund account, validate Canada target costs, review insurance, and increase monthly saving from VND 20 million to at least VND 30 million.</w:t>
            </w:r>
          </w:p>
        </w:tc>
      </w:tr>
      <w:tr w:rsidR="00A81E07" w14:paraId="13E59E3D" w14:textId="77777777">
        <w:trPr>
          <w:jc w:val="center"/>
        </w:trPr>
        <w:tc>
          <w:tcPr>
            <w:tcW w:w="5112" w:type="dxa"/>
          </w:tcPr>
          <w:p w14:paraId="4372F9B2" w14:textId="77777777" w:rsidR="00A81E07" w:rsidRDefault="00490A57">
            <w:r>
              <w:rPr>
                <w:sz w:val="17"/>
              </w:rPr>
              <w:t>Next 12 months</w:t>
            </w:r>
          </w:p>
        </w:tc>
        <w:tc>
          <w:tcPr>
            <w:tcW w:w="5112" w:type="dxa"/>
          </w:tcPr>
          <w:p w14:paraId="2F761DD3" w14:textId="77777777" w:rsidR="00A81E07" w:rsidRDefault="00490A57">
            <w:r>
              <w:rPr>
                <w:sz w:val="17"/>
              </w:rPr>
              <w:t>Implement a moderate balanced portfolio, start gradual CAD/USD accumulation, allocate part of annual bonus to the education fund, and review progress quarterly.</w:t>
            </w:r>
          </w:p>
        </w:tc>
      </w:tr>
      <w:tr w:rsidR="00A81E07" w14:paraId="3E594F60" w14:textId="77777777">
        <w:trPr>
          <w:jc w:val="center"/>
        </w:trPr>
        <w:tc>
          <w:tcPr>
            <w:tcW w:w="5112" w:type="dxa"/>
          </w:tcPr>
          <w:p w14:paraId="6096972F" w14:textId="77777777" w:rsidR="00A81E07" w:rsidRDefault="00490A57">
            <w:r>
              <w:rPr>
                <w:sz w:val="17"/>
              </w:rPr>
              <w:t>2–3 years before departure</w:t>
            </w:r>
          </w:p>
        </w:tc>
        <w:tc>
          <w:tcPr>
            <w:tcW w:w="5112" w:type="dxa"/>
          </w:tcPr>
          <w:p w14:paraId="23C0E60A" w14:textId="77777777" w:rsidR="00A81E07" w:rsidRDefault="00490A57">
            <w:r>
              <w:rPr>
                <w:sz w:val="17"/>
              </w:rPr>
              <w:t>Reduce equity exposure, hold first-year cost in low-risk or CAD-linked assets, prepare visa fund documentation, and confirm school shortlist.</w:t>
            </w:r>
          </w:p>
        </w:tc>
      </w:tr>
      <w:tr w:rsidR="00A81E07" w14:paraId="5C6E1C16" w14:textId="77777777">
        <w:trPr>
          <w:jc w:val="center"/>
        </w:trPr>
        <w:tc>
          <w:tcPr>
            <w:tcW w:w="5112" w:type="dxa"/>
          </w:tcPr>
          <w:p w14:paraId="73ABDD57" w14:textId="77777777" w:rsidR="00A81E07" w:rsidRDefault="00490A57">
            <w:r>
              <w:rPr>
                <w:sz w:val="17"/>
              </w:rPr>
              <w:t>1 year before departure</w:t>
            </w:r>
          </w:p>
        </w:tc>
        <w:tc>
          <w:tcPr>
            <w:tcW w:w="5112" w:type="dxa"/>
          </w:tcPr>
          <w:p w14:paraId="7C03B5D3" w14:textId="77777777" w:rsidR="00A81E07" w:rsidRDefault="00490A57">
            <w:r>
              <w:rPr>
                <w:sz w:val="17"/>
              </w:rPr>
              <w:t>Lock first-year tuition and living cost reserve, prepare CAD cash reserve, finalize student insurance, and confirm accommodation plan.</w:t>
            </w:r>
          </w:p>
        </w:tc>
      </w:tr>
      <w:tr w:rsidR="00A81E07" w14:paraId="4A670A8A" w14:textId="77777777">
        <w:trPr>
          <w:jc w:val="center"/>
        </w:trPr>
        <w:tc>
          <w:tcPr>
            <w:tcW w:w="5112" w:type="dxa"/>
          </w:tcPr>
          <w:p w14:paraId="5E1DB4F4" w14:textId="77777777" w:rsidR="00A81E07" w:rsidRDefault="00490A57">
            <w:r>
              <w:rPr>
                <w:sz w:val="17"/>
              </w:rPr>
              <w:t>Review cadence</w:t>
            </w:r>
          </w:p>
        </w:tc>
        <w:tc>
          <w:tcPr>
            <w:tcW w:w="5112" w:type="dxa"/>
          </w:tcPr>
          <w:p w14:paraId="75F8B465" w14:textId="77777777" w:rsidR="00A81E07" w:rsidRDefault="00490A57">
            <w:r>
              <w:rPr>
                <w:sz w:val="17"/>
              </w:rPr>
              <w:t>Review portfolio quarterly and refresh full plan assumptions annually, including tuition, living cost, FX, inflation, scholarship, and destination choice.</w:t>
            </w:r>
          </w:p>
        </w:tc>
      </w:tr>
    </w:tbl>
    <w:p w14:paraId="4B94D5A5" w14:textId="77777777" w:rsidR="00A81E07" w:rsidRDefault="00A81E07"/>
    <w:p w14:paraId="513D2E58" w14:textId="77777777" w:rsidR="00A81E07" w:rsidRDefault="00490A57">
      <w:r>
        <w:t>The contribution increase can be phased. If the family is not ready to move directly to VND 36–37 million per month, a step-up to VND 30 million combined with bonus allocation is a practical first move.</w:t>
      </w:r>
    </w:p>
    <w:p w14:paraId="1E0AC463" w14:textId="77777777" w:rsidR="00A81E07" w:rsidRDefault="00490A57">
      <w:pPr>
        <w:pStyle w:val="Heading1"/>
      </w:pPr>
      <w:r>
        <w:t>13. Final Recommendation and Plan Status</w:t>
      </w:r>
    </w:p>
    <w:p w14:paraId="4740FC3B" w14:textId="77777777" w:rsidR="00A81E07" w:rsidRDefault="00490A57">
      <w:r>
        <w:t>The family is in a good position to pursue the child’s study-abroad goal, but the current contribution level is not enough to fully fund the Canada undergraduate plan. The plan is therefore best described as partially on track: the foundation is strong, but the savings rate and investment strategy must be upgraded.</w:t>
      </w:r>
    </w:p>
    <w:p w14:paraId="2C3BD902" w14:textId="77777777" w:rsidR="00A81E07" w:rsidRDefault="00490A57">
      <w:r>
        <w:t>The key recommendation is to move the monthly education contribution toward VND 36–37 million and invest through a moderate balanced portfolio with gradual de-risking. This should be combined with gradual CAD/USD exposure, annual cost reviews, and an insurance review to protect the plan against income disruption.</w:t>
      </w:r>
    </w:p>
    <w:p w14:paraId="3443557D" w14:textId="77777777" w:rsidR="00A81E07" w:rsidRDefault="00490A57">
      <w:r>
        <w:t>If the family follows the recommended contribution increase and reviews the plan regularly, the goal is likely achievable without relying heavily on loans or uncertain scholarships. The main risks to monitor are education inflation, FX depreciation, investment underperformance, income disruption, insurance gap, and destination cost escalation.</w:t>
      </w:r>
    </w:p>
    <w:tbl>
      <w:tblPr>
        <w:tblStyle w:val="TableGrid"/>
        <w:tblW w:w="0" w:type="auto"/>
        <w:jc w:val="center"/>
        <w:tblLook w:val="04A0" w:firstRow="1" w:lastRow="0" w:firstColumn="1" w:lastColumn="0" w:noHBand="0" w:noVBand="1"/>
      </w:tblPr>
      <w:tblGrid>
        <w:gridCol w:w="5107"/>
        <w:gridCol w:w="5107"/>
      </w:tblGrid>
      <w:tr w:rsidR="00A81E07" w14:paraId="107F26BF" w14:textId="77777777">
        <w:trPr>
          <w:jc w:val="center"/>
        </w:trPr>
        <w:tc>
          <w:tcPr>
            <w:tcW w:w="5112" w:type="dxa"/>
            <w:shd w:val="clear" w:color="auto" w:fill="1F4E78"/>
          </w:tcPr>
          <w:p w14:paraId="62A537B8" w14:textId="77777777" w:rsidR="00A81E07" w:rsidRDefault="00490A57">
            <w:r>
              <w:rPr>
                <w:b/>
                <w:color w:val="FFFFFF"/>
                <w:sz w:val="17"/>
              </w:rPr>
              <w:t>Final Output Area</w:t>
            </w:r>
          </w:p>
        </w:tc>
        <w:tc>
          <w:tcPr>
            <w:tcW w:w="5112" w:type="dxa"/>
            <w:shd w:val="clear" w:color="auto" w:fill="1F4E78"/>
          </w:tcPr>
          <w:p w14:paraId="18E326E3" w14:textId="77777777" w:rsidR="00A81E07" w:rsidRDefault="00490A57">
            <w:r>
              <w:rPr>
                <w:b/>
                <w:color w:val="FFFFFF"/>
                <w:sz w:val="17"/>
              </w:rPr>
              <w:t>Client-Facing Conclusion</w:t>
            </w:r>
          </w:p>
        </w:tc>
      </w:tr>
      <w:tr w:rsidR="00A81E07" w14:paraId="4F2A34F6" w14:textId="77777777">
        <w:trPr>
          <w:jc w:val="center"/>
        </w:trPr>
        <w:tc>
          <w:tcPr>
            <w:tcW w:w="5112" w:type="dxa"/>
          </w:tcPr>
          <w:p w14:paraId="196AA8BB" w14:textId="77777777" w:rsidR="00A81E07" w:rsidRDefault="00490A57">
            <w:r>
              <w:rPr>
                <w:sz w:val="17"/>
              </w:rPr>
              <w:t>Overall feasibility</w:t>
            </w:r>
          </w:p>
        </w:tc>
        <w:tc>
          <w:tcPr>
            <w:tcW w:w="5112" w:type="dxa"/>
          </w:tcPr>
          <w:p w14:paraId="5F47C14B" w14:textId="77777777" w:rsidR="00A81E07" w:rsidRDefault="00490A57">
            <w:r>
              <w:rPr>
                <w:sz w:val="17"/>
              </w:rPr>
              <w:t>Feasible with adjustment</w:t>
            </w:r>
          </w:p>
        </w:tc>
      </w:tr>
      <w:tr w:rsidR="00A81E07" w14:paraId="1B0008E3" w14:textId="77777777">
        <w:trPr>
          <w:jc w:val="center"/>
        </w:trPr>
        <w:tc>
          <w:tcPr>
            <w:tcW w:w="5112" w:type="dxa"/>
          </w:tcPr>
          <w:p w14:paraId="6D75C63A" w14:textId="77777777" w:rsidR="00A81E07" w:rsidRDefault="00490A57">
            <w:r>
              <w:rPr>
                <w:sz w:val="17"/>
              </w:rPr>
              <w:t>Funding recommendation</w:t>
            </w:r>
          </w:p>
        </w:tc>
        <w:tc>
          <w:tcPr>
            <w:tcW w:w="5112" w:type="dxa"/>
          </w:tcPr>
          <w:p w14:paraId="16CC48D4" w14:textId="77777777" w:rsidR="00A81E07" w:rsidRDefault="00490A57">
            <w:r>
              <w:rPr>
                <w:sz w:val="17"/>
              </w:rPr>
              <w:t>Increase monthly saving from VND 20 million toward VND 36–37 million</w:t>
            </w:r>
          </w:p>
        </w:tc>
      </w:tr>
      <w:tr w:rsidR="00A81E07" w14:paraId="6998B779" w14:textId="77777777">
        <w:trPr>
          <w:jc w:val="center"/>
        </w:trPr>
        <w:tc>
          <w:tcPr>
            <w:tcW w:w="5112" w:type="dxa"/>
          </w:tcPr>
          <w:p w14:paraId="45EC04A6" w14:textId="77777777" w:rsidR="00A81E07" w:rsidRDefault="00490A57">
            <w:r>
              <w:rPr>
                <w:sz w:val="17"/>
              </w:rPr>
              <w:t>Investment recommendation</w:t>
            </w:r>
          </w:p>
        </w:tc>
        <w:tc>
          <w:tcPr>
            <w:tcW w:w="5112" w:type="dxa"/>
          </w:tcPr>
          <w:p w14:paraId="768E77B2" w14:textId="77777777" w:rsidR="00A81E07" w:rsidRDefault="00490A57">
            <w:r>
              <w:rPr>
                <w:sz w:val="17"/>
              </w:rPr>
              <w:t>Use moderate balanced portfolio with glidepath</w:t>
            </w:r>
          </w:p>
        </w:tc>
      </w:tr>
      <w:tr w:rsidR="00A81E07" w14:paraId="05881AE1" w14:textId="77777777">
        <w:trPr>
          <w:jc w:val="center"/>
        </w:trPr>
        <w:tc>
          <w:tcPr>
            <w:tcW w:w="5112" w:type="dxa"/>
          </w:tcPr>
          <w:p w14:paraId="4B4BB426" w14:textId="77777777" w:rsidR="00A81E07" w:rsidRDefault="00490A57">
            <w:r>
              <w:rPr>
                <w:sz w:val="17"/>
              </w:rPr>
              <w:t>FX recommendation</w:t>
            </w:r>
          </w:p>
        </w:tc>
        <w:tc>
          <w:tcPr>
            <w:tcW w:w="5112" w:type="dxa"/>
          </w:tcPr>
          <w:p w14:paraId="74793201" w14:textId="77777777" w:rsidR="00A81E07" w:rsidRDefault="00490A57">
            <w:r>
              <w:rPr>
                <w:sz w:val="17"/>
              </w:rPr>
              <w:t>Build CAD/USD exposure gradually</w:t>
            </w:r>
          </w:p>
        </w:tc>
      </w:tr>
      <w:tr w:rsidR="00A81E07" w14:paraId="0EB93F8D" w14:textId="77777777">
        <w:trPr>
          <w:jc w:val="center"/>
        </w:trPr>
        <w:tc>
          <w:tcPr>
            <w:tcW w:w="5112" w:type="dxa"/>
          </w:tcPr>
          <w:p w14:paraId="601A3BD5" w14:textId="77777777" w:rsidR="00A81E07" w:rsidRDefault="00490A57">
            <w:r>
              <w:rPr>
                <w:sz w:val="17"/>
              </w:rPr>
              <w:t>Protection recommendation</w:t>
            </w:r>
          </w:p>
        </w:tc>
        <w:tc>
          <w:tcPr>
            <w:tcW w:w="5112" w:type="dxa"/>
          </w:tcPr>
          <w:p w14:paraId="09FB5107" w14:textId="77777777" w:rsidR="00A81E07" w:rsidRDefault="00490A57">
            <w:r>
              <w:rPr>
                <w:sz w:val="17"/>
              </w:rPr>
              <w:t>Strengthen emergency reserves and review insurance coverage</w:t>
            </w:r>
          </w:p>
        </w:tc>
      </w:tr>
      <w:tr w:rsidR="00A81E07" w14:paraId="48F6A511" w14:textId="77777777">
        <w:trPr>
          <w:jc w:val="center"/>
        </w:trPr>
        <w:tc>
          <w:tcPr>
            <w:tcW w:w="5112" w:type="dxa"/>
          </w:tcPr>
          <w:p w14:paraId="0B28DF37" w14:textId="77777777" w:rsidR="00A81E07" w:rsidRDefault="00490A57">
            <w:r>
              <w:rPr>
                <w:sz w:val="17"/>
              </w:rPr>
              <w:t>Plan status</w:t>
            </w:r>
          </w:p>
        </w:tc>
        <w:tc>
          <w:tcPr>
            <w:tcW w:w="5112" w:type="dxa"/>
          </w:tcPr>
          <w:p w14:paraId="0EBDBCEF" w14:textId="77777777" w:rsidR="00A81E07" w:rsidRDefault="00490A57">
            <w:r>
              <w:rPr>
                <w:sz w:val="17"/>
              </w:rPr>
              <w:t>Partially on track now; likely achievable with disciplined execution and annual review</w:t>
            </w:r>
          </w:p>
        </w:tc>
      </w:tr>
    </w:tbl>
    <w:p w14:paraId="3DEEC669" w14:textId="77777777" w:rsidR="00A81E07" w:rsidRDefault="00A81E07"/>
    <w:sectPr w:rsidR="00A81E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39314">
    <w:abstractNumId w:val="8"/>
  </w:num>
  <w:num w:numId="2" w16cid:durableId="695619050">
    <w:abstractNumId w:val="6"/>
  </w:num>
  <w:num w:numId="3" w16cid:durableId="190459331">
    <w:abstractNumId w:val="5"/>
  </w:num>
  <w:num w:numId="4" w16cid:durableId="929969349">
    <w:abstractNumId w:val="4"/>
  </w:num>
  <w:num w:numId="5" w16cid:durableId="918366088">
    <w:abstractNumId w:val="7"/>
  </w:num>
  <w:num w:numId="6" w16cid:durableId="1063019746">
    <w:abstractNumId w:val="3"/>
  </w:num>
  <w:num w:numId="7" w16cid:durableId="268901086">
    <w:abstractNumId w:val="2"/>
  </w:num>
  <w:num w:numId="8" w16cid:durableId="1619331611">
    <w:abstractNumId w:val="1"/>
  </w:num>
  <w:num w:numId="9" w16cid:durableId="9209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04E"/>
    <w:rsid w:val="00490A57"/>
    <w:rsid w:val="00A81E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98D388-11BF-45AF-A159-22C3FAAA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2988</Words>
  <Characters>17035</Characters>
  <Application>Microsoft Office Word</Application>
  <DocSecurity>0</DocSecurity>
  <Lines>141</Lines>
  <Paragraphs>39</Paragraphs>
  <ScaleCrop>false</ScaleCrop>
  <Manager/>
  <Company/>
  <LinksUpToDate>false</LinksUpToDate>
  <CharactersWithSpaces>19984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Dong Nguyen Hoang</cp:lastModifiedBy>
  <cp:revision>2</cp:revision>
  <dcterms:created xsi:type="dcterms:W3CDTF">2026-06-09T09:54:00Z</dcterms:created>
  <dcterms:modified xsi:type="dcterms:W3CDTF">2026-06-09T09:54:00Z</dcterms:modified>
  <cp:category/>
</cp:coreProperties>
</file>