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Calibri" w:hAnsi="Calibri"/>
          <w:b/>
          <w:i w:val="0"/>
          <w:color w:val="274C77"/>
          <w:sz w:val="56"/>
        </w:rPr>
        <w:t>Teknisk Systemrapport</w:t>
      </w:r>
    </w:p>
    <w:p>
      <w:pPr>
        <w:jc w:val="center"/>
      </w:pPr>
      <w:r>
        <w:rPr>
          <w:rFonts w:ascii="Calibri" w:hAnsi="Calibri"/>
          <w:b w:val="0"/>
          <w:i w:val="0"/>
          <w:color w:val="5B6472"/>
          <w:sz w:val="32"/>
        </w:rPr>
        <w:t>Investeringsrådgivningsplattform</w:t>
      </w:r>
    </w:p>
    <w:p>
      <w:pPr>
        <w:jc w:val="center"/>
      </w:pPr>
      <w:r>
        <w:rPr>
          <w:rFonts w:ascii="Calibri" w:hAnsi="Calibri"/>
          <w:b w:val="0"/>
          <w:i/>
          <w:color w:val="8D95A3"/>
          <w:sz w:val="20"/>
        </w:rPr>
        <w:t>Förberedd inför presentation för IT-chef  ·  2026-05-31</w:t>
      </w:r>
    </w:p>
    <w:p>
      <w:r>
        <w:br w:type="page"/>
      </w:r>
    </w:p>
    <w:p>
      <w:pPr>
        <w:spacing w:before="360" w:after="120"/>
        <w:pBdr>
          <w:bottom w:val="single" w:sz="4" w:space="4" w:color="274C77"/>
        </w:pBdr>
      </w:pPr>
      <w:r>
        <w:rPr>
          <w:rFonts w:ascii="Calibri" w:hAnsi="Calibri"/>
          <w:b/>
          <w:i w:val="0"/>
          <w:color w:val="274C77"/>
          <w:sz w:val="32"/>
        </w:rPr>
        <w:t>1. Systemöversikt</w:t>
      </w:r>
    </w:p>
    <w:p>
      <w:pPr>
        <w:spacing w:after="80"/>
      </w:pPr>
      <w:r>
        <w:rPr>
          <w:rFonts w:ascii="Calibri" w:hAnsi="Calibri"/>
          <w:b w:val="0"/>
          <w:i w:val="0"/>
          <w:color w:val="1E2430"/>
          <w:sz w:val="21"/>
        </w:rPr>
        <w:t>Plattformen är en webbapplikation byggd i Next.js 16 (React 19) med tre distinkta produktytor som delar samma kodbas och databas. Sidan är lösenordsskyddad globalt via en middleware-gate — rätt lösenord lagras som cookie och kontrolleras på varje HTTP-request.</w:t>
      </w:r>
    </w:p>
    <w:p>
      <w:pPr>
        <w:spacing w:before="240" w:after="80"/>
      </w:pPr>
      <w:r>
        <w:rPr>
          <w:rFonts w:ascii="Calibri" w:hAnsi="Calibri"/>
          <w:b/>
          <w:i w:val="0"/>
          <w:color w:val="1E2430"/>
          <w:sz w:val="24"/>
        </w:rPr>
        <w:t>De tre produktytorna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  <w:shd w:val="clear" w:color="auto" w:fill="274C7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Yta</w:t>
            </w:r>
          </w:p>
        </w:tc>
        <w:tc>
          <w:tcPr>
            <w:tcW w:type="dxa" w:w="2268"/>
            <w:shd w:val="clear" w:color="auto" w:fill="274C7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Målgrupp</w:t>
            </w:r>
          </w:p>
        </w:tc>
        <w:tc>
          <w:tcPr>
            <w:tcW w:type="dxa" w:w="5102"/>
            <w:shd w:val="clear" w:color="auto" w:fill="274C7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Beskrivning</w:t>
            </w:r>
          </w:p>
        </w:tc>
      </w:tr>
      <w:tr>
        <w:tc>
          <w:tcPr>
            <w:tcW w:type="dxa" w:w="1984"/>
            <w:shd w:val="clear" w:color="auto" w:fill="F6F7F9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B2C</w:t>
            </w:r>
          </w:p>
        </w:tc>
        <w:tc>
          <w:tcPr>
            <w:tcW w:type="dxa" w:w="2268"/>
            <w:shd w:val="clear" w:color="auto" w:fill="F6F7F9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Privatpersoner</w:t>
            </w:r>
          </w:p>
        </w:tc>
        <w:tc>
          <w:tcPr>
            <w:tcW w:type="dxa" w:w="5102"/>
            <w:shd w:val="clear" w:color="auto" w:fill="F6F7F9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Loggar in, analyserar sin portfölj, AI bygger portfölj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B2B 1 – Fondguide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Rådgivare → kund</w:t>
            </w:r>
          </w:p>
        </w:tc>
        <w:tc>
          <w:tcPr>
            <w:tcW w:type="dxa" w:w="510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Signerad länk med fondanalys, ingen inloggning krävs</w:t>
            </w:r>
          </w:p>
        </w:tc>
      </w:tr>
      <w:tr>
        <w:tc>
          <w:tcPr>
            <w:tcW w:type="dxa" w:w="1984"/>
            <w:shd w:val="clear" w:color="auto" w:fill="F6F7F9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B2B 2 – Portföljanalys</w:t>
            </w:r>
          </w:p>
        </w:tc>
        <w:tc>
          <w:tcPr>
            <w:tcW w:type="dxa" w:w="2268"/>
            <w:shd w:val="clear" w:color="auto" w:fill="F6F7F9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Företaget internt</w:t>
            </w:r>
          </w:p>
        </w:tc>
        <w:tc>
          <w:tcPr>
            <w:tcW w:type="dxa" w:w="5102"/>
            <w:shd w:val="clear" w:color="auto" w:fill="F6F7F9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Kopplar mot Morningstar Direct, admin + rådgivardashboard</w:t>
            </w:r>
          </w:p>
        </w:tc>
      </w:tr>
    </w:tbl>
    <w:p/>
    <w:p>
      <w:pPr>
        <w:spacing w:before="360" w:after="120"/>
        <w:pBdr>
          <w:bottom w:val="single" w:sz="4" w:space="4" w:color="274C77"/>
        </w:pBdr>
      </w:pPr>
      <w:r>
        <w:rPr>
          <w:rFonts w:ascii="Calibri" w:hAnsi="Calibri"/>
          <w:b/>
          <w:i w:val="0"/>
          <w:color w:val="274C77"/>
          <w:sz w:val="32"/>
        </w:rPr>
        <w:t>2. Hosting &amp; Driftsättning</w:t>
      </w:r>
    </w:p>
    <w:p>
      <w:pPr>
        <w:spacing w:before="240" w:after="80"/>
      </w:pPr>
      <w:r>
        <w:rPr>
          <w:rFonts w:ascii="Calibri" w:hAnsi="Calibri"/>
          <w:b/>
          <w:i w:val="0"/>
          <w:color w:val="1E2430"/>
          <w:sz w:val="24"/>
        </w:rPr>
        <w:t>2.1 Frontend — Next.js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1E2430"/>
          <w:sz w:val="21"/>
        </w:rPr>
        <w:t>Körs som en Next.js-app med server-side rendering och API routes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1E2430"/>
          <w:sz w:val="21"/>
        </w:rPr>
        <w:t>Avsedd för deploy på Vercel (standardplattform, zero-config vid git push)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1E2430"/>
          <w:sz w:val="21"/>
        </w:rPr>
        <w:t>Bygge: npm run build → npm run start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1E2430"/>
          <w:sz w:val="21"/>
        </w:rPr>
        <w:t>Alla hemligheter (API-nycklar, tokens) lagras som miljövariabler i Vercel — aldrig i koden</w:t>
      </w:r>
    </w:p>
    <w:p>
      <w:pPr>
        <w:spacing w:before="240" w:after="80"/>
      </w:pPr>
      <w:r>
        <w:rPr>
          <w:rFonts w:ascii="Calibri" w:hAnsi="Calibri"/>
          <w:b/>
          <w:i w:val="0"/>
          <w:color w:val="1E2430"/>
          <w:sz w:val="24"/>
        </w:rPr>
        <w:t>2.2 Backend Python-API — Morningstar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1E2430"/>
          <w:sz w:val="21"/>
        </w:rPr>
        <w:t>Separat FastAPI-server (Python 3.12) som kommunicerar med Morningstar Direct SDK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1E2430"/>
          <w:sz w:val="21"/>
        </w:rPr>
        <w:t>Körs lokalt under utveckling: uvicorn main:app --port 8000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1E2430"/>
          <w:sz w:val="21"/>
        </w:rPr>
        <w:t>Har en Dockerfile — kan containeriseras och hostas separat (Railway, Fly.io, intern server)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1E2430"/>
          <w:sz w:val="21"/>
        </w:rPr>
        <w:t>Next.js-appen kommunicerar med den via miljövariabeln MORNINGSTAR_API_URL</w:t>
      </w:r>
    </w:p>
    <w:p>
      <w:pPr>
        <w:spacing w:after="80"/>
      </w:pPr>
      <w:r>
        <w:rPr>
          <w:rFonts w:ascii="Calibri" w:hAnsi="Calibri"/>
          <w:b w:val="0"/>
          <w:i/>
          <w:color w:val="1E2430"/>
          <w:sz w:val="21"/>
        </w:rPr>
        <w:t>Viktig notering: I produktion måste Python-tjänsten hostas separat och MORNINGSTAR_API_URL pekas mot dess URL. Den behöver nå Morningstar Directs API men behöver inte vara publik mot internet — Next.js kan nå den server-side.</w:t>
      </w:r>
    </w:p>
    <w:p>
      <w:pPr>
        <w:spacing w:before="360" w:after="120"/>
        <w:pBdr>
          <w:bottom w:val="single" w:sz="4" w:space="4" w:color="274C77"/>
        </w:pBdr>
      </w:pPr>
      <w:r>
        <w:rPr>
          <w:rFonts w:ascii="Calibri" w:hAnsi="Calibri"/>
          <w:b/>
          <w:i w:val="0"/>
          <w:color w:val="274C77"/>
          <w:sz w:val="32"/>
        </w:rPr>
        <w:t>3. Databas — Supabase (PostgreSQL)</w:t>
      </w:r>
    </w:p>
    <w:p>
      <w:pPr>
        <w:spacing w:after="80"/>
      </w:pPr>
      <w:r>
        <w:rPr>
          <w:rFonts w:ascii="Calibri" w:hAnsi="Calibri"/>
          <w:b w:val="0"/>
          <w:i w:val="0"/>
          <w:color w:val="1E2430"/>
          <w:sz w:val="21"/>
        </w:rPr>
        <w:t>Supabase är en managed PostgreSQL-tjänst med inbyggd autentisering, Row Level Security och Storage. Kräver ingen egen databasserver att förvalta.</w:t>
      </w:r>
    </w:p>
    <w:p>
      <w:pPr>
        <w:spacing w:before="240" w:after="80"/>
      </w:pPr>
      <w:r>
        <w:rPr>
          <w:rFonts w:ascii="Calibri" w:hAnsi="Calibri"/>
          <w:b/>
          <w:i w:val="0"/>
          <w:color w:val="1E2430"/>
          <w:sz w:val="24"/>
        </w:rPr>
        <w:t>3.1 Tabellöversikt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835"/>
            <w:shd w:val="clear" w:color="auto" w:fill="274C7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Tabell</w:t>
            </w:r>
          </w:p>
        </w:tc>
        <w:tc>
          <w:tcPr>
            <w:tcW w:type="dxa" w:w="6520"/>
            <w:shd w:val="clear" w:color="auto" w:fill="274C7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Syfte</w:t>
            </w:r>
          </w:p>
        </w:tc>
      </w:tr>
      <w:tr>
        <w:tc>
          <w:tcPr>
            <w:tcW w:type="dxa" w:w="2835"/>
            <w:shd w:val="clear" w:color="auto" w:fill="F6F7F9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funds</w:t>
            </w:r>
          </w:p>
        </w:tc>
        <w:tc>
          <w:tcPr>
            <w:tcW w:type="dxa" w:w="6520"/>
            <w:shd w:val="clear" w:color="auto" w:fill="F6F7F9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Fonddata: ISIN, avkastning, risk, avgift, kategori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avanza_offerings</w:t>
            </w:r>
          </w:p>
        </w:tc>
        <w:tc>
          <w:tcPr>
            <w:tcW w:type="dxa" w:w="652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Vilka fonder Avanza erbjuder (ISIN-lista)</w:t>
            </w:r>
          </w:p>
        </w:tc>
      </w:tr>
      <w:tr>
        <w:tc>
          <w:tcPr>
            <w:tcW w:type="dxa" w:w="2835"/>
            <w:shd w:val="clear" w:color="auto" w:fill="F6F7F9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nordnet_offerings</w:t>
            </w:r>
          </w:p>
        </w:tc>
        <w:tc>
          <w:tcPr>
            <w:tcW w:type="dxa" w:w="6520"/>
            <w:shd w:val="clear" w:color="auto" w:fill="F6F7F9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Vilka fonder Nordnet erbjuder (ISIN-lista)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portfolios</w:t>
            </w:r>
          </w:p>
        </w:tc>
        <w:tc>
          <w:tcPr>
            <w:tcW w:type="dxa" w:w="652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B2C-användares sparade portföljer (holdings + analys)</w:t>
            </w:r>
          </w:p>
        </w:tc>
      </w:tr>
      <w:tr>
        <w:tc>
          <w:tcPr>
            <w:tcW w:type="dxa" w:w="2835"/>
            <w:shd w:val="clear" w:color="auto" w:fill="F6F7F9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risk_profiles</w:t>
            </w:r>
          </w:p>
        </w:tc>
        <w:tc>
          <w:tcPr>
            <w:tcW w:type="dxa" w:w="6520"/>
            <w:shd w:val="clear" w:color="auto" w:fill="F6F7F9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B2C-användares riskprofil (4 frågor → poäng + etikett)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morningstar_cache</w:t>
            </w:r>
          </w:p>
        </w:tc>
        <w:tc>
          <w:tcPr>
            <w:tcW w:type="dxa" w:w="652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Daglig cache av Morningstar-portföljdata</w:t>
            </w:r>
          </w:p>
        </w:tc>
      </w:tr>
      <w:tr>
        <w:tc>
          <w:tcPr>
            <w:tcW w:type="dxa" w:w="2835"/>
            <w:shd w:val="clear" w:color="auto" w:fill="F6F7F9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managed_portfolios</w:t>
            </w:r>
          </w:p>
        </w:tc>
        <w:tc>
          <w:tcPr>
            <w:tcW w:type="dxa" w:w="6520"/>
            <w:shd w:val="clear" w:color="auto" w:fill="F6F7F9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Portföljer som adminpanelen exponerar för rådgivare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advisor_profiles</w:t>
            </w:r>
          </w:p>
        </w:tc>
        <w:tc>
          <w:tcPr>
            <w:tcW w:type="dxa" w:w="652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Registrerade rådgivare (kod + namn)</w:t>
            </w:r>
          </w:p>
        </w:tc>
      </w:tr>
      <w:tr>
        <w:tc>
          <w:tcPr>
            <w:tcW w:type="dxa" w:w="2835"/>
            <w:shd w:val="clear" w:color="auto" w:fill="F6F7F9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advisor_dashboards</w:t>
            </w:r>
          </w:p>
        </w:tc>
        <w:tc>
          <w:tcPr>
            <w:tcW w:type="dxa" w:w="6520"/>
            <w:shd w:val="clear" w:color="auto" w:fill="F6F7F9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Rådgivarens sparade dashboard-layout (JSON)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dashboard_commentary</w:t>
            </w:r>
          </w:p>
        </w:tc>
        <w:tc>
          <w:tcPr>
            <w:tcW w:type="dxa" w:w="652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Redaktionell kommentar i dashboarden</w:t>
            </w:r>
          </w:p>
        </w:tc>
      </w:tr>
      <w:tr>
        <w:tc>
          <w:tcPr>
            <w:tcW w:type="dxa" w:w="2835"/>
            <w:shd w:val="clear" w:color="auto" w:fill="F6F7F9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app_settings</w:t>
            </w:r>
          </w:p>
        </w:tc>
        <w:tc>
          <w:tcPr>
            <w:tcW w:type="dxa" w:w="6520"/>
            <w:shd w:val="clear" w:color="auto" w:fill="F6F7F9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Nyckel-värde: bl.a. Morningstar auth-token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portfolio_documents</w:t>
            </w:r>
          </w:p>
        </w:tc>
        <w:tc>
          <w:tcPr>
            <w:tcW w:type="dxa" w:w="652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Metadata för uppladdade PDF-dokument per portfölj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1E2430"/>
          <w:sz w:val="24"/>
        </w:rPr>
        <w:t>3.2 Säkerhet (Row Level Security)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1E2430"/>
          <w:sz w:val="21"/>
        </w:rPr>
        <w:t>Fonddata: publik läsning, service role för skrivning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1E2430"/>
          <w:sz w:val="21"/>
        </w:rPr>
        <w:t>Användares portföljer/riskprofiler: endast den inloggade ägaren kan läsa/skriva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1E2430"/>
          <w:sz w:val="21"/>
        </w:rPr>
        <w:t>Morningstar-cache, managed portfolios, advisor-data: enbart server-side service role-nyckel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1E2430"/>
          <w:sz w:val="21"/>
        </w:rPr>
        <w:t>app_settings: inga öppna policies — enbart service role (admin-routes)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1E2430"/>
          <w:sz w:val="21"/>
        </w:rPr>
        <w:t>Dokumentlagring: privat Supabase Storage bucket (portfolio-docs)</w:t>
      </w:r>
    </w:p>
    <w:p>
      <w:pPr>
        <w:spacing w:before="360" w:after="120"/>
        <w:pBdr>
          <w:bottom w:val="single" w:sz="4" w:space="4" w:color="274C77"/>
        </w:pBdr>
      </w:pPr>
      <w:r>
        <w:rPr>
          <w:rFonts w:ascii="Calibri" w:hAnsi="Calibri"/>
          <w:b/>
          <w:i w:val="0"/>
          <w:color w:val="274C77"/>
          <w:sz w:val="32"/>
        </w:rPr>
        <w:t>4. Autentisering</w:t>
      </w:r>
    </w:p>
    <w:p>
      <w:pPr>
        <w:spacing w:before="240" w:after="80"/>
      </w:pPr>
      <w:r>
        <w:rPr>
          <w:rFonts w:ascii="Calibri" w:hAnsi="Calibri"/>
          <w:b/>
          <w:i w:val="0"/>
          <w:color w:val="1E2430"/>
          <w:sz w:val="24"/>
        </w:rPr>
        <w:t>4.1 B2C — Användarinloggning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1E2430"/>
          <w:sz w:val="21"/>
        </w:rPr>
        <w:t>Supabase Auth: e-post + lösenord (OAuth kan aktiveras)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1E2430"/>
          <w:sz w:val="21"/>
        </w:rPr>
        <w:t>Session hanteras via HTTP-cookies, refreshas automatiskt i middleware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1E2430"/>
          <w:sz w:val="21"/>
        </w:rPr>
        <w:t>Callback-route: /auth/callback</w:t>
      </w:r>
    </w:p>
    <w:p>
      <w:pPr>
        <w:spacing w:before="240" w:after="80"/>
      </w:pPr>
      <w:r>
        <w:rPr>
          <w:rFonts w:ascii="Calibri" w:hAnsi="Calibri"/>
          <w:b/>
          <w:i w:val="0"/>
          <w:color w:val="1E2430"/>
          <w:sz w:val="24"/>
        </w:rPr>
        <w:t>4.2 Sitewide lösenordsskydd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1E2430"/>
          <w:sz w:val="21"/>
        </w:rPr>
        <w:t>Hela siten skyddas av ett lösenord (env-variabeln INTEGRATION_PASSWORD)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1E2430"/>
          <w:sz w:val="21"/>
        </w:rPr>
        <w:t>Cookie integration_auth kontrolleras på varje request i proxy.ts (Next.js middleware)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1E2430"/>
          <w:sz w:val="21"/>
        </w:rPr>
        <w:t>Om cookie saknas → automatisk redirect till inloggningssidan</w:t>
      </w:r>
    </w:p>
    <w:p>
      <w:pPr>
        <w:spacing w:before="240" w:after="80"/>
      </w:pPr>
      <w:r>
        <w:rPr>
          <w:rFonts w:ascii="Calibri" w:hAnsi="Calibri"/>
          <w:b/>
          <w:i w:val="0"/>
          <w:color w:val="1E2430"/>
          <w:sz w:val="24"/>
        </w:rPr>
        <w:t>4.3 Admin-access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1E2430"/>
          <w:sz w:val="21"/>
        </w:rPr>
        <w:t>Adminpanelen kräver inloggning via Supabase Auth + e-post i ADMIN_EMAILS-listan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1E2430"/>
          <w:sz w:val="21"/>
        </w:rPr>
        <w:t>Kontrolleras server-side på varje admin-API-anrop — inga klient-side genvägar</w:t>
      </w:r>
    </w:p>
    <w:p>
      <w:pPr>
        <w:spacing w:before="360" w:after="120"/>
        <w:pBdr>
          <w:bottom w:val="single" w:sz="4" w:space="4" w:color="274C77"/>
        </w:pBdr>
      </w:pPr>
      <w:r>
        <w:rPr>
          <w:rFonts w:ascii="Calibri" w:hAnsi="Calibri"/>
          <w:b/>
          <w:i w:val="0"/>
          <w:color w:val="274C77"/>
          <w:sz w:val="32"/>
        </w:rPr>
        <w:t>5. B2B 2 — Morningstar-integration (Huvud-produkt)</w:t>
      </w:r>
    </w:p>
    <w:p>
      <w:pPr>
        <w:spacing w:after="80"/>
      </w:pPr>
      <w:r>
        <w:rPr>
          <w:rFonts w:ascii="Calibri" w:hAnsi="Calibri"/>
          <w:b w:val="0"/>
          <w:i w:val="0"/>
          <w:color w:val="1E2430"/>
          <w:sz w:val="21"/>
        </w:rPr>
        <w:t>Detta är den primära produktytan för er organisation. Den kopplar direkt mot Morningstar Direct via ett Python-API och presenterar portföljdata för rådgivare via en interaktiv dashboard.</w:t>
      </w:r>
    </w:p>
    <w:p>
      <w:pPr>
        <w:spacing w:before="240" w:after="80"/>
      </w:pPr>
      <w:r>
        <w:rPr>
          <w:rFonts w:ascii="Calibri" w:hAnsi="Calibri"/>
          <w:b/>
          <w:i w:val="0"/>
          <w:color w:val="1E2430"/>
          <w:sz w:val="24"/>
        </w:rPr>
        <w:t>5.1 Flöde steg för steg</w:t>
      </w:r>
    </w:p>
    <w:p>
      <w:pPr>
        <w:spacing w:before="160" w:after="40"/>
      </w:pPr>
      <w:r>
        <w:rPr>
          <w:rFonts w:ascii="Calibri" w:hAnsi="Calibri"/>
          <w:b/>
          <w:i w:val="0"/>
          <w:color w:val="5B6472"/>
          <w:sz w:val="22"/>
        </w:rPr>
        <w:t>Steg 1 — Konfigurera auth-token</w:t>
      </w:r>
    </w:p>
    <w:p>
      <w:pPr>
        <w:spacing w:after="80"/>
      </w:pPr>
      <w:r>
        <w:rPr>
          <w:rFonts w:ascii="Calibri" w:hAnsi="Calibri"/>
          <w:b w:val="0"/>
          <w:i w:val="0"/>
          <w:color w:val="1E2430"/>
          <w:sz w:val="21"/>
        </w:rPr>
        <w:t>Admin loggar in och går till /radgivning/admin. Under 'Morningstar-inställningar' matas Morningstar Direct auth-token in. Den sparas i app_settings-tabellen i Supabase och laddas in i Python-API:ets miljö vid varje anrop (hot-swap utan restart).</w:t>
      </w:r>
    </w:p>
    <w:p>
      <w:pPr>
        <w:spacing w:before="160" w:after="40"/>
      </w:pPr>
      <w:r>
        <w:rPr>
          <w:rFonts w:ascii="Calibri" w:hAnsi="Calibri"/>
          <w:b/>
          <w:i w:val="0"/>
          <w:color w:val="5B6472"/>
          <w:sz w:val="22"/>
        </w:rPr>
        <w:t>Steg 2 — Registrera portföljer</w:t>
      </w:r>
    </w:p>
    <w:p>
      <w:pPr>
        <w:spacing w:after="80"/>
      </w:pPr>
      <w:r>
        <w:rPr>
          <w:rFonts w:ascii="Calibri" w:hAnsi="Calibri"/>
          <w:b w:val="0"/>
          <w:i w:val="0"/>
          <w:color w:val="1E2430"/>
          <w:sz w:val="21"/>
        </w:rPr>
        <w:t>I adminpanelen läggs Morningstar-portföljer till med: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1E2430"/>
          <w:sz w:val="21"/>
        </w:rPr>
        <w:t>Morningstar-ID (t.ex. FOGBR$$ALL_1234) — det faktiska ID:t från Morningstar Direct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1E2430"/>
          <w:sz w:val="21"/>
        </w:rPr>
        <w:t>Slug (URL-kod, t.ex. global-aktie) — används i webbläsarens URL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1E2430"/>
          <w:sz w:val="21"/>
        </w:rPr>
        <w:t>Visningsnamn, avgift (%), risknivå (1–5)</w:t>
      </w:r>
    </w:p>
    <w:p>
      <w:pPr>
        <w:spacing w:after="80"/>
      </w:pPr>
      <w:r>
        <w:rPr>
          <w:rFonts w:ascii="Calibri" w:hAnsi="Calibri"/>
          <w:b w:val="0"/>
          <w:i w:val="0"/>
          <w:color w:val="1E2430"/>
          <w:sz w:val="21"/>
        </w:rPr>
        <w:t>Sparas i managed_portfolios-tabellen. Kan aktiveras/inaktiveras utan att tas bort.</w:t>
      </w:r>
    </w:p>
    <w:p>
      <w:pPr>
        <w:spacing w:before="160" w:after="40"/>
      </w:pPr>
      <w:r>
        <w:rPr>
          <w:rFonts w:ascii="Calibri" w:hAnsi="Calibri"/>
          <w:b/>
          <w:i w:val="0"/>
          <w:color w:val="5B6472"/>
          <w:sz w:val="22"/>
        </w:rPr>
        <w:t>Steg 3 — Registrera rådgivare</w:t>
      </w:r>
    </w:p>
    <w:p>
      <w:pPr>
        <w:spacing w:after="80"/>
      </w:pPr>
      <w:r>
        <w:rPr>
          <w:rFonts w:ascii="Calibri" w:hAnsi="Calibri"/>
          <w:b w:val="0"/>
          <w:i w:val="0"/>
          <w:color w:val="1E2430"/>
          <w:sz w:val="21"/>
        </w:rPr>
        <w:t>I adminpanelen läggs rådgivare till med namn och rådgivarkod (personnummer + systemets ID). Sparas i advisor_profiles.</w:t>
      </w:r>
    </w:p>
    <w:p>
      <w:pPr>
        <w:spacing w:before="160" w:after="40"/>
      </w:pPr>
      <w:r>
        <w:rPr>
          <w:rFonts w:ascii="Calibri" w:hAnsi="Calibri"/>
          <w:b/>
          <w:i w:val="0"/>
          <w:color w:val="5B6472"/>
          <w:sz w:val="22"/>
        </w:rPr>
        <w:t>Steg 4 — Generera och dela länk</w:t>
      </w:r>
    </w:p>
    <w:p>
      <w:pPr>
        <w:spacing w:after="80"/>
      </w:pPr>
      <w:r>
        <w:rPr>
          <w:rFonts w:ascii="Calibri" w:hAnsi="Calibri"/>
          <w:b w:val="0"/>
          <w:i w:val="0"/>
          <w:color w:val="1E2430"/>
          <w:sz w:val="21"/>
        </w:rPr>
        <w:t>På /radgivning/portfolioanalysis väljer man portfölj (dropdown) och anger rådgivarkod. En HMAC-SHA256-signerad URL genereras och kan kopieras eller öppnas direkt.</w:t>
      </w:r>
    </w:p>
    <w:p>
      <w:pPr>
        <w:spacing w:before="80" w:after="80"/>
        <w:ind w:left="432"/>
      </w:pPr>
      <w:r>
        <w:rPr>
          <w:rFonts w:ascii="Courier New" w:hAnsi="Courier New"/>
          <w:color w:val="274C77"/>
          <w:sz w:val="18"/>
        </w:rPr>
        <w:t>/radgivning/portfolioanalysis/{portfolioId}?advisor={kod}&amp;ts={unix}&amp;sig={hmac}</w:t>
      </w:r>
    </w:p>
    <w:p>
      <w:pPr>
        <w:spacing w:before="160" w:after="40"/>
      </w:pPr>
      <w:r>
        <w:rPr>
          <w:rFonts w:ascii="Calibri" w:hAnsi="Calibri"/>
          <w:b/>
          <w:i w:val="0"/>
          <w:color w:val="5B6472"/>
          <w:sz w:val="22"/>
        </w:rPr>
        <w:t>Steg 5 — Dashboard-vyn</w:t>
      </w:r>
    </w:p>
    <w:p>
      <w:pPr>
        <w:spacing w:after="80"/>
      </w:pPr>
      <w:r>
        <w:rPr>
          <w:rFonts w:ascii="Calibri" w:hAnsi="Calibri"/>
          <w:b w:val="0"/>
          <w:i w:val="0"/>
          <w:color w:val="1E2430"/>
          <w:sz w:val="21"/>
        </w:rPr>
        <w:t>Rådgivaren öppnar sin URL och ser: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1E2430"/>
          <w:sz w:val="21"/>
        </w:rPr>
        <w:t>Tillgångsfördelning — Aktier, Räntor, Kassa, Övrigt (donut-diagram)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1E2430"/>
          <w:sz w:val="21"/>
        </w:rPr>
        <w:t>Geografisk fördelning per land/region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1E2430"/>
          <w:sz w:val="21"/>
        </w:rPr>
        <w:t>Sektorfördelning med procentuell vikt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1E2430"/>
          <w:sz w:val="21"/>
        </w:rPr>
        <w:t>Morningstar Style Box (9-ruters heatmap: storlek × stil)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1E2430"/>
          <w:sz w:val="21"/>
        </w:rPr>
        <w:t>Portföljinnehav med ISIN och vikt</w:t>
      </w:r>
    </w:p>
    <w:p>
      <w:pPr>
        <w:spacing w:after="80"/>
      </w:pPr>
      <w:r>
        <w:rPr>
          <w:rFonts w:ascii="Calibri" w:hAnsi="Calibri"/>
          <w:b w:val="0"/>
          <w:i w:val="0"/>
          <w:color w:val="1E2430"/>
          <w:sz w:val="21"/>
        </w:rPr>
        <w:t>Rådgivarens layout-val sparas automatiskt i advisor_dashboards och visas vid nästa besök.</w:t>
      </w:r>
    </w:p>
    <w:p>
      <w:pPr>
        <w:spacing w:before="240" w:after="80"/>
      </w:pPr>
      <w:r>
        <w:rPr>
          <w:rFonts w:ascii="Calibri" w:hAnsi="Calibri"/>
          <w:b/>
          <w:i w:val="0"/>
          <w:color w:val="1E2430"/>
          <w:sz w:val="24"/>
        </w:rPr>
        <w:t>5.2 Dataflöde — teknisk beskrivning</w:t>
      </w:r>
    </w:p>
    <w:p>
      <w:pPr>
        <w:spacing w:after="80"/>
      </w:pPr>
      <w:r>
        <w:rPr>
          <w:rFonts w:ascii="Calibri" w:hAnsi="Calibri"/>
          <w:b w:val="0"/>
          <w:i w:val="0"/>
          <w:color w:val="1E2430"/>
          <w:sz w:val="21"/>
        </w:rPr>
        <w:t>Fullständigt flöde från webbläsare till Morningstar Direct och tillbaka:</w:t>
      </w:r>
    </w:p>
    <w:p>
      <w:pPr>
        <w:spacing w:before="80" w:after="80"/>
        <w:ind w:left="432"/>
      </w:pPr>
      <w:r>
        <w:rPr>
          <w:rFonts w:ascii="Courier New" w:hAnsi="Courier New"/>
          <w:color w:val="274C77"/>
          <w:sz w:val="18"/>
        </w:rPr>
        <w:t>Browser</w:t>
        <w:br/>
        <w:t xml:space="preserve">  │</w:t>
        <w:br/>
        <w:t xml:space="preserve">  ├─ GET /radgivning/portfolioanalysis/{slug}</w:t>
        <w:br/>
        <w:t xml:space="preserve">  │         │</w:t>
        <w:br/>
        <w:t xml:space="preserve">  │    Next.js server (Vercel)</w:t>
        <w:br/>
        <w:t xml:space="preserve">  │         │</w:t>
        <w:br/>
        <w:t xml:space="preserve">  │         ├─ Supabase: hämta managed_portfolio (slug → morningstar_id)</w:t>
        <w:br/>
        <w:t xml:space="preserve">  │         ├─ Supabase: kontrollera morningstar_cache (idag?)</w:t>
        <w:br/>
        <w:t xml:space="preserve">  │         │</w:t>
        <w:br/>
        <w:t xml:space="preserve">  │         ├─ [CACHE HIT]  → returnera data direkt (~50 ms)</w:t>
        <w:br/>
        <w:t xml:space="preserve">  │         │</w:t>
        <w:br/>
        <w:t xml:space="preserve">  │         └─ [CACHE MISS] → anropa Python-API:et</w:t>
        <w:br/>
        <w:t xml:space="preserve">  │                   │</w:t>
        <w:br/>
        <w:t xml:space="preserve">  │              FastAPI (Python)</w:t>
        <w:br/>
        <w:t xml:space="preserve">  │                   │</w:t>
        <w:br/>
        <w:t xml:space="preserve">  │              morningstar_data SDK</w:t>
        <w:br/>
        <w:t xml:space="preserve">  │                   │</w:t>
        <w:br/>
        <w:t xml:space="preserve">  │              Morningstar Direct API (~10–30 s)</w:t>
        <w:br/>
        <w:t xml:space="preserve">  │                   │</w:t>
        <w:br/>
        <w:t xml:space="preserve">  │         Supabase: spara i morningstar_cache</w:t>
        <w:br/>
        <w:t xml:space="preserve">  │         └─ returnera data till browser</w:t>
        <w:br/>
        <w:t xml:space="preserve">  │</w:t>
        <w:br/>
        <w:t xml:space="preserve">  └─ Dashboard renderas</w:t>
      </w:r>
    </w:p>
    <w:p>
      <w:pPr>
        <w:spacing w:before="240" w:after="80"/>
      </w:pPr>
      <w:r>
        <w:rPr>
          <w:rFonts w:ascii="Calibri" w:hAnsi="Calibri"/>
          <w:b/>
          <w:i w:val="0"/>
          <w:color w:val="1E2430"/>
          <w:sz w:val="24"/>
        </w:rPr>
        <w:t>5.3 Morningstar-koppling i detalj</w:t>
      </w:r>
    </w:p>
    <w:p>
      <w:pPr>
        <w:spacing w:after="80"/>
      </w:pPr>
      <w:r>
        <w:rPr>
          <w:rFonts w:ascii="Calibri" w:hAnsi="Calibri"/>
          <w:b w:val="0"/>
          <w:i w:val="0"/>
          <w:color w:val="1E2430"/>
          <w:sz w:val="21"/>
        </w:rPr>
        <w:t>Python-API:et hämtar fem datamängder per portföljanrop: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shd w:val="clear" w:color="auto" w:fill="274C7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Datamängd</w:t>
            </w:r>
          </w:p>
        </w:tc>
        <w:tc>
          <w:tcPr>
            <w:tcW w:type="dxa" w:w="3118"/>
            <w:shd w:val="clear" w:color="auto" w:fill="274C7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Beskrivning</w:t>
            </w:r>
          </w:p>
        </w:tc>
        <w:tc>
          <w:tcPr>
            <w:tcW w:type="dxa" w:w="3969"/>
            <w:shd w:val="clear" w:color="auto" w:fill="274C7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Morningstar-koder</w:t>
            </w:r>
          </w:p>
        </w:tc>
      </w:tr>
      <w:tr>
        <w:tc>
          <w:tcPr>
            <w:tcW w:type="dxa" w:w="2268"/>
            <w:shd w:val="clear" w:color="auto" w:fill="F6F7F9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Tillgångsfördelning</w:t>
            </w:r>
          </w:p>
        </w:tc>
        <w:tc>
          <w:tcPr>
            <w:tcW w:type="dxa" w:w="3118"/>
            <w:shd w:val="clear" w:color="auto" w:fill="F6F7F9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Aktier/Räntor/Kassa/Övrigt</w:t>
            </w:r>
          </w:p>
        </w:tc>
        <w:tc>
          <w:tcPr>
            <w:tcW w:type="dxa" w:w="3969"/>
            <w:shd w:val="clear" w:color="auto" w:fill="F6F7F9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HS11C, HS11F, HS11B, HS11I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Regioner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Geografisk fördelning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Dataset 15 (equity) / 29 (bond)</w:t>
            </w:r>
          </w:p>
        </w:tc>
      </w:tr>
      <w:tr>
        <w:tc>
          <w:tcPr>
            <w:tcW w:type="dxa" w:w="2268"/>
            <w:shd w:val="clear" w:color="auto" w:fill="F6F7F9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Sektorer</w:t>
            </w:r>
          </w:p>
        </w:tc>
        <w:tc>
          <w:tcPr>
            <w:tcW w:type="dxa" w:w="3118"/>
            <w:shd w:val="clear" w:color="auto" w:fill="F6F7F9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Branschfördelning</w:t>
            </w:r>
          </w:p>
        </w:tc>
        <w:tc>
          <w:tcPr>
            <w:tcW w:type="dxa" w:w="3969"/>
            <w:shd w:val="clear" w:color="auto" w:fill="F6F7F9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Dataset 17 (equity) / 31 (bond)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Style Box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9-rutnät storlek × stil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HS076–HS07E</w:t>
            </w:r>
          </w:p>
        </w:tc>
      </w:tr>
      <w:tr>
        <w:tc>
          <w:tcPr>
            <w:tcW w:type="dxa" w:w="2268"/>
            <w:shd w:val="clear" w:color="auto" w:fill="F6F7F9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Innehav</w:t>
            </w:r>
          </w:p>
        </w:tc>
        <w:tc>
          <w:tcPr>
            <w:tcW w:type="dxa" w:w="3118"/>
            <w:shd w:val="clear" w:color="auto" w:fill="F6F7F9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Fondlista med ISIN + vikt</w:t>
            </w:r>
          </w:p>
        </w:tc>
        <w:tc>
          <w:tcPr>
            <w:tcW w:type="dxa" w:w="3969"/>
            <w:shd w:val="clear" w:color="auto" w:fill="F6F7F9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md.direct.portfolio.get_holdings()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 w:val="0"/>
          <w:color w:val="1E2430"/>
          <w:sz w:val="21"/>
        </w:rPr>
        <w:t>Cache-strategi: en rad per portfölj per dag i morningstar_cache. Morningstar-anrop tar 10–30 sekunder — efter första anropet serveras sidan på ~50 ms.</w:t>
      </w:r>
    </w:p>
    <w:p>
      <w:pPr>
        <w:spacing w:before="360" w:after="120"/>
        <w:pBdr>
          <w:bottom w:val="single" w:sz="4" w:space="4" w:color="274C77"/>
        </w:pBdr>
      </w:pPr>
      <w:r>
        <w:rPr>
          <w:rFonts w:ascii="Calibri" w:hAnsi="Calibri"/>
          <w:b/>
          <w:i w:val="0"/>
          <w:color w:val="274C77"/>
          <w:sz w:val="32"/>
        </w:rPr>
        <w:t>6. Konfigurationspunkter — Miljövariabler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685"/>
            <w:shd w:val="clear" w:color="auto" w:fill="274C7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Variabel</w:t>
            </w:r>
          </w:p>
        </w:tc>
        <w:tc>
          <w:tcPr>
            <w:tcW w:type="dxa" w:w="5669"/>
            <w:shd w:val="clear" w:color="auto" w:fill="274C7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Syfte</w:t>
            </w:r>
          </w:p>
        </w:tc>
      </w:tr>
      <w:tr>
        <w:tc>
          <w:tcPr>
            <w:tcW w:type="dxa" w:w="3685"/>
            <w:shd w:val="clear" w:color="auto" w:fill="F6F7F9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NEXT_PUBLIC_SUPABASE_URL</w:t>
            </w:r>
          </w:p>
        </w:tc>
        <w:tc>
          <w:tcPr>
            <w:tcW w:type="dxa" w:w="5669"/>
            <w:shd w:val="clear" w:color="auto" w:fill="F6F7F9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Supabase-projektets URL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NEXT_PUBLIC_SUPABASE_ANON_KEY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Publik Supabase-nyckel (läsrättigheter)</w:t>
            </w:r>
          </w:p>
        </w:tc>
      </w:tr>
      <w:tr>
        <w:tc>
          <w:tcPr>
            <w:tcW w:type="dxa" w:w="3685"/>
            <w:shd w:val="clear" w:color="auto" w:fill="F6F7F9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SUPABASE_SERVICE_ROLE_KEY</w:t>
            </w:r>
          </w:p>
        </w:tc>
        <w:tc>
          <w:tcPr>
            <w:tcW w:type="dxa" w:w="5669"/>
            <w:shd w:val="clear" w:color="auto" w:fill="F6F7F9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Admin-nyckel med full access (server-side only)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MORNINGSTAR_API_URL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URL till Python-API:et (localhost:8000 lokalt)</w:t>
            </w:r>
          </w:p>
        </w:tc>
      </w:tr>
      <w:tr>
        <w:tc>
          <w:tcPr>
            <w:tcW w:type="dxa" w:w="3685"/>
            <w:shd w:val="clear" w:color="auto" w:fill="F6F7F9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LINK_SECRET</w:t>
            </w:r>
          </w:p>
        </w:tc>
        <w:tc>
          <w:tcPr>
            <w:tcW w:type="dxa" w:w="5669"/>
            <w:shd w:val="clear" w:color="auto" w:fill="F6F7F9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Hemlighet för HMAC-signering av rådgivarlänkar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INTEGRATION_PASSWORD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Sitewide lösenord (cookie-gate)</w:t>
            </w:r>
          </w:p>
        </w:tc>
      </w:tr>
      <w:tr>
        <w:tc>
          <w:tcPr>
            <w:tcW w:type="dxa" w:w="3685"/>
            <w:shd w:val="clear" w:color="auto" w:fill="F6F7F9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ADMIN_EMAILS</w:t>
            </w:r>
          </w:p>
        </w:tc>
        <w:tc>
          <w:tcPr>
            <w:tcW w:type="dxa" w:w="5669"/>
            <w:shd w:val="clear" w:color="auto" w:fill="F6F7F9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Kommaseparerade e-postadresser med admin-access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ANTHROPIC_API_KEY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Claude AI-nyckel för portföljbyggaren (B2C)</w:t>
            </w:r>
          </w:p>
        </w:tc>
      </w:tr>
    </w:tbl>
    <w:p/>
    <w:p>
      <w:pPr>
        <w:spacing w:before="360" w:after="120"/>
        <w:pBdr>
          <w:bottom w:val="single" w:sz="4" w:space="4" w:color="274C77"/>
        </w:pBdr>
      </w:pPr>
      <w:r>
        <w:rPr>
          <w:rFonts w:ascii="Calibri" w:hAnsi="Calibri"/>
          <w:b/>
          <w:i w:val="0"/>
          <w:color w:val="274C77"/>
          <w:sz w:val="32"/>
        </w:rPr>
        <w:t>7. Teknisk Stack — Sammanfattning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118"/>
            <w:shd w:val="clear" w:color="auto" w:fill="274C7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Lager</w:t>
            </w:r>
          </w:p>
        </w:tc>
        <w:tc>
          <w:tcPr>
            <w:tcW w:type="dxa" w:w="6236"/>
            <w:shd w:val="clear" w:color="auto" w:fill="274C7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Teknologi</w:t>
            </w:r>
          </w:p>
        </w:tc>
      </w:tr>
      <w:tr>
        <w:tc>
          <w:tcPr>
            <w:tcW w:type="dxa" w:w="3118"/>
            <w:shd w:val="clear" w:color="auto" w:fill="F6F7F9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Frontend framework</w:t>
            </w:r>
          </w:p>
        </w:tc>
        <w:tc>
          <w:tcPr>
            <w:tcW w:type="dxa" w:w="6236"/>
            <w:shd w:val="clear" w:color="auto" w:fill="F6F7F9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Next.js 16, React 19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Styling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Tailwind CSS 4</w:t>
            </w:r>
          </w:p>
        </w:tc>
      </w:tr>
      <w:tr>
        <w:tc>
          <w:tcPr>
            <w:tcW w:type="dxa" w:w="3118"/>
            <w:shd w:val="clear" w:color="auto" w:fill="F6F7F9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Animationer</w:t>
            </w:r>
          </w:p>
        </w:tc>
        <w:tc>
          <w:tcPr>
            <w:tcW w:type="dxa" w:w="6236"/>
            <w:shd w:val="clear" w:color="auto" w:fill="F6F7F9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Framer Motion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Databas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Supabase (managed PostgreSQL)</w:t>
            </w:r>
          </w:p>
        </w:tc>
      </w:tr>
      <w:tr>
        <w:tc>
          <w:tcPr>
            <w:tcW w:type="dxa" w:w="3118"/>
            <w:shd w:val="clear" w:color="auto" w:fill="F6F7F9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Autentisering</w:t>
            </w:r>
          </w:p>
        </w:tc>
        <w:tc>
          <w:tcPr>
            <w:tcW w:type="dxa" w:w="6236"/>
            <w:shd w:val="clear" w:color="auto" w:fill="F6F7F9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Supabase Auth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AI (B2C)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Anthropic Claude (claude-sonnet-4-5)</w:t>
            </w:r>
          </w:p>
        </w:tc>
      </w:tr>
      <w:tr>
        <w:tc>
          <w:tcPr>
            <w:tcW w:type="dxa" w:w="3118"/>
            <w:shd w:val="clear" w:color="auto" w:fill="F6F7F9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Morningstar-koppling</w:t>
            </w:r>
          </w:p>
        </w:tc>
        <w:tc>
          <w:tcPr>
            <w:tcW w:type="dxa" w:w="6236"/>
            <w:shd w:val="clear" w:color="auto" w:fill="F6F7F9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Python 3.12, FastAPI, morningstar_data SDK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Containerisering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Docker (Python-API:et)</w:t>
            </w:r>
          </w:p>
        </w:tc>
      </w:tr>
      <w:tr>
        <w:tc>
          <w:tcPr>
            <w:tcW w:type="dxa" w:w="3118"/>
            <w:shd w:val="clear" w:color="auto" w:fill="F6F7F9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Testning</w:t>
            </w:r>
          </w:p>
        </w:tc>
        <w:tc>
          <w:tcPr>
            <w:tcW w:type="dxa" w:w="6236"/>
            <w:shd w:val="clear" w:color="auto" w:fill="F6F7F9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Vitest (unit), Playwright (e2e)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Deploy — frontend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Vercel (rekommenderat)</w:t>
            </w:r>
          </w:p>
        </w:tc>
      </w:tr>
      <w:tr>
        <w:tc>
          <w:tcPr>
            <w:tcW w:type="dxa" w:w="3118"/>
            <w:shd w:val="clear" w:color="auto" w:fill="F6F7F9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Deploy — Python-API</w:t>
            </w:r>
          </w:p>
        </w:tc>
        <w:tc>
          <w:tcPr>
            <w:tcW w:type="dxa" w:w="6236"/>
            <w:shd w:val="clear" w:color="auto" w:fill="F6F7F9"/>
          </w:tcPr>
          <w:p>
            <w:r/>
            <w:r>
              <w:rPr>
                <w:rFonts w:ascii="Calibri" w:hAnsi="Calibri"/>
                <w:b w:val="0"/>
                <w:i w:val="0"/>
                <w:color w:val="1E2430"/>
                <w:sz w:val="19"/>
              </w:rPr>
              <w:t>Docker-container, valfri plattform</w:t>
            </w:r>
          </w:p>
        </w:tc>
      </w:tr>
    </w:tbl>
    <w:p/>
    <w:p>
      <w:pPr>
        <w:spacing w:before="360" w:after="120"/>
        <w:pBdr>
          <w:bottom w:val="single" w:sz="4" w:space="4" w:color="274C77"/>
        </w:pBdr>
      </w:pPr>
      <w:r>
        <w:rPr>
          <w:rFonts w:ascii="Calibri" w:hAnsi="Calibri"/>
          <w:b/>
          <w:i w:val="0"/>
          <w:color w:val="274C77"/>
          <w:sz w:val="32"/>
        </w:rPr>
        <w:t>8. Förberedda Frågor &amp; Svar</w:t>
      </w:r>
    </w:p>
    <w:p>
      <w:pPr>
        <w:spacing w:before="160" w:after="40"/>
      </w:pPr>
      <w:r>
        <w:rPr>
          <w:rFonts w:ascii="Calibri" w:hAnsi="Calibri"/>
          <w:b/>
          <w:i w:val="0"/>
          <w:color w:val="274C77"/>
          <w:sz w:val="21"/>
        </w:rPr>
        <w:t>F: Hur säkert är det att kunden öppnar länken utan inloggning?</w:t>
      </w:r>
    </w:p>
    <w:p>
      <w:pPr>
        <w:spacing w:after="80"/>
        <w:ind w:left="288"/>
      </w:pPr>
      <w:r>
        <w:rPr>
          <w:rFonts w:ascii="Calibri" w:hAnsi="Calibri"/>
          <w:b w:val="0"/>
          <w:i w:val="0"/>
          <w:color w:val="1E2430"/>
          <w:sz w:val="21"/>
        </w:rPr>
        <w:t>S: Länken signeras med HMAC-SHA256. Utan den hemliga nyckeln (LINK_SECRET) går det inte att fabricera en giltig länk. Länken är tidsbegränsad (30 dagar) och future-dated timestamps avvisas aktivt.</w:t>
      </w:r>
    </w:p>
    <w:p>
      <w:pPr>
        <w:spacing w:before="160" w:after="40"/>
      </w:pPr>
      <w:r>
        <w:rPr>
          <w:rFonts w:ascii="Calibri" w:hAnsi="Calibri"/>
          <w:b/>
          <w:i w:val="0"/>
          <w:color w:val="274C77"/>
          <w:sz w:val="21"/>
        </w:rPr>
        <w:t>F: Var lagras Morningstar-tokenen?</w:t>
      </w:r>
    </w:p>
    <w:p>
      <w:pPr>
        <w:spacing w:after="80"/>
        <w:ind w:left="288"/>
      </w:pPr>
      <w:r>
        <w:rPr>
          <w:rFonts w:ascii="Calibri" w:hAnsi="Calibri"/>
          <w:b w:val="0"/>
          <w:i w:val="0"/>
          <w:color w:val="1E2430"/>
          <w:sz w:val="21"/>
        </w:rPr>
        <w:t>S: I Supabase-databasen, app_settings-tabellen. Enbart åtkomlig via service role-nyckeln (server-side). Python-API:et läser den från miljövariabler — aldrig exponerad i frontend.</w:t>
      </w:r>
    </w:p>
    <w:p>
      <w:pPr>
        <w:spacing w:before="160" w:after="40"/>
      </w:pPr>
      <w:r>
        <w:rPr>
          <w:rFonts w:ascii="Calibri" w:hAnsi="Calibri"/>
          <w:b/>
          <w:i w:val="0"/>
          <w:color w:val="274C77"/>
          <w:sz w:val="21"/>
        </w:rPr>
        <w:t>F: Behöver vi exponera Python-API:et mot internet?</w:t>
      </w:r>
    </w:p>
    <w:p>
      <w:pPr>
        <w:spacing w:after="80"/>
        <w:ind w:left="288"/>
      </w:pPr>
      <w:r>
        <w:rPr>
          <w:rFonts w:ascii="Calibri" w:hAnsi="Calibri"/>
          <w:b w:val="0"/>
          <w:i w:val="0"/>
          <w:color w:val="1E2430"/>
          <w:sz w:val="21"/>
        </w:rPr>
        <w:t>S: Nej. Det räcker att Next.js-appen (Vercel) kan nå det server-side. Det kan köras i ett privat nätverk eller internt i er infrastruktur.</w:t>
      </w:r>
    </w:p>
    <w:p>
      <w:pPr>
        <w:spacing w:before="160" w:after="40"/>
      </w:pPr>
      <w:r>
        <w:rPr>
          <w:rFonts w:ascii="Calibri" w:hAnsi="Calibri"/>
          <w:b/>
          <w:i w:val="0"/>
          <w:color w:val="274C77"/>
          <w:sz w:val="21"/>
        </w:rPr>
        <w:t>F: Hur uppdateras Morningstar-data?</w:t>
      </w:r>
    </w:p>
    <w:p>
      <w:pPr>
        <w:spacing w:after="80"/>
        <w:ind w:left="288"/>
      </w:pPr>
      <w:r>
        <w:rPr>
          <w:rFonts w:ascii="Calibri" w:hAnsi="Calibri"/>
          <w:b w:val="0"/>
          <w:i w:val="0"/>
          <w:color w:val="1E2430"/>
          <w:sz w:val="21"/>
        </w:rPr>
        <w:t>S: Data cachas per portfölj och dag. Admins kan tvinga fram en ny hämtning med ?refresh=1 i URL:en. Annars uppdateras cachen automatiskt nästföljande dag.</w:t>
      </w:r>
    </w:p>
    <w:p>
      <w:pPr>
        <w:spacing w:before="160" w:after="40"/>
      </w:pPr>
      <w:r>
        <w:rPr>
          <w:rFonts w:ascii="Calibri" w:hAnsi="Calibri"/>
          <w:b/>
          <w:i w:val="0"/>
          <w:color w:val="274C77"/>
          <w:sz w:val="21"/>
        </w:rPr>
        <w:t>F: Vad krävs av Morningstar Direct-licensen?</w:t>
      </w:r>
    </w:p>
    <w:p>
      <w:pPr>
        <w:spacing w:after="80"/>
        <w:ind w:left="288"/>
      </w:pPr>
      <w:r>
        <w:rPr>
          <w:rFonts w:ascii="Calibri" w:hAnsi="Calibri"/>
          <w:b w:val="0"/>
          <w:i w:val="0"/>
          <w:color w:val="1E2430"/>
          <w:sz w:val="21"/>
        </w:rPr>
        <w:t>S: Portfolio-API:et (md.direct.portfolio) och morningstar_data Python-paketet krävs. Kontakta Morningstar för att bekräfta att er licens inkluderar portfölj-API-access.</w:t>
      </w:r>
    </w:p>
    <w:p>
      <w:pPr>
        <w:spacing w:before="160" w:after="40"/>
      </w:pPr>
      <w:r>
        <w:rPr>
          <w:rFonts w:ascii="Calibri" w:hAnsi="Calibri"/>
          <w:b/>
          <w:i w:val="0"/>
          <w:color w:val="274C77"/>
          <w:sz w:val="21"/>
        </w:rPr>
        <w:t>F: Kan systemet skalas upp för fler rådgivare?</w:t>
      </w:r>
    </w:p>
    <w:p>
      <w:pPr>
        <w:spacing w:after="80"/>
        <w:ind w:left="288"/>
      </w:pPr>
      <w:r>
        <w:rPr>
          <w:rFonts w:ascii="Calibri" w:hAnsi="Calibri"/>
          <w:b w:val="0"/>
          <w:i w:val="0"/>
          <w:color w:val="1E2430"/>
          <w:sz w:val="21"/>
        </w:rPr>
        <w:t>S: Ja. Databas och frontend är stateless och skalar horisontellt via Vercel. Python-API:et kan köras som flera instanser bakom en load balancer.</w:t>
      </w:r>
    </w:p>
    <w:p>
      <w:pPr>
        <w:spacing w:before="160" w:after="40"/>
      </w:pPr>
      <w:r>
        <w:rPr>
          <w:rFonts w:ascii="Calibri" w:hAnsi="Calibri"/>
          <w:b/>
          <w:i w:val="0"/>
          <w:color w:val="274C77"/>
          <w:sz w:val="21"/>
        </w:rPr>
        <w:t>F: Hur hanteras dataskydd / GDPR?</w:t>
      </w:r>
    </w:p>
    <w:p>
      <w:pPr>
        <w:spacing w:after="80"/>
        <w:ind w:left="288"/>
      </w:pPr>
      <w:r>
        <w:rPr>
          <w:rFonts w:ascii="Calibri" w:hAnsi="Calibri"/>
          <w:b w:val="0"/>
          <w:i w:val="0"/>
          <w:color w:val="1E2430"/>
          <w:sz w:val="21"/>
        </w:rPr>
        <w:t>S: Morningstar-data cachas i Supabase (EU-region valbar). Användardata skyddas med Row Level Security. Inga personuppgifter skickas till tredjepart utöver Supabase och Morningstar Direct (befintlig licens).</w:t>
      </w:r>
    </w:p>
    <w:sectPr w:rsidR="00FC693F" w:rsidRPr="0006063C" w:rsidSect="00034616">
      <w:footerReference w:type="default" r:id="rId9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8D95A3"/>
        <w:sz w:val="16"/>
      </w:rPr>
      <w:t>Konfidentiellt  ·  Investeringsrådgivningsplattform  ·  2026-05-31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