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Hospital Admission Project Guide</w:t>
      </w:r>
    </w:p>
    <w:p>
      <w:r>
        <w:t>Architecture, inputs and outputs, database state, facade workflow, and failure recovery</w:t>
      </w:r>
    </w:p>
    <w:p>
      <w:r>
        <w:t>Code reviewed 13 October 2026</w:t>
      </w:r>
    </w:p>
    <w:p>
      <w:pPr>
        <w:pStyle w:val="Heading1"/>
      </w:pPr>
      <w:r>
        <w:t>Purpose and scope</w:t>
      </w:r>
    </w:p>
    <w:p>
      <w:r>
        <w:t>This guide explains the working Go and SQLite Hospital Admission application. A client submits one planned admission, while IntakeFacade coordinates three independent subsystems in order: Insurance Verifier, Equipment Reserver, and Pharmacy Dispatcher. The web page and command line use the same persisted SQLite state. The guide is intended for a live project walkthrough and for understanding what each saved status means.</w:t>
      </w:r>
    </w:p>
    <w:p>
      <w:r>
        <w:t>The application is a teaching example. Coverage selection is a local input rule, not a live Kazakhstan entitlement check. A 12 digit IIN is checked only for format. Medicine dispatch and equipment reservation are simulated by stock counts; no real hospital, insurance, or pharmacy system is contacted.</w:t>
      </w:r>
    </w:p>
    <w:p>
      <w:pPr>
        <w:pStyle w:val="Heading1"/>
      </w:pPr>
      <w:r>
        <w:t>Architecture and responsibilities</w:t>
      </w:r>
    </w:p>
    <w:tbl>
      <w:tblPr>
        <w:tblStyle w:val="TableGrid"/>
        <w:tblW w:type="auto" w:w="0"/>
        <w:jc w:val="center"/>
        <w:tblLayout w:type="fixed"/>
        <w:tblLook w:firstColumn="1" w:firstRow="1" w:lastColumn="0" w:lastRow="0" w:noHBand="0" w:noVBand="1" w:val="04A0"/>
      </w:tblPr>
      <w:tblGrid>
        <w:gridCol w:w="1584"/>
        <w:gridCol w:w="6192"/>
        <w:gridCol w:w="2088"/>
      </w:tblGrid>
      <w:tr>
        <w:trPr>
          <w:tblHeader w:val="true"/>
        </w:trPr>
        <w:tc>
          <w:tcPr>
            <w:tcW w:type="dxa" w:w="3331"/>
            <w:shd w:fill="DDE6ED"/>
            <w:vAlign w:val="center"/>
          </w:tcPr>
          <w:p>
            <w:pPr>
              <w:spacing w:after="0"/>
            </w:pPr>
            <w:r>
              <w:rPr>
                <w:b/>
                <w:sz w:val="16"/>
              </w:rPr>
              <w:t>Part</w:t>
            </w:r>
          </w:p>
        </w:tc>
        <w:tc>
          <w:tcPr>
            <w:tcW w:type="dxa" w:w="3331"/>
            <w:shd w:fill="DDE6ED"/>
            <w:vAlign w:val="center"/>
          </w:tcPr>
          <w:p>
            <w:pPr>
              <w:spacing w:after="0"/>
            </w:pPr>
            <w:r>
              <w:rPr>
                <w:b/>
                <w:sz w:val="16"/>
              </w:rPr>
              <w:t>Responsibility</w:t>
            </w:r>
          </w:p>
        </w:tc>
        <w:tc>
          <w:tcPr>
            <w:tcW w:type="dxa" w:w="3331"/>
            <w:shd w:fill="DDE6ED"/>
            <w:vAlign w:val="center"/>
          </w:tcPr>
          <w:p>
            <w:pPr>
              <w:spacing w:after="0"/>
            </w:pPr>
            <w:r>
              <w:rPr>
                <w:b/>
                <w:sz w:val="16"/>
              </w:rPr>
              <w:t>Main code</w:t>
            </w:r>
          </w:p>
        </w:tc>
      </w:tr>
      <w:tr>
        <w:tc>
          <w:tcPr>
            <w:tcW w:type="dxa" w:w="1584"/>
            <w:vAlign w:val="top"/>
          </w:tcPr>
          <w:p>
            <w:pPr>
              <w:spacing w:after="0" w:line="252" w:lineRule="auto"/>
            </w:pPr>
            <w:r>
              <w:rPr>
                <w:sz w:val="16"/>
              </w:rPr>
              <w:t>Web client</w:t>
            </w:r>
          </w:p>
        </w:tc>
        <w:tc>
          <w:tcPr>
            <w:tcW w:type="dxa" w:w="6192"/>
            <w:vAlign w:val="top"/>
          </w:tcPr>
          <w:p>
            <w:pPr>
              <w:spacing w:after="0" w:line="252" w:lineRule="auto"/>
            </w:pPr>
            <w:r>
              <w:rPr>
                <w:sz w:val="16"/>
              </w:rPr>
              <w:t>Bootstrap page for admission, inspection, stock edits, resume, and manual compensation.</w:t>
            </w:r>
          </w:p>
        </w:tc>
        <w:tc>
          <w:tcPr>
            <w:tcW w:type="dxa" w:w="2088"/>
            <w:vAlign w:val="top"/>
          </w:tcPr>
          <w:p>
            <w:pPr>
              <w:spacing w:after="0" w:line="252" w:lineRule="auto"/>
            </w:pPr>
            <w:r>
              <w:rPr>
                <w:sz w:val="16"/>
              </w:rPr>
              <w:t>web/index.html, web/app.js</w:t>
            </w:r>
          </w:p>
        </w:tc>
      </w:tr>
      <w:tr>
        <w:tc>
          <w:tcPr>
            <w:tcW w:type="dxa" w:w="1584"/>
            <w:vAlign w:val="top"/>
          </w:tcPr>
          <w:p>
            <w:pPr>
              <w:spacing w:after="0" w:line="252" w:lineRule="auto"/>
            </w:pPr>
            <w:r>
              <w:rPr>
                <w:sz w:val="16"/>
              </w:rPr>
              <w:t>HTTP layer</w:t>
            </w:r>
          </w:p>
        </w:tc>
        <w:tc>
          <w:tcPr>
            <w:tcW w:type="dxa" w:w="6192"/>
            <w:vAlign w:val="top"/>
          </w:tcPr>
          <w:p>
            <w:pPr>
              <w:spacing w:after="0" w:line="252" w:lineRule="auto"/>
            </w:pPr>
            <w:r>
              <w:rPr>
                <w:sz w:val="16"/>
              </w:rPr>
              <w:t>Validates JSON shape, generates web admission IDs, calls facades, returns JSON and errors.</w:t>
            </w:r>
          </w:p>
        </w:tc>
        <w:tc>
          <w:tcPr>
            <w:tcW w:type="dxa" w:w="2088"/>
            <w:vAlign w:val="top"/>
          </w:tcPr>
          <w:p>
            <w:pPr>
              <w:spacing w:after="0" w:line="252" w:lineRule="auto"/>
            </w:pPr>
            <w:r>
              <w:rPr>
                <w:sz w:val="16"/>
              </w:rPr>
              <w:t>server.go</w:t>
            </w:r>
          </w:p>
        </w:tc>
      </w:tr>
      <w:tr>
        <w:tc>
          <w:tcPr>
            <w:tcW w:type="dxa" w:w="1584"/>
            <w:vAlign w:val="top"/>
          </w:tcPr>
          <w:p>
            <w:pPr>
              <w:spacing w:after="0" w:line="252" w:lineRule="auto"/>
            </w:pPr>
            <w:r>
              <w:rPr>
                <w:sz w:val="16"/>
              </w:rPr>
              <w:t>IntakeFacade</w:t>
            </w:r>
          </w:p>
        </w:tc>
        <w:tc>
          <w:tcPr>
            <w:tcW w:type="dxa" w:w="6192"/>
            <w:vAlign w:val="top"/>
          </w:tcPr>
          <w:p>
            <w:pPr>
              <w:spacing w:after="0" w:line="252" w:lineRule="auto"/>
            </w:pPr>
            <w:r>
              <w:rPr>
                <w:sz w:val="16"/>
              </w:rPr>
              <w:t>Owns the A to B to C order, durable progress, resume, and reverse order compensation.</w:t>
            </w:r>
          </w:p>
        </w:tc>
        <w:tc>
          <w:tcPr>
            <w:tcW w:type="dxa" w:w="2088"/>
            <w:vAlign w:val="top"/>
          </w:tcPr>
          <w:p>
            <w:pPr>
              <w:spacing w:after="0" w:line="252" w:lineRule="auto"/>
            </w:pPr>
            <w:r>
              <w:rPr>
                <w:sz w:val="16"/>
              </w:rPr>
              <w:t>internal/admission/admission.go</w:t>
            </w:r>
          </w:p>
        </w:tc>
      </w:tr>
      <w:tr>
        <w:tc>
          <w:tcPr>
            <w:tcW w:type="dxa" w:w="1584"/>
            <w:vAlign w:val="top"/>
          </w:tcPr>
          <w:p>
            <w:pPr>
              <w:spacing w:after="0" w:line="252" w:lineRule="auto"/>
            </w:pPr>
            <w:r>
              <w:rPr>
                <w:sz w:val="16"/>
              </w:rPr>
              <w:t>AdminFacade</w:t>
            </w:r>
          </w:p>
        </w:tc>
        <w:tc>
          <w:tcPr>
            <w:tcW w:type="dxa" w:w="6192"/>
            <w:vAlign w:val="top"/>
          </w:tcPr>
          <w:p>
            <w:pPr>
              <w:spacing w:after="0" w:line="252" w:lineRule="auto"/>
            </w:pPr>
            <w:r>
              <w:rPr>
                <w:sz w:val="16"/>
              </w:rPr>
              <w:t>Reads combined state and guards manual compensation.</w:t>
            </w:r>
          </w:p>
        </w:tc>
        <w:tc>
          <w:tcPr>
            <w:tcW w:type="dxa" w:w="2088"/>
            <w:vAlign w:val="top"/>
          </w:tcPr>
          <w:p>
            <w:pPr>
              <w:spacing w:after="0" w:line="252" w:lineRule="auto"/>
            </w:pPr>
            <w:r>
              <w:rPr>
                <w:sz w:val="16"/>
              </w:rPr>
              <w:t>internal/admission/admission.go</w:t>
            </w:r>
          </w:p>
        </w:tc>
      </w:tr>
      <w:tr>
        <w:tc>
          <w:tcPr>
            <w:tcW w:type="dxa" w:w="1584"/>
            <w:vAlign w:val="top"/>
          </w:tcPr>
          <w:p>
            <w:pPr>
              <w:spacing w:after="0" w:line="252" w:lineRule="auto"/>
            </w:pPr>
            <w:r>
              <w:rPr>
                <w:sz w:val="16"/>
              </w:rPr>
              <w:t>Subsystems</w:t>
            </w:r>
          </w:p>
        </w:tc>
        <w:tc>
          <w:tcPr>
            <w:tcW w:type="dxa" w:w="6192"/>
            <w:vAlign w:val="top"/>
          </w:tcPr>
          <w:p>
            <w:pPr>
              <w:spacing w:after="0" w:line="252" w:lineRule="auto"/>
            </w:pPr>
            <w:r>
              <w:rPr>
                <w:sz w:val="16"/>
              </w:rPr>
              <w:t>Each owns a stateful entity, a rule, a SQLite repository, and a service.</w:t>
            </w:r>
          </w:p>
        </w:tc>
        <w:tc>
          <w:tcPr>
            <w:tcW w:type="dxa" w:w="2088"/>
            <w:vAlign w:val="top"/>
          </w:tcPr>
          <w:p>
            <w:pPr>
              <w:spacing w:after="0" w:line="252" w:lineRule="auto"/>
            </w:pPr>
            <w:r>
              <w:rPr>
                <w:sz w:val="16"/>
              </w:rPr>
              <w:t>internal/insurance, internal/equipment, internal/pharmacy</w:t>
            </w:r>
          </w:p>
        </w:tc>
      </w:tr>
      <w:tr>
        <w:tc>
          <w:tcPr>
            <w:tcW w:type="dxa" w:w="1584"/>
            <w:vAlign w:val="top"/>
          </w:tcPr>
          <w:p>
            <w:pPr>
              <w:spacing w:after="0" w:line="252" w:lineRule="auto"/>
            </w:pPr>
            <w:r>
              <w:rPr>
                <w:sz w:val="16"/>
              </w:rPr>
              <w:t>Store</w:t>
            </w:r>
          </w:p>
        </w:tc>
        <w:tc>
          <w:tcPr>
            <w:tcW w:type="dxa" w:w="6192"/>
            <w:vAlign w:val="top"/>
          </w:tcPr>
          <w:p>
            <w:pPr>
              <w:spacing w:after="0" w:line="252" w:lineRule="auto"/>
            </w:pPr>
            <w:r>
              <w:rPr>
                <w:sz w:val="16"/>
              </w:rPr>
              <w:t>Opens SQLite, creates tables and initial stock, and migrates old policy columns.</w:t>
            </w:r>
          </w:p>
        </w:tc>
        <w:tc>
          <w:tcPr>
            <w:tcW w:type="dxa" w:w="2088"/>
            <w:vAlign w:val="top"/>
          </w:tcPr>
          <w:p>
            <w:pPr>
              <w:spacing w:after="0" w:line="252" w:lineRule="auto"/>
            </w:pPr>
            <w:r>
              <w:rPr>
                <w:sz w:val="16"/>
              </w:rPr>
              <w:t>internal/store/store.go</w:t>
            </w:r>
          </w:p>
        </w:tc>
      </w:tr>
    </w:tbl>
    <w:p>
      <w:pPr>
        <w:spacing w:after="0"/>
      </w:pPr>
    </w:p>
    <w:p>
      <w:r>
        <w:t>The subsystems do not import one another. IntakeFacade is the place where their work is combined. main.go constructs the repository, rule, and service for each subsystem, then passes the services into both facades. The same assembly is used by the CLI and the local HTTP server.</w:t>
      </w:r>
    </w:p>
    <w:p>
      <w:pPr>
        <w:pStyle w:val="Heading1"/>
      </w:pPr>
      <w:r>
        <w:t>Inputs and outputs</w:t>
      </w:r>
    </w:p>
    <w:p>
      <w:pPr>
        <w:pStyle w:val="Heading2"/>
      </w:pPr>
      <w:r>
        <w:t>Admission input</w:t>
      </w:r>
    </w:p>
    <w:tbl>
      <w:tblPr>
        <w:tblStyle w:val="TableGrid"/>
        <w:tblW w:type="auto" w:w="0"/>
        <w:jc w:val="center"/>
        <w:tblLayout w:type="fixed"/>
        <w:tblLook w:firstColumn="1" w:firstRow="1" w:lastColumn="0" w:lastRow="0" w:noHBand="0" w:noVBand="1" w:val="04A0"/>
      </w:tblPr>
      <w:tblGrid>
        <w:gridCol w:w="1656"/>
        <w:gridCol w:w="3384"/>
        <w:gridCol w:w="4824"/>
      </w:tblGrid>
      <w:tr>
        <w:trPr>
          <w:tblHeader w:val="true"/>
        </w:trPr>
        <w:tc>
          <w:tcPr>
            <w:tcW w:type="dxa" w:w="3331"/>
            <w:shd w:fill="DDE6ED"/>
            <w:vAlign w:val="center"/>
          </w:tcPr>
          <w:p>
            <w:pPr>
              <w:spacing w:after="0"/>
            </w:pPr>
            <w:r>
              <w:rPr>
                <w:b/>
                <w:sz w:val="16"/>
              </w:rPr>
              <w:t>Input</w:t>
            </w:r>
          </w:p>
        </w:tc>
        <w:tc>
          <w:tcPr>
            <w:tcW w:type="dxa" w:w="3331"/>
            <w:shd w:fill="DDE6ED"/>
            <w:vAlign w:val="center"/>
          </w:tcPr>
          <w:p>
            <w:pPr>
              <w:spacing w:after="0"/>
            </w:pPr>
            <w:r>
              <w:rPr>
                <w:b/>
                <w:sz w:val="16"/>
              </w:rPr>
              <w:t>Where it comes from</w:t>
            </w:r>
          </w:p>
        </w:tc>
        <w:tc>
          <w:tcPr>
            <w:tcW w:type="dxa" w:w="3331"/>
            <w:shd w:fill="DDE6ED"/>
            <w:vAlign w:val="center"/>
          </w:tcPr>
          <w:p>
            <w:pPr>
              <w:spacing w:after="0"/>
            </w:pPr>
            <w:r>
              <w:rPr>
                <w:b/>
                <w:sz w:val="16"/>
              </w:rPr>
              <w:t>Check or use</w:t>
            </w:r>
          </w:p>
        </w:tc>
      </w:tr>
      <w:tr>
        <w:tc>
          <w:tcPr>
            <w:tcW w:type="dxa" w:w="1656"/>
            <w:vAlign w:val="top"/>
          </w:tcPr>
          <w:p>
            <w:pPr>
              <w:spacing w:after="0" w:line="252" w:lineRule="auto"/>
            </w:pPr>
            <w:r>
              <w:rPr>
                <w:sz w:val="16"/>
              </w:rPr>
              <w:t>Admission ID</w:t>
            </w:r>
          </w:p>
        </w:tc>
        <w:tc>
          <w:tcPr>
            <w:tcW w:type="dxa" w:w="3384"/>
            <w:vAlign w:val="top"/>
          </w:tcPr>
          <w:p>
            <w:pPr>
              <w:spacing w:after="0" w:line="252" w:lineRule="auto"/>
            </w:pPr>
            <w:r>
              <w:rPr>
                <w:sz w:val="16"/>
              </w:rPr>
              <w:t>Generated by the HTTP server when the web form omits it; supplied explicitly in CLI commands.</w:t>
            </w:r>
          </w:p>
        </w:tc>
        <w:tc>
          <w:tcPr>
            <w:tcW w:type="dxa" w:w="4824"/>
            <w:vAlign w:val="top"/>
          </w:tcPr>
          <w:p>
            <w:pPr>
              <w:spacing w:after="0" w:line="252" w:lineRule="auto"/>
            </w:pPr>
            <w:r>
              <w:rPr>
                <w:sz w:val="16"/>
              </w:rPr>
              <w:t>Must be nonempty and unique in admissions.id. Web IDs use ADM plus 16 random hexadecimal characters.</w:t>
            </w:r>
          </w:p>
        </w:tc>
      </w:tr>
      <w:tr>
        <w:tc>
          <w:tcPr>
            <w:tcW w:type="dxa" w:w="1656"/>
            <w:vAlign w:val="top"/>
          </w:tcPr>
          <w:p>
            <w:pPr>
              <w:spacing w:after="0" w:line="252" w:lineRule="auto"/>
            </w:pPr>
            <w:r>
              <w:rPr>
                <w:sz w:val="16"/>
              </w:rPr>
              <w:t>IIN</w:t>
            </w:r>
          </w:p>
        </w:tc>
        <w:tc>
          <w:tcPr>
            <w:tcW w:type="dxa" w:w="3384"/>
            <w:vAlign w:val="top"/>
          </w:tcPr>
          <w:p>
            <w:pPr>
              <w:spacing w:after="0" w:line="252" w:lineRule="auto"/>
            </w:pPr>
            <w:r>
              <w:rPr>
                <w:sz w:val="16"/>
              </w:rPr>
              <w:t>Typed in the form or CLI.</w:t>
            </w:r>
          </w:p>
        </w:tc>
        <w:tc>
          <w:tcPr>
            <w:tcW w:type="dxa" w:w="4824"/>
            <w:vAlign w:val="top"/>
          </w:tcPr>
          <w:p>
            <w:pPr>
              <w:spacing w:after="0" w:line="252" w:lineRule="auto"/>
            </w:pPr>
            <w:r>
              <w:rPr>
                <w:sz w:val="16"/>
              </w:rPr>
              <w:t>Exactly 12 ASCII digits. No checksum, registry lookup, or identity validation.</w:t>
            </w:r>
          </w:p>
        </w:tc>
      </w:tr>
      <w:tr>
        <w:tc>
          <w:tcPr>
            <w:tcW w:type="dxa" w:w="1656"/>
            <w:vAlign w:val="top"/>
          </w:tcPr>
          <w:p>
            <w:pPr>
              <w:spacing w:after="0" w:line="252" w:lineRule="auto"/>
            </w:pPr>
            <w:r>
              <w:rPr>
                <w:sz w:val="16"/>
              </w:rPr>
              <w:t>Coverage</w:t>
            </w:r>
          </w:p>
        </w:tc>
        <w:tc>
          <w:tcPr>
            <w:tcW w:type="dxa" w:w="3384"/>
            <w:vAlign w:val="top"/>
          </w:tcPr>
          <w:p>
            <w:pPr>
              <w:spacing w:after="0" w:line="252" w:lineRule="auto"/>
            </w:pPr>
            <w:r>
              <w:rPr>
                <w:sz w:val="16"/>
              </w:rPr>
              <w:t>OSMS, GOBMP, DMS, or No coverage in the form.</w:t>
            </w:r>
          </w:p>
        </w:tc>
        <w:tc>
          <w:tcPr>
            <w:tcW w:type="dxa" w:w="4824"/>
            <w:vAlign w:val="top"/>
          </w:tcPr>
          <w:p>
            <w:pPr>
              <w:spacing w:after="0" w:line="252" w:lineRule="auto"/>
            </w:pPr>
            <w:r>
              <w:rPr>
                <w:sz w:val="16"/>
              </w:rPr>
              <w:t>OSMS, GOBMP, and DMS pass the local rule. NONE and unknown values fail before any admission row is created.</w:t>
            </w:r>
          </w:p>
        </w:tc>
      </w:tr>
      <w:tr>
        <w:tc>
          <w:tcPr>
            <w:tcW w:type="dxa" w:w="1656"/>
            <w:vAlign w:val="top"/>
          </w:tcPr>
          <w:p>
            <w:pPr>
              <w:spacing w:after="0" w:line="252" w:lineRule="auto"/>
            </w:pPr>
            <w:r>
              <w:rPr>
                <w:sz w:val="16"/>
              </w:rPr>
              <w:t>Equipment</w:t>
            </w:r>
          </w:p>
        </w:tc>
        <w:tc>
          <w:tcPr>
            <w:tcW w:type="dxa" w:w="3384"/>
            <w:vAlign w:val="top"/>
          </w:tcPr>
          <w:p>
            <w:pPr>
              <w:spacing w:after="0" w:line="252" w:lineRule="auto"/>
            </w:pPr>
            <w:r>
              <w:rPr>
                <w:sz w:val="16"/>
              </w:rPr>
              <w:t>Chosen from equipment stock in the form; named in CLI.</w:t>
            </w:r>
          </w:p>
        </w:tc>
        <w:tc>
          <w:tcPr>
            <w:tcW w:type="dxa" w:w="4824"/>
            <w:vAlign w:val="top"/>
          </w:tcPr>
          <w:p>
            <w:pPr>
              <w:spacing w:after="0" w:line="252" w:lineRule="auto"/>
            </w:pPr>
            <w:r>
              <w:rPr>
                <w:sz w:val="16"/>
              </w:rPr>
              <w:t>Name must be nonempty. Actual availability is checked during reservation.</w:t>
            </w:r>
          </w:p>
        </w:tc>
      </w:tr>
      <w:tr>
        <w:tc>
          <w:tcPr>
            <w:tcW w:type="dxa" w:w="1656"/>
            <w:vAlign w:val="top"/>
          </w:tcPr>
          <w:p>
            <w:pPr>
              <w:spacing w:after="0" w:line="252" w:lineRule="auto"/>
            </w:pPr>
            <w:r>
              <w:rPr>
                <w:sz w:val="16"/>
              </w:rPr>
              <w:t>Medicine</w:t>
            </w:r>
          </w:p>
        </w:tc>
        <w:tc>
          <w:tcPr>
            <w:tcW w:type="dxa" w:w="3384"/>
            <w:vAlign w:val="top"/>
          </w:tcPr>
          <w:p>
            <w:pPr>
              <w:spacing w:after="0" w:line="252" w:lineRule="auto"/>
            </w:pPr>
            <w:r>
              <w:rPr>
                <w:sz w:val="16"/>
              </w:rPr>
              <w:t>Chosen from medicine stock in the form; named in CLI.</w:t>
            </w:r>
          </w:p>
        </w:tc>
        <w:tc>
          <w:tcPr>
            <w:tcW w:type="dxa" w:w="4824"/>
            <w:vAlign w:val="top"/>
          </w:tcPr>
          <w:p>
            <w:pPr>
              <w:spacing w:after="0" w:line="252" w:lineRule="auto"/>
            </w:pPr>
            <w:r>
              <w:rPr>
                <w:sz w:val="16"/>
              </w:rPr>
              <w:t>Name must be nonempty. Actual availability is checked during dispatch.</w:t>
            </w:r>
          </w:p>
        </w:tc>
      </w:tr>
    </w:tbl>
    <w:p>
      <w:pPr>
        <w:spacing w:after="0"/>
      </w:pPr>
    </w:p>
    <w:p>
      <w:r>
        <w:t>The form permits selecting an item with quantity zero so a failure can be demonstrated. Stock additions and edits take kind, name, and a nonnegative quantity. A stock edit sets the displayed quantity; it does not add to the old quantity.</w:t>
      </w:r>
    </w:p>
    <w:p>
      <w:pPr>
        <w:pStyle w:val="Heading2"/>
      </w:pPr>
      <w:r>
        <w:t>Returned result</w:t>
      </w:r>
    </w:p>
    <w:p>
      <w:r>
        <w:t>A successful web request returns a view containing the admission row plus the current insurance, equipment, and pharmacy statuses. The admission table and detail panel display that view. A business failure returns HTTP 422 with an error message; if the admission was saved before failure, the response also includes its final view. Malformed JSON or invalid action returns HTTP 400. Missing admission lookup returns HTTP 404. State-read and ID-generation faults return HTTP 500. The current action-result handler maps other operation errors to 422, including some database errors.</w:t>
      </w:r>
    </w:p>
    <w:p>
      <w:r>
        <w:t>The CLI prints the admission status and all three subsystem statuses. On failure it prints the saved view when one exists and exits with an error. An invalid first step produces an error without creating a row.</w:t>
      </w:r>
    </w:p>
    <w:p>
      <w:pPr>
        <w:pStyle w:val="Heading1"/>
      </w:pPr>
      <w:r>
        <w:t>The three subsystems</w:t>
      </w:r>
    </w:p>
    <w:p>
      <w:pPr>
        <w:pStyle w:val="Heading2"/>
      </w:pPr>
      <w:r>
        <w:t>A Insurance Verifier</w:t>
      </w:r>
    </w:p>
    <w:p>
      <w:r>
        <w:t>Verification is the A step. Its Rule.Check rejects an IIN that is not exactly 12 digits. It accepts GOBMP, OSMS, and DMS; NONE produces ‘no coverage selected’. Verification starts as NEW and transitions to VERIFIED. If a downstream step fails, Reverse changes VERIFIED to REVERSED. The entity rejects other transitions. The insurance repository stores admission_id, iin, coverage, and status in SQLite.</w:t>
      </w:r>
    </w:p>
    <w:p>
      <w:r>
        <w:t>The coverage names reflect Kazakhstan terminology, but this simplified rule does not establish a patient's legal eligibility. In particular, GOBMP is a separate choice and does not require the OSMS choice. For a real admission, eligibility would need authoritative checks and clinical rules outside this project.</w:t>
      </w:r>
    </w:p>
    <w:p>
      <w:pPr>
        <w:pStyle w:val="Heading2"/>
      </w:pPr>
      <w:r>
        <w:t>B Equipment Reserver</w:t>
      </w:r>
    </w:p>
    <w:p>
      <w:r>
        <w:t>Reservation is the B step. Its rule requires a nonempty item name. Reserve executes a transaction that decrements one equipment stock unit only when quantity is greater than zero, then inserts a reservation row with status RESERVED. If either database operation fails, the transaction rolls back. The entity transitions NEW to RESERVED to RELEASED. Release changes an active reservation to RELEASED and increments the same stock item in one transaction. A missing or zero quantity produces an unavailable error.</w:t>
      </w:r>
    </w:p>
    <w:p>
      <w:pPr>
        <w:pStyle w:val="Heading2"/>
      </w:pPr>
      <w:r>
        <w:t>C Pharmacy Dispatcher</w:t>
      </w:r>
    </w:p>
    <w:p>
      <w:r>
        <w:t>Dispatch is the C step. Its rule requires a nonempty medicine name. Dispatch executes a transaction that decrements one pharmacy stock unit only when quantity is greater than zero, then inserts a row with status DISPATCHED. The entity defines NEW, DISPATCHED, and CANCELLED transitions, but the current service does not expose a cancel operation. Completed medicine dispatch is therefore not automatically reversed, and the admin facade refuses manual compensation once medicine is dispatched.</w:t>
      </w:r>
    </w:p>
    <w:p>
      <w:pPr>
        <w:pStyle w:val="Heading2"/>
      </w:pPr>
      <w:r>
        <w:t>Why the entity, rule, repository, and service are separate</w:t>
      </w:r>
    </w:p>
    <w:p>
      <w:r>
        <w:t>Each subsystem's entity owns legal status transitions, its Rule checks business inputs, its Repository reads and writes its own persistent state, and its service provides an operation the facade can call. The separation lets each subsystem work directly in tests without depending on the other two. The facade does not issue SQL for reservation or dispatch; it asks the relevant service to do that work.</w:t>
      </w:r>
    </w:p>
    <w:p>
      <w:pPr>
        <w:pStyle w:val="Heading1"/>
      </w:pPr>
      <w:r>
        <w:t>SQLite database</w:t>
      </w:r>
    </w:p>
    <w:p>
      <w:r>
        <w:t>store.Open opens the selected database file, limits the connection pool to one open connection, applies a busy timeout, and creates tables if they are missing. New databases receive wheelchair equipment stock of 5 and paracetamol pharmacy stock of 5. INSERT OR IGNORE keeps later stock edits when the database is reopened. Closing and reopening the application does not clear data.</w:t>
      </w:r>
    </w:p>
    <w:tbl>
      <w:tblPr>
        <w:tblStyle w:val="TableGrid"/>
        <w:tblW w:type="auto" w:w="0"/>
        <w:jc w:val="center"/>
        <w:tblLayout w:type="fixed"/>
        <w:tblLook w:firstColumn="1" w:firstRow="1" w:lastColumn="0" w:lastRow="0" w:noHBand="0" w:noVBand="1" w:val="04A0"/>
      </w:tblPr>
      <w:tblGrid>
        <w:gridCol w:w="1512"/>
        <w:gridCol w:w="1584"/>
        <w:gridCol w:w="6768"/>
      </w:tblGrid>
      <w:tr>
        <w:trPr>
          <w:tblHeader w:val="true"/>
        </w:trPr>
        <w:tc>
          <w:tcPr>
            <w:tcW w:type="dxa" w:w="3331"/>
            <w:shd w:fill="DDE6ED"/>
            <w:vAlign w:val="center"/>
          </w:tcPr>
          <w:p>
            <w:pPr>
              <w:spacing w:after="0"/>
            </w:pPr>
            <w:r>
              <w:rPr>
                <w:b/>
                <w:sz w:val="16"/>
              </w:rPr>
              <w:t>Table</w:t>
            </w:r>
          </w:p>
        </w:tc>
        <w:tc>
          <w:tcPr>
            <w:tcW w:type="dxa" w:w="3331"/>
            <w:shd w:fill="DDE6ED"/>
            <w:vAlign w:val="center"/>
          </w:tcPr>
          <w:p>
            <w:pPr>
              <w:spacing w:after="0"/>
            </w:pPr>
            <w:r>
              <w:rPr>
                <w:b/>
                <w:sz w:val="16"/>
              </w:rPr>
              <w:t>Key</w:t>
            </w:r>
          </w:p>
        </w:tc>
        <w:tc>
          <w:tcPr>
            <w:tcW w:type="dxa" w:w="3331"/>
            <w:shd w:fill="DDE6ED"/>
            <w:vAlign w:val="center"/>
          </w:tcPr>
          <w:p>
            <w:pPr>
              <w:spacing w:after="0"/>
            </w:pPr>
            <w:r>
              <w:rPr>
                <w:b/>
                <w:sz w:val="16"/>
              </w:rPr>
              <w:t>Stored data and purpose</w:t>
            </w:r>
          </w:p>
        </w:tc>
      </w:tr>
      <w:tr>
        <w:tc>
          <w:tcPr>
            <w:tcW w:type="dxa" w:w="1512"/>
            <w:vAlign w:val="top"/>
          </w:tcPr>
          <w:p>
            <w:pPr>
              <w:spacing w:after="0" w:line="252" w:lineRule="auto"/>
            </w:pPr>
            <w:r>
              <w:rPr>
                <w:sz w:val="16"/>
              </w:rPr>
              <w:t>admissions</w:t>
            </w:r>
          </w:p>
        </w:tc>
        <w:tc>
          <w:tcPr>
            <w:tcW w:type="dxa" w:w="1584"/>
            <w:vAlign w:val="top"/>
          </w:tcPr>
          <w:p>
            <w:pPr>
              <w:spacing w:after="0" w:line="252" w:lineRule="auto"/>
            </w:pPr>
            <w:r>
              <w:rPr>
                <w:sz w:val="16"/>
              </w:rPr>
              <w:t>id</w:t>
            </w:r>
          </w:p>
        </w:tc>
        <w:tc>
          <w:tcPr>
            <w:tcW w:type="dxa" w:w="6768"/>
            <w:vAlign w:val="top"/>
          </w:tcPr>
          <w:p>
            <w:pPr>
              <w:spacing w:after="0" w:line="252" w:lineRule="auto"/>
            </w:pPr>
            <w:r>
              <w:rPr>
                <w:sz w:val="16"/>
              </w:rPr>
              <w:t>IIN, coverage, chosen equipment and medicine, overall status, and failure reason. This is durable facade progress.</w:t>
            </w:r>
          </w:p>
        </w:tc>
      </w:tr>
      <w:tr>
        <w:tc>
          <w:tcPr>
            <w:tcW w:type="dxa" w:w="1512"/>
            <w:vAlign w:val="top"/>
          </w:tcPr>
          <w:p>
            <w:pPr>
              <w:spacing w:after="0" w:line="252" w:lineRule="auto"/>
            </w:pPr>
            <w:r>
              <w:rPr>
                <w:sz w:val="16"/>
              </w:rPr>
              <w:t>insurance</w:t>
            </w:r>
          </w:p>
        </w:tc>
        <w:tc>
          <w:tcPr>
            <w:tcW w:type="dxa" w:w="1584"/>
            <w:vAlign w:val="top"/>
          </w:tcPr>
          <w:p>
            <w:pPr>
              <w:spacing w:after="0" w:line="252" w:lineRule="auto"/>
            </w:pPr>
            <w:r>
              <w:rPr>
                <w:sz w:val="16"/>
              </w:rPr>
              <w:t>admission_id</w:t>
            </w:r>
          </w:p>
        </w:tc>
        <w:tc>
          <w:tcPr>
            <w:tcW w:type="dxa" w:w="6768"/>
            <w:vAlign w:val="top"/>
          </w:tcPr>
          <w:p>
            <w:pPr>
              <w:spacing w:after="0" w:line="252" w:lineRule="auto"/>
            </w:pPr>
            <w:r>
              <w:rPr>
                <w:sz w:val="16"/>
              </w:rPr>
              <w:t>IIN, coverage, and verification status for subsystem A.</w:t>
            </w:r>
          </w:p>
        </w:tc>
      </w:tr>
      <w:tr>
        <w:tc>
          <w:tcPr>
            <w:tcW w:type="dxa" w:w="1512"/>
            <w:vAlign w:val="top"/>
          </w:tcPr>
          <w:p>
            <w:pPr>
              <w:spacing w:after="0" w:line="252" w:lineRule="auto"/>
            </w:pPr>
            <w:r>
              <w:rPr>
                <w:sz w:val="16"/>
              </w:rPr>
              <w:t>equipment</w:t>
            </w:r>
          </w:p>
        </w:tc>
        <w:tc>
          <w:tcPr>
            <w:tcW w:type="dxa" w:w="1584"/>
            <w:vAlign w:val="top"/>
          </w:tcPr>
          <w:p>
            <w:pPr>
              <w:spacing w:after="0" w:line="252" w:lineRule="auto"/>
            </w:pPr>
            <w:r>
              <w:rPr>
                <w:sz w:val="16"/>
              </w:rPr>
              <w:t>admission_id</w:t>
            </w:r>
          </w:p>
        </w:tc>
        <w:tc>
          <w:tcPr>
            <w:tcW w:type="dxa" w:w="6768"/>
            <w:vAlign w:val="top"/>
          </w:tcPr>
          <w:p>
            <w:pPr>
              <w:spacing w:after="0" w:line="252" w:lineRule="auto"/>
            </w:pPr>
            <w:r>
              <w:rPr>
                <w:sz w:val="16"/>
              </w:rPr>
              <w:t>Reserved item and reservation status for subsystem B.</w:t>
            </w:r>
          </w:p>
        </w:tc>
      </w:tr>
      <w:tr>
        <w:tc>
          <w:tcPr>
            <w:tcW w:type="dxa" w:w="1512"/>
            <w:vAlign w:val="top"/>
          </w:tcPr>
          <w:p>
            <w:pPr>
              <w:spacing w:after="0" w:line="252" w:lineRule="auto"/>
            </w:pPr>
            <w:r>
              <w:rPr>
                <w:sz w:val="16"/>
              </w:rPr>
              <w:t>pharmacy</w:t>
            </w:r>
          </w:p>
        </w:tc>
        <w:tc>
          <w:tcPr>
            <w:tcW w:type="dxa" w:w="1584"/>
            <w:vAlign w:val="top"/>
          </w:tcPr>
          <w:p>
            <w:pPr>
              <w:spacing w:after="0" w:line="252" w:lineRule="auto"/>
            </w:pPr>
            <w:r>
              <w:rPr>
                <w:sz w:val="16"/>
              </w:rPr>
              <w:t>admission_id</w:t>
            </w:r>
          </w:p>
        </w:tc>
        <w:tc>
          <w:tcPr>
            <w:tcW w:type="dxa" w:w="6768"/>
            <w:vAlign w:val="top"/>
          </w:tcPr>
          <w:p>
            <w:pPr>
              <w:spacing w:after="0" w:line="252" w:lineRule="auto"/>
            </w:pPr>
            <w:r>
              <w:rPr>
                <w:sz w:val="16"/>
              </w:rPr>
              <w:t>Medicine and dispatch status for subsystem C.</w:t>
            </w:r>
          </w:p>
        </w:tc>
      </w:tr>
      <w:tr>
        <w:tc>
          <w:tcPr>
            <w:tcW w:type="dxa" w:w="1512"/>
            <w:vAlign w:val="top"/>
          </w:tcPr>
          <w:p>
            <w:pPr>
              <w:spacing w:after="0" w:line="252" w:lineRule="auto"/>
            </w:pPr>
            <w:r>
              <w:rPr>
                <w:sz w:val="16"/>
              </w:rPr>
              <w:t>stock</w:t>
            </w:r>
          </w:p>
        </w:tc>
        <w:tc>
          <w:tcPr>
            <w:tcW w:type="dxa" w:w="1584"/>
            <w:vAlign w:val="top"/>
          </w:tcPr>
          <w:p>
            <w:pPr>
              <w:spacing w:after="0" w:line="252" w:lineRule="auto"/>
            </w:pPr>
            <w:r>
              <w:rPr>
                <w:sz w:val="16"/>
              </w:rPr>
              <w:t>kind and name</w:t>
            </w:r>
          </w:p>
        </w:tc>
        <w:tc>
          <w:tcPr>
            <w:tcW w:type="dxa" w:w="6768"/>
            <w:vAlign w:val="top"/>
          </w:tcPr>
          <w:p>
            <w:pPr>
              <w:spacing w:after="0" w:line="252" w:lineRule="auto"/>
            </w:pPr>
            <w:r>
              <w:rPr>
                <w:sz w:val="16"/>
              </w:rPr>
              <w:t>Available quantity. kind is equipment or pharmacy; quantity cannot be negative.</w:t>
            </w:r>
          </w:p>
        </w:tc>
      </w:tr>
    </w:tbl>
    <w:p>
      <w:pPr>
        <w:spacing w:after="0"/>
      </w:pPr>
    </w:p>
    <w:p>
      <w:r>
        <w:t>When an older database contains a policy column in admissions or insurance, startup renames that column to coverage and preserves the existing values. The UI labels values outside the new choices as Legacy. The project does not assign a new coverage category to those historical records.</w:t>
      </w:r>
    </w:p>
    <w:p>
      <w:pPr>
        <w:pStyle w:val="Heading1"/>
      </w:pPr>
      <w:r>
        <w:t>Normal admission pipeline</w:t>
      </w:r>
    </w:p>
    <w:tbl>
      <w:tblPr>
        <w:tblStyle w:val="TableGrid"/>
        <w:tblW w:type="auto" w:w="0"/>
        <w:jc w:val="center"/>
        <w:tblLayout w:type="fixed"/>
        <w:tblLook w:firstColumn="1" w:firstRow="1" w:lastColumn="0" w:lastRow="0" w:noHBand="0" w:noVBand="1" w:val="04A0"/>
      </w:tblPr>
      <w:tblGrid>
        <w:gridCol w:w="720"/>
        <w:gridCol w:w="5472"/>
        <w:gridCol w:w="3672"/>
      </w:tblGrid>
      <w:tr>
        <w:trPr>
          <w:tblHeader w:val="true"/>
        </w:trPr>
        <w:tc>
          <w:tcPr>
            <w:tcW w:type="dxa" w:w="3331"/>
            <w:shd w:fill="DDE6ED"/>
            <w:vAlign w:val="center"/>
          </w:tcPr>
          <w:p>
            <w:pPr>
              <w:spacing w:after="0"/>
            </w:pPr>
            <w:r>
              <w:rPr>
                <w:b/>
                <w:sz w:val="16"/>
              </w:rPr>
              <w:t>Order</w:t>
            </w:r>
          </w:p>
        </w:tc>
        <w:tc>
          <w:tcPr>
            <w:tcW w:type="dxa" w:w="3331"/>
            <w:shd w:fill="DDE6ED"/>
            <w:vAlign w:val="center"/>
          </w:tcPr>
          <w:p>
            <w:pPr>
              <w:spacing w:after="0"/>
            </w:pPr>
            <w:r>
              <w:rPr>
                <w:b/>
                <w:sz w:val="16"/>
              </w:rPr>
              <w:t>Operation</w:t>
            </w:r>
          </w:p>
        </w:tc>
        <w:tc>
          <w:tcPr>
            <w:tcW w:type="dxa" w:w="3331"/>
            <w:shd w:fill="DDE6ED"/>
            <w:vAlign w:val="center"/>
          </w:tcPr>
          <w:p>
            <w:pPr>
              <w:spacing w:after="0"/>
            </w:pPr>
            <w:r>
              <w:rPr>
                <w:b/>
                <w:sz w:val="16"/>
              </w:rPr>
              <w:t>Durable result</w:t>
            </w:r>
          </w:p>
        </w:tc>
      </w:tr>
      <w:tr>
        <w:tc>
          <w:tcPr>
            <w:tcW w:type="dxa" w:w="720"/>
            <w:vAlign w:val="top"/>
          </w:tcPr>
          <w:p>
            <w:pPr>
              <w:spacing w:after="0" w:line="252" w:lineRule="auto"/>
            </w:pPr>
            <w:r>
              <w:rPr>
                <w:sz w:val="16"/>
              </w:rPr>
              <w:t>0</w:t>
            </w:r>
          </w:p>
        </w:tc>
        <w:tc>
          <w:tcPr>
            <w:tcW w:type="dxa" w:w="5472"/>
            <w:vAlign w:val="top"/>
          </w:tcPr>
          <w:p>
            <w:pPr>
              <w:spacing w:after="0" w:line="252" w:lineRule="auto"/>
            </w:pPr>
            <w:r>
              <w:rPr>
                <w:sz w:val="16"/>
              </w:rPr>
              <w:t>The HTTP layer creates an ID if absent. IntakeFacade.Start checks ID, IIN, coverage, equipment name, and medicine name.</w:t>
            </w:r>
          </w:p>
        </w:tc>
        <w:tc>
          <w:tcPr>
            <w:tcW w:type="dxa" w:w="3672"/>
            <w:vAlign w:val="top"/>
          </w:tcPr>
          <w:p>
            <w:pPr>
              <w:spacing w:after="0" w:line="252" w:lineRule="auto"/>
            </w:pPr>
            <w:r>
              <w:rPr>
                <w:sz w:val="16"/>
              </w:rPr>
              <w:t>No admission row is created if these checks fail.</w:t>
            </w:r>
          </w:p>
        </w:tc>
      </w:tr>
      <w:tr>
        <w:tc>
          <w:tcPr>
            <w:tcW w:type="dxa" w:w="720"/>
            <w:vAlign w:val="top"/>
          </w:tcPr>
          <w:p>
            <w:pPr>
              <w:spacing w:after="0" w:line="252" w:lineRule="auto"/>
            </w:pPr>
            <w:r>
              <w:rPr>
                <w:sz w:val="16"/>
              </w:rPr>
              <w:t>1</w:t>
            </w:r>
          </w:p>
        </w:tc>
        <w:tc>
          <w:tcPr>
            <w:tcW w:type="dxa" w:w="5472"/>
            <w:vAlign w:val="top"/>
          </w:tcPr>
          <w:p>
            <w:pPr>
              <w:spacing w:after="0" w:line="252" w:lineRule="auto"/>
            </w:pPr>
            <w:r>
              <w:rPr>
                <w:sz w:val="16"/>
              </w:rPr>
              <w:t>Gateway.Create inserts the admission.</w:t>
            </w:r>
          </w:p>
        </w:tc>
        <w:tc>
          <w:tcPr>
            <w:tcW w:type="dxa" w:w="3672"/>
            <w:vAlign w:val="top"/>
          </w:tcPr>
          <w:p>
            <w:pPr>
              <w:spacing w:after="0" w:line="252" w:lineRule="auto"/>
            </w:pPr>
            <w:r>
              <w:rPr>
                <w:sz w:val="16"/>
              </w:rPr>
              <w:t>admissions.status = PENDING_A</w:t>
            </w:r>
          </w:p>
        </w:tc>
      </w:tr>
      <w:tr>
        <w:tc>
          <w:tcPr>
            <w:tcW w:type="dxa" w:w="720"/>
            <w:vAlign w:val="top"/>
          </w:tcPr>
          <w:p>
            <w:pPr>
              <w:spacing w:after="0" w:line="252" w:lineRule="auto"/>
            </w:pPr>
            <w:r>
              <w:rPr>
                <w:sz w:val="16"/>
              </w:rPr>
              <w:t>2</w:t>
            </w:r>
          </w:p>
        </w:tc>
        <w:tc>
          <w:tcPr>
            <w:tcW w:type="dxa" w:w="5472"/>
            <w:vAlign w:val="top"/>
          </w:tcPr>
          <w:p>
            <w:pPr>
              <w:spacing w:after="0" w:line="252" w:lineRule="auto"/>
            </w:pPr>
            <w:r>
              <w:rPr>
                <w:sz w:val="16"/>
              </w:rPr>
              <w:t>ensureA calls Insurance.Verify, or recognizes an already VERIFIED row during recovery.</w:t>
            </w:r>
          </w:p>
        </w:tc>
        <w:tc>
          <w:tcPr>
            <w:tcW w:type="dxa" w:w="3672"/>
            <w:vAlign w:val="top"/>
          </w:tcPr>
          <w:p>
            <w:pPr>
              <w:spacing w:after="0" w:line="252" w:lineRule="auto"/>
            </w:pPr>
            <w:r>
              <w:rPr>
                <w:sz w:val="16"/>
              </w:rPr>
              <w:t>insurance.status = VERIFIED; admission moves to PENDING_B</w:t>
            </w:r>
          </w:p>
        </w:tc>
      </w:tr>
      <w:tr>
        <w:tc>
          <w:tcPr>
            <w:tcW w:type="dxa" w:w="720"/>
            <w:vAlign w:val="top"/>
          </w:tcPr>
          <w:p>
            <w:pPr>
              <w:spacing w:after="0" w:line="252" w:lineRule="auto"/>
            </w:pPr>
            <w:r>
              <w:rPr>
                <w:sz w:val="16"/>
              </w:rPr>
              <w:t>3</w:t>
            </w:r>
          </w:p>
        </w:tc>
        <w:tc>
          <w:tcPr>
            <w:tcW w:type="dxa" w:w="5472"/>
            <w:vAlign w:val="top"/>
          </w:tcPr>
          <w:p>
            <w:pPr>
              <w:spacing w:after="0" w:line="252" w:lineRule="auto"/>
            </w:pPr>
            <w:r>
              <w:rPr>
                <w:sz w:val="16"/>
              </w:rPr>
              <w:t>Resume calls Equipment.Reserve, or recognizes an already RESERVED row.</w:t>
            </w:r>
          </w:p>
        </w:tc>
        <w:tc>
          <w:tcPr>
            <w:tcW w:type="dxa" w:w="3672"/>
            <w:vAlign w:val="top"/>
          </w:tcPr>
          <w:p>
            <w:pPr>
              <w:spacing w:after="0" w:line="252" w:lineRule="auto"/>
            </w:pPr>
            <w:r>
              <w:rPr>
                <w:sz w:val="16"/>
              </w:rPr>
              <w:t>One equipment unit is deducted; equipment.status = RESERVED; admission moves to PENDING_C</w:t>
            </w:r>
          </w:p>
        </w:tc>
      </w:tr>
      <w:tr>
        <w:tc>
          <w:tcPr>
            <w:tcW w:type="dxa" w:w="720"/>
            <w:vAlign w:val="top"/>
          </w:tcPr>
          <w:p>
            <w:pPr>
              <w:spacing w:after="0" w:line="252" w:lineRule="auto"/>
            </w:pPr>
            <w:r>
              <w:rPr>
                <w:sz w:val="16"/>
              </w:rPr>
              <w:t>4</w:t>
            </w:r>
          </w:p>
        </w:tc>
        <w:tc>
          <w:tcPr>
            <w:tcW w:type="dxa" w:w="5472"/>
            <w:vAlign w:val="top"/>
          </w:tcPr>
          <w:p>
            <w:pPr>
              <w:spacing w:after="0" w:line="252" w:lineRule="auto"/>
            </w:pPr>
            <w:r>
              <w:rPr>
                <w:sz w:val="16"/>
              </w:rPr>
              <w:t>Resume calls Pharmacy.Dispatch, or recognizes an already DISPATCHED row.</w:t>
            </w:r>
          </w:p>
        </w:tc>
        <w:tc>
          <w:tcPr>
            <w:tcW w:type="dxa" w:w="3672"/>
            <w:vAlign w:val="top"/>
          </w:tcPr>
          <w:p>
            <w:pPr>
              <w:spacing w:after="0" w:line="252" w:lineRule="auto"/>
            </w:pPr>
            <w:r>
              <w:rPr>
                <w:sz w:val="16"/>
              </w:rPr>
              <w:t>One medicine unit is deducted; pharmacy.status = DISPATCHED; admission moves to COMPLETED</w:t>
            </w:r>
          </w:p>
        </w:tc>
      </w:tr>
    </w:tbl>
    <w:p>
      <w:pPr>
        <w:spacing w:after="0"/>
      </w:pPr>
    </w:p>
    <w:p>
      <w:r>
        <w:t>The common web Admit button calls IntakeFacade.Admit, which runs Start and then Resume. Verify only calls Start and leaves the admission at PENDING_B. The Resume button continues the remaining steps. The facade reads persisted rows before retrying a step, so a restart after a committed operation does not automatically repeat that operation.</w:t>
      </w:r>
    </w:p>
    <w:p>
      <w:pPr>
        <w:pStyle w:val="Heading2"/>
      </w:pPr>
      <w:r>
        <w:t>Example of a successful run</w:t>
      </w:r>
    </w:p>
    <w:p>
      <w:r>
        <w:t>With wheelchair = 5 and paracetamol = 5, submit a valid 12 digit IIN, OSMS coverage, wheelchair, and paracetamol. The final view is COMPLETED with insurance VERIFIED, equipment RESERVED, and pharmacy DISPATCHED. Both stock quantities become 4. The saved admission and subsystem rows remain after restarting the program with the same database file.</w:t>
      </w:r>
    </w:p>
    <w:p>
      <w:pPr>
        <w:pStyle w:val="Heading1"/>
      </w:pPr>
      <w:r>
        <w:t>Failures and compensation</w:t>
      </w:r>
    </w:p>
    <w:tbl>
      <w:tblPr>
        <w:tblStyle w:val="TableGrid"/>
        <w:tblW w:type="auto" w:w="0"/>
        <w:jc w:val="center"/>
        <w:tblLayout w:type="fixed"/>
        <w:tblLook w:firstColumn="1" w:firstRow="1" w:lastColumn="0" w:lastRow="0" w:noHBand="0" w:noVBand="1" w:val="04A0"/>
      </w:tblPr>
      <w:tblGrid>
        <w:gridCol w:w="1944"/>
        <w:gridCol w:w="2448"/>
        <w:gridCol w:w="5472"/>
      </w:tblGrid>
      <w:tr>
        <w:trPr>
          <w:tblHeader w:val="true"/>
        </w:trPr>
        <w:tc>
          <w:tcPr>
            <w:tcW w:type="dxa" w:w="3331"/>
            <w:shd w:fill="DDE6ED"/>
            <w:vAlign w:val="center"/>
          </w:tcPr>
          <w:p>
            <w:pPr>
              <w:spacing w:after="0"/>
            </w:pPr>
            <w:r>
              <w:rPr>
                <w:b/>
                <w:sz w:val="16"/>
              </w:rPr>
              <w:t>Failure point</w:t>
            </w:r>
          </w:p>
        </w:tc>
        <w:tc>
          <w:tcPr>
            <w:tcW w:type="dxa" w:w="3331"/>
            <w:shd w:fill="DDE6ED"/>
            <w:vAlign w:val="center"/>
          </w:tcPr>
          <w:p>
            <w:pPr>
              <w:spacing w:after="0"/>
            </w:pPr>
            <w:r>
              <w:rPr>
                <w:b/>
                <w:sz w:val="16"/>
              </w:rPr>
              <w:t>What was committed</w:t>
            </w:r>
          </w:p>
        </w:tc>
        <w:tc>
          <w:tcPr>
            <w:tcW w:type="dxa" w:w="3331"/>
            <w:shd w:fill="DDE6ED"/>
            <w:vAlign w:val="center"/>
          </w:tcPr>
          <w:p>
            <w:pPr>
              <w:spacing w:after="0"/>
            </w:pPr>
            <w:r>
              <w:rPr>
                <w:b/>
                <w:sz w:val="16"/>
              </w:rPr>
              <w:t>Facade response and final state</w:t>
            </w:r>
          </w:p>
        </w:tc>
      </w:tr>
      <w:tr>
        <w:tc>
          <w:tcPr>
            <w:tcW w:type="dxa" w:w="1944"/>
            <w:vAlign w:val="top"/>
          </w:tcPr>
          <w:p>
            <w:pPr>
              <w:spacing w:after="0" w:line="252" w:lineRule="auto"/>
            </w:pPr>
            <w:r>
              <w:rPr>
                <w:sz w:val="16"/>
              </w:rPr>
              <w:t>Input or A validation</w:t>
            </w:r>
          </w:p>
        </w:tc>
        <w:tc>
          <w:tcPr>
            <w:tcW w:type="dxa" w:w="2448"/>
            <w:vAlign w:val="top"/>
          </w:tcPr>
          <w:p>
            <w:pPr>
              <w:spacing w:after="0" w:line="252" w:lineRule="auto"/>
            </w:pPr>
            <w:r>
              <w:rPr>
                <w:sz w:val="16"/>
              </w:rPr>
              <w:t>Nothing was saved by the facade.</w:t>
            </w:r>
          </w:p>
        </w:tc>
        <w:tc>
          <w:tcPr>
            <w:tcW w:type="dxa" w:w="5472"/>
            <w:vAlign w:val="top"/>
          </w:tcPr>
          <w:p>
            <w:pPr>
              <w:spacing w:after="0" w:line="252" w:lineRule="auto"/>
            </w:pPr>
            <w:r>
              <w:rPr>
                <w:sz w:val="16"/>
              </w:rPr>
              <w:t>Return an error. No admission or subsystem row is created.</w:t>
            </w:r>
          </w:p>
        </w:tc>
      </w:tr>
      <w:tr>
        <w:tc>
          <w:tcPr>
            <w:tcW w:type="dxa" w:w="1944"/>
            <w:vAlign w:val="top"/>
          </w:tcPr>
          <w:p>
            <w:pPr>
              <w:spacing w:after="0" w:line="252" w:lineRule="auto"/>
            </w:pPr>
            <w:r>
              <w:rPr>
                <w:sz w:val="16"/>
              </w:rPr>
              <w:t>B equipment unavailable</w:t>
            </w:r>
          </w:p>
        </w:tc>
        <w:tc>
          <w:tcPr>
            <w:tcW w:type="dxa" w:w="2448"/>
            <w:vAlign w:val="top"/>
          </w:tcPr>
          <w:p>
            <w:pPr>
              <w:spacing w:after="0" w:line="252" w:lineRule="auto"/>
            </w:pPr>
            <w:r>
              <w:rPr>
                <w:sz w:val="16"/>
              </w:rPr>
              <w:t>Admission and insurance verification.</w:t>
            </w:r>
          </w:p>
        </w:tc>
        <w:tc>
          <w:tcPr>
            <w:tcW w:type="dxa" w:w="5472"/>
            <w:vAlign w:val="top"/>
          </w:tcPr>
          <w:p>
            <w:pPr>
              <w:spacing w:after="0" w:line="252" w:lineRule="auto"/>
            </w:pPr>
            <w:r>
              <w:rPr>
                <w:sz w:val="16"/>
              </w:rPr>
              <w:t>Set COMPENSATING; reverse insurance to REVERSED; set admission to COMPENSATED. No equipment or pharmacy row exists.</w:t>
            </w:r>
          </w:p>
        </w:tc>
      </w:tr>
      <w:tr>
        <w:tc>
          <w:tcPr>
            <w:tcW w:type="dxa" w:w="1944"/>
            <w:vAlign w:val="top"/>
          </w:tcPr>
          <w:p>
            <w:pPr>
              <w:spacing w:after="0" w:line="252" w:lineRule="auto"/>
            </w:pPr>
            <w:r>
              <w:rPr>
                <w:sz w:val="16"/>
              </w:rPr>
              <w:t>C medicine unavailable</w:t>
            </w:r>
          </w:p>
        </w:tc>
        <w:tc>
          <w:tcPr>
            <w:tcW w:type="dxa" w:w="2448"/>
            <w:vAlign w:val="top"/>
          </w:tcPr>
          <w:p>
            <w:pPr>
              <w:spacing w:after="0" w:line="252" w:lineRule="auto"/>
            </w:pPr>
            <w:r>
              <w:rPr>
                <w:sz w:val="16"/>
              </w:rPr>
              <w:t>Admission, insurance verification, and equipment reservation.</w:t>
            </w:r>
          </w:p>
        </w:tc>
        <w:tc>
          <w:tcPr>
            <w:tcW w:type="dxa" w:w="5472"/>
            <w:vAlign w:val="top"/>
          </w:tcPr>
          <w:p>
            <w:pPr>
              <w:spacing w:after="0" w:line="252" w:lineRule="auto"/>
            </w:pPr>
            <w:r>
              <w:rPr>
                <w:sz w:val="16"/>
              </w:rPr>
              <w:t>Set COMPENSATING; release equipment and restore its stock; reverse insurance; set admission to COMPENSATED. No pharmacy row exists.</w:t>
            </w:r>
          </w:p>
        </w:tc>
      </w:tr>
    </w:tbl>
    <w:p>
      <w:pPr>
        <w:spacing w:after="0"/>
      </w:pPr>
    </w:p>
    <w:p>
      <w:r>
        <w:t>Compensation is not a single SQLite transaction across all steps. Each subsystem operation is saved separately, and the facade uses compensating actions in reverse order when a later step fails. The failure reason is kept in admissions.reason. If compensation itself fails, the admission can remain COMPENSATING; Resume retries the remaining reversals from persisted state.</w:t>
      </w:r>
    </w:p>
    <w:p>
      <w:r>
        <w:t>For an equipment failure, set the chosen equipment quantity to 0 and leave medicine available. For a pharmacy failure, set equipment above 0 and the chosen medicine to 0. In the latter case, the equipment quantity returns to its starting value after release. Both scenarios are visible in the admission detail panel.</w:t>
      </w:r>
    </w:p>
    <w:p>
      <w:pPr>
        <w:pStyle w:val="Heading1"/>
      </w:pPr>
      <w:r>
        <w:t>Statuses and recovery</w:t>
      </w:r>
    </w:p>
    <w:tbl>
      <w:tblPr>
        <w:tblStyle w:val="TableGrid"/>
        <w:tblW w:type="auto" w:w="0"/>
        <w:jc w:val="center"/>
        <w:tblLayout w:type="fixed"/>
        <w:tblLook w:firstColumn="1" w:firstRow="1" w:lastColumn="0" w:lastRow="0" w:noHBand="0" w:noVBand="1" w:val="04A0"/>
      </w:tblPr>
      <w:tblGrid>
        <w:gridCol w:w="1728"/>
        <w:gridCol w:w="3816"/>
        <w:gridCol w:w="4320"/>
      </w:tblGrid>
      <w:tr>
        <w:trPr>
          <w:tblHeader w:val="true"/>
        </w:trPr>
        <w:tc>
          <w:tcPr>
            <w:tcW w:type="dxa" w:w="3331"/>
            <w:shd w:fill="DDE6ED"/>
            <w:vAlign w:val="center"/>
          </w:tcPr>
          <w:p>
            <w:pPr>
              <w:spacing w:after="0"/>
            </w:pPr>
            <w:r>
              <w:rPr>
                <w:b/>
                <w:sz w:val="16"/>
              </w:rPr>
              <w:t>Status</w:t>
            </w:r>
          </w:p>
        </w:tc>
        <w:tc>
          <w:tcPr>
            <w:tcW w:type="dxa" w:w="3331"/>
            <w:shd w:fill="DDE6ED"/>
            <w:vAlign w:val="center"/>
          </w:tcPr>
          <w:p>
            <w:pPr>
              <w:spacing w:after="0"/>
            </w:pPr>
            <w:r>
              <w:rPr>
                <w:b/>
                <w:sz w:val="16"/>
              </w:rPr>
              <w:t>Meaning</w:t>
            </w:r>
          </w:p>
        </w:tc>
        <w:tc>
          <w:tcPr>
            <w:tcW w:type="dxa" w:w="3331"/>
            <w:shd w:fill="DDE6ED"/>
            <w:vAlign w:val="center"/>
          </w:tcPr>
          <w:p>
            <w:pPr>
              <w:spacing w:after="0"/>
            </w:pPr>
            <w:r>
              <w:rPr>
                <w:b/>
                <w:sz w:val="16"/>
              </w:rPr>
              <w:t>Next behavior</w:t>
            </w:r>
          </w:p>
        </w:tc>
      </w:tr>
      <w:tr>
        <w:tc>
          <w:tcPr>
            <w:tcW w:type="dxa" w:w="1728"/>
            <w:vAlign w:val="top"/>
          </w:tcPr>
          <w:p>
            <w:pPr>
              <w:spacing w:after="0" w:line="252" w:lineRule="auto"/>
            </w:pPr>
            <w:r>
              <w:rPr>
                <w:sz w:val="16"/>
              </w:rPr>
              <w:t>PENDING_A</w:t>
            </w:r>
          </w:p>
        </w:tc>
        <w:tc>
          <w:tcPr>
            <w:tcW w:type="dxa" w:w="3816"/>
            <w:vAlign w:val="top"/>
          </w:tcPr>
          <w:p>
            <w:pPr>
              <w:spacing w:after="0" w:line="252" w:lineRule="auto"/>
            </w:pPr>
            <w:r>
              <w:rPr>
                <w:sz w:val="16"/>
              </w:rPr>
              <w:t>Admission exists; insurance may still need verification.</w:t>
            </w:r>
          </w:p>
        </w:tc>
        <w:tc>
          <w:tcPr>
            <w:tcW w:type="dxa" w:w="4320"/>
            <w:vAlign w:val="top"/>
          </w:tcPr>
          <w:p>
            <w:pPr>
              <w:spacing w:after="0" w:line="252" w:lineRule="auto"/>
            </w:pPr>
            <w:r>
              <w:rPr>
                <w:sz w:val="16"/>
              </w:rPr>
              <w:t>Resume checks the insurance row and verifies if absent.</w:t>
            </w:r>
          </w:p>
        </w:tc>
      </w:tr>
      <w:tr>
        <w:tc>
          <w:tcPr>
            <w:tcW w:type="dxa" w:w="1728"/>
            <w:vAlign w:val="top"/>
          </w:tcPr>
          <w:p>
            <w:pPr>
              <w:spacing w:after="0" w:line="252" w:lineRule="auto"/>
            </w:pPr>
            <w:r>
              <w:rPr>
                <w:sz w:val="16"/>
              </w:rPr>
              <w:t>PENDING_B</w:t>
            </w:r>
          </w:p>
        </w:tc>
        <w:tc>
          <w:tcPr>
            <w:tcW w:type="dxa" w:w="3816"/>
            <w:vAlign w:val="top"/>
          </w:tcPr>
          <w:p>
            <w:pPr>
              <w:spacing w:after="0" w:line="252" w:lineRule="auto"/>
            </w:pPr>
            <w:r>
              <w:rPr>
                <w:sz w:val="16"/>
              </w:rPr>
              <w:t>Insurance is verified; equipment is next.</w:t>
            </w:r>
          </w:p>
        </w:tc>
        <w:tc>
          <w:tcPr>
            <w:tcW w:type="dxa" w:w="4320"/>
            <w:vAlign w:val="top"/>
          </w:tcPr>
          <w:p>
            <w:pPr>
              <w:spacing w:after="0" w:line="252" w:lineRule="auto"/>
            </w:pPr>
            <w:r>
              <w:rPr>
                <w:sz w:val="16"/>
              </w:rPr>
              <w:t>Resume checks or reserves equipment.</w:t>
            </w:r>
          </w:p>
        </w:tc>
      </w:tr>
      <w:tr>
        <w:tc>
          <w:tcPr>
            <w:tcW w:type="dxa" w:w="1728"/>
            <w:vAlign w:val="top"/>
          </w:tcPr>
          <w:p>
            <w:pPr>
              <w:spacing w:after="0" w:line="252" w:lineRule="auto"/>
            </w:pPr>
            <w:r>
              <w:rPr>
                <w:sz w:val="16"/>
              </w:rPr>
              <w:t>PENDING_C</w:t>
            </w:r>
          </w:p>
        </w:tc>
        <w:tc>
          <w:tcPr>
            <w:tcW w:type="dxa" w:w="3816"/>
            <w:vAlign w:val="top"/>
          </w:tcPr>
          <w:p>
            <w:pPr>
              <w:spacing w:after="0" w:line="252" w:lineRule="auto"/>
            </w:pPr>
            <w:r>
              <w:rPr>
                <w:sz w:val="16"/>
              </w:rPr>
              <w:t>Equipment is reserved; pharmacy is next.</w:t>
            </w:r>
          </w:p>
        </w:tc>
        <w:tc>
          <w:tcPr>
            <w:tcW w:type="dxa" w:w="4320"/>
            <w:vAlign w:val="top"/>
          </w:tcPr>
          <w:p>
            <w:pPr>
              <w:spacing w:after="0" w:line="252" w:lineRule="auto"/>
            </w:pPr>
            <w:r>
              <w:rPr>
                <w:sz w:val="16"/>
              </w:rPr>
              <w:t>Resume checks or dispatches medicine.</w:t>
            </w:r>
          </w:p>
        </w:tc>
      </w:tr>
      <w:tr>
        <w:tc>
          <w:tcPr>
            <w:tcW w:type="dxa" w:w="1728"/>
            <w:vAlign w:val="top"/>
          </w:tcPr>
          <w:p>
            <w:pPr>
              <w:spacing w:after="0" w:line="252" w:lineRule="auto"/>
            </w:pPr>
            <w:r>
              <w:rPr>
                <w:sz w:val="16"/>
              </w:rPr>
              <w:t>COMPLETED</w:t>
            </w:r>
          </w:p>
        </w:tc>
        <w:tc>
          <w:tcPr>
            <w:tcW w:type="dxa" w:w="3816"/>
            <w:vAlign w:val="top"/>
          </w:tcPr>
          <w:p>
            <w:pPr>
              <w:spacing w:after="0" w:line="252" w:lineRule="auto"/>
            </w:pPr>
            <w:r>
              <w:rPr>
                <w:sz w:val="16"/>
              </w:rPr>
              <w:t>All three stages completed.</w:t>
            </w:r>
          </w:p>
        </w:tc>
        <w:tc>
          <w:tcPr>
            <w:tcW w:type="dxa" w:w="4320"/>
            <w:vAlign w:val="top"/>
          </w:tcPr>
          <w:p>
            <w:pPr>
              <w:spacing w:after="0" w:line="252" w:lineRule="auto"/>
            </w:pPr>
            <w:r>
              <w:rPr>
                <w:sz w:val="16"/>
              </w:rPr>
              <w:t>Resume returns successfully without repeating work.</w:t>
            </w:r>
          </w:p>
        </w:tc>
      </w:tr>
      <w:tr>
        <w:tc>
          <w:tcPr>
            <w:tcW w:type="dxa" w:w="1728"/>
            <w:vAlign w:val="top"/>
          </w:tcPr>
          <w:p>
            <w:pPr>
              <w:spacing w:after="0" w:line="252" w:lineRule="auto"/>
            </w:pPr>
            <w:r>
              <w:rPr>
                <w:sz w:val="16"/>
              </w:rPr>
              <w:t>COMPENSATING</w:t>
            </w:r>
          </w:p>
        </w:tc>
        <w:tc>
          <w:tcPr>
            <w:tcW w:type="dxa" w:w="3816"/>
            <w:vAlign w:val="top"/>
          </w:tcPr>
          <w:p>
            <w:pPr>
              <w:spacing w:after="0" w:line="252" w:lineRule="auto"/>
            </w:pPr>
            <w:r>
              <w:rPr>
                <w:sz w:val="16"/>
              </w:rPr>
              <w:t>A reversal started but may be incomplete.</w:t>
            </w:r>
          </w:p>
        </w:tc>
        <w:tc>
          <w:tcPr>
            <w:tcW w:type="dxa" w:w="4320"/>
            <w:vAlign w:val="top"/>
          </w:tcPr>
          <w:p>
            <w:pPr>
              <w:spacing w:after="0" w:line="252" w:lineRule="auto"/>
            </w:pPr>
            <w:r>
              <w:rPr>
                <w:sz w:val="16"/>
              </w:rPr>
              <w:t>Resume retries release of B and reversal of A where still needed.</w:t>
            </w:r>
          </w:p>
        </w:tc>
      </w:tr>
      <w:tr>
        <w:tc>
          <w:tcPr>
            <w:tcW w:type="dxa" w:w="1728"/>
            <w:vAlign w:val="top"/>
          </w:tcPr>
          <w:p>
            <w:pPr>
              <w:spacing w:after="0" w:line="252" w:lineRule="auto"/>
            </w:pPr>
            <w:r>
              <w:rPr>
                <w:sz w:val="16"/>
              </w:rPr>
              <w:t>COMPENSATED</w:t>
            </w:r>
          </w:p>
        </w:tc>
        <w:tc>
          <w:tcPr>
            <w:tcW w:type="dxa" w:w="3816"/>
            <w:vAlign w:val="top"/>
          </w:tcPr>
          <w:p>
            <w:pPr>
              <w:spacing w:after="0" w:line="252" w:lineRule="auto"/>
            </w:pPr>
            <w:r>
              <w:rPr>
                <w:sz w:val="16"/>
              </w:rPr>
              <w:t>Earlier committed work has been reversed.</w:t>
            </w:r>
          </w:p>
        </w:tc>
        <w:tc>
          <w:tcPr>
            <w:tcW w:type="dxa" w:w="4320"/>
            <w:vAlign w:val="top"/>
          </w:tcPr>
          <w:p>
            <w:pPr>
              <w:spacing w:after="0" w:line="252" w:lineRule="auto"/>
            </w:pPr>
            <w:r>
              <w:rPr>
                <w:sz w:val="16"/>
              </w:rPr>
              <w:t>Resume refuses to continue the admission.</w:t>
            </w:r>
          </w:p>
        </w:tc>
      </w:tr>
    </w:tbl>
    <w:p>
      <w:pPr>
        <w:spacing w:after="0"/>
      </w:pPr>
    </w:p>
    <w:p>
      <w:r>
        <w:t>The subsystem rows are also inspected during recovery. A VERIFIED insurance row is not verified twice; a RESERVED equipment row is not reserved twice; a DISPATCHED pharmacy row is not dispatched twice. This matters if the process stops between a subsystem commit and the following admission status update. The application relies on the same SQLite file being used after restart.</w:t>
      </w:r>
    </w:p>
    <w:p>
      <w:pPr>
        <w:pStyle w:val="Heading2"/>
      </w:pPr>
      <w:r>
        <w:t>Administrative facade</w:t>
      </w:r>
    </w:p>
    <w:p>
      <w:r>
        <w:t>AdminFacade.Inspect loads the admission and each subsystem row, returning NONE for a subsystem that has no row. AdminFacade.Compensate supports a manual reverse of an incomplete admission. It refuses a COMPLETED admission or any admission with DISPATCHED pharmacy state. Calling it on an already COMPENSATED admission is harmless. The web detail panel enables Resume only for pending or compensating states and disables Compensate for completed, compensated, or dispatched cases.</w:t>
      </w:r>
    </w:p>
    <w:p>
      <w:pPr>
        <w:pStyle w:val="Heading1"/>
      </w:pPr>
      <w:r>
        <w:t>Web and command line operations</w:t>
      </w:r>
    </w:p>
    <w:tbl>
      <w:tblPr>
        <w:tblStyle w:val="TableGrid"/>
        <w:tblW w:type="auto" w:w="0"/>
        <w:jc w:val="center"/>
        <w:tblLayout w:type="fixed"/>
        <w:tblLook w:firstColumn="1" w:firstRow="1" w:lastColumn="0" w:lastRow="0" w:noHBand="0" w:noVBand="1" w:val="04A0"/>
      </w:tblPr>
      <w:tblGrid>
        <w:gridCol w:w="1656"/>
        <w:gridCol w:w="4968"/>
        <w:gridCol w:w="3240"/>
      </w:tblGrid>
      <w:tr>
        <w:trPr>
          <w:tblHeader w:val="true"/>
        </w:trPr>
        <w:tc>
          <w:tcPr>
            <w:tcW w:type="dxa" w:w="3331"/>
            <w:shd w:fill="DDE6ED"/>
            <w:vAlign w:val="center"/>
          </w:tcPr>
          <w:p>
            <w:pPr>
              <w:spacing w:after="0"/>
            </w:pPr>
            <w:r>
              <w:rPr>
                <w:b/>
                <w:sz w:val="16"/>
              </w:rPr>
              <w:t>Operation</w:t>
            </w:r>
          </w:p>
        </w:tc>
        <w:tc>
          <w:tcPr>
            <w:tcW w:type="dxa" w:w="3331"/>
            <w:shd w:fill="DDE6ED"/>
            <w:vAlign w:val="center"/>
          </w:tcPr>
          <w:p>
            <w:pPr>
              <w:spacing w:after="0"/>
            </w:pPr>
            <w:r>
              <w:rPr>
                <w:b/>
                <w:sz w:val="16"/>
              </w:rPr>
              <w:t>Web path</w:t>
            </w:r>
          </w:p>
        </w:tc>
        <w:tc>
          <w:tcPr>
            <w:tcW w:type="dxa" w:w="3331"/>
            <w:shd w:fill="DDE6ED"/>
            <w:vAlign w:val="center"/>
          </w:tcPr>
          <w:p>
            <w:pPr>
              <w:spacing w:after="0"/>
            </w:pPr>
            <w:r>
              <w:rPr>
                <w:b/>
                <w:sz w:val="16"/>
              </w:rPr>
              <w:t>CLI equivalent</w:t>
            </w:r>
          </w:p>
        </w:tc>
      </w:tr>
      <w:tr>
        <w:tc>
          <w:tcPr>
            <w:tcW w:type="dxa" w:w="1656"/>
            <w:vAlign w:val="top"/>
          </w:tcPr>
          <w:p>
            <w:pPr>
              <w:spacing w:after="0" w:line="252" w:lineRule="auto"/>
            </w:pPr>
            <w:r>
              <w:rPr>
                <w:sz w:val="16"/>
              </w:rPr>
              <w:t>Full admission</w:t>
            </w:r>
          </w:p>
        </w:tc>
        <w:tc>
          <w:tcPr>
            <w:tcW w:type="dxa" w:w="4968"/>
            <w:vAlign w:val="top"/>
          </w:tcPr>
          <w:p>
            <w:pPr>
              <w:spacing w:after="0" w:line="252" w:lineRule="auto"/>
            </w:pPr>
            <w:r>
              <w:rPr>
                <w:sz w:val="16"/>
              </w:rPr>
              <w:t>Admit button; POST /api/admissions with action admit.</w:t>
            </w:r>
          </w:p>
        </w:tc>
        <w:tc>
          <w:tcPr>
            <w:tcW w:type="dxa" w:w="3240"/>
            <w:vAlign w:val="top"/>
          </w:tcPr>
          <w:p>
            <w:pPr>
              <w:spacing w:after="0" w:line="252" w:lineRule="auto"/>
            </w:pPr>
            <w:r>
              <w:rPr>
                <w:sz w:val="16"/>
              </w:rPr>
              <w:t>admit ID IIN COVERAGE EQUIPMENT MEDICINE</w:t>
            </w:r>
          </w:p>
        </w:tc>
      </w:tr>
      <w:tr>
        <w:tc>
          <w:tcPr>
            <w:tcW w:type="dxa" w:w="1656"/>
            <w:vAlign w:val="top"/>
          </w:tcPr>
          <w:p>
            <w:pPr>
              <w:spacing w:after="0" w:line="252" w:lineRule="auto"/>
            </w:pPr>
            <w:r>
              <w:rPr>
                <w:sz w:val="16"/>
              </w:rPr>
              <w:t>Only stage A</w:t>
            </w:r>
          </w:p>
        </w:tc>
        <w:tc>
          <w:tcPr>
            <w:tcW w:type="dxa" w:w="4968"/>
            <w:vAlign w:val="top"/>
          </w:tcPr>
          <w:p>
            <w:pPr>
              <w:spacing w:after="0" w:line="252" w:lineRule="auto"/>
            </w:pPr>
            <w:r>
              <w:rPr>
                <w:sz w:val="16"/>
              </w:rPr>
              <w:t>Verify only button; POST /api/admissions with action start.</w:t>
            </w:r>
          </w:p>
        </w:tc>
        <w:tc>
          <w:tcPr>
            <w:tcW w:type="dxa" w:w="3240"/>
            <w:vAlign w:val="top"/>
          </w:tcPr>
          <w:p>
            <w:pPr>
              <w:spacing w:after="0" w:line="252" w:lineRule="auto"/>
            </w:pPr>
            <w:r>
              <w:rPr>
                <w:sz w:val="16"/>
              </w:rPr>
              <w:t>start ID IIN COVERAGE EQUIPMENT MEDICINE</w:t>
            </w:r>
          </w:p>
        </w:tc>
      </w:tr>
      <w:tr>
        <w:tc>
          <w:tcPr>
            <w:tcW w:type="dxa" w:w="1656"/>
            <w:vAlign w:val="top"/>
          </w:tcPr>
          <w:p>
            <w:pPr>
              <w:spacing w:after="0" w:line="252" w:lineRule="auto"/>
            </w:pPr>
            <w:r>
              <w:rPr>
                <w:sz w:val="16"/>
              </w:rPr>
              <w:t>Continue</w:t>
            </w:r>
          </w:p>
        </w:tc>
        <w:tc>
          <w:tcPr>
            <w:tcW w:type="dxa" w:w="4968"/>
            <w:vAlign w:val="top"/>
          </w:tcPr>
          <w:p>
            <w:pPr>
              <w:spacing w:after="0" w:line="252" w:lineRule="auto"/>
            </w:pPr>
            <w:r>
              <w:rPr>
                <w:sz w:val="16"/>
              </w:rPr>
              <w:t>Resume button; POST /api/admissions/{id}/resume.</w:t>
            </w:r>
          </w:p>
        </w:tc>
        <w:tc>
          <w:tcPr>
            <w:tcW w:type="dxa" w:w="3240"/>
            <w:vAlign w:val="top"/>
          </w:tcPr>
          <w:p>
            <w:pPr>
              <w:spacing w:after="0" w:line="252" w:lineRule="auto"/>
            </w:pPr>
            <w:r>
              <w:rPr>
                <w:sz w:val="16"/>
              </w:rPr>
              <w:t>resume ID</w:t>
            </w:r>
          </w:p>
        </w:tc>
      </w:tr>
      <w:tr>
        <w:tc>
          <w:tcPr>
            <w:tcW w:type="dxa" w:w="1656"/>
            <w:vAlign w:val="top"/>
          </w:tcPr>
          <w:p>
            <w:pPr>
              <w:spacing w:after="0" w:line="252" w:lineRule="auto"/>
            </w:pPr>
            <w:r>
              <w:rPr>
                <w:sz w:val="16"/>
              </w:rPr>
              <w:t>Inspect</w:t>
            </w:r>
          </w:p>
        </w:tc>
        <w:tc>
          <w:tcPr>
            <w:tcW w:type="dxa" w:w="4968"/>
            <w:vAlign w:val="top"/>
          </w:tcPr>
          <w:p>
            <w:pPr>
              <w:spacing w:after="0" w:line="252" w:lineRule="auto"/>
            </w:pPr>
            <w:r>
              <w:rPr>
                <w:sz w:val="16"/>
              </w:rPr>
              <w:t>Admissions table and View button; GET /api/state or GET /api/admissions/{id}.</w:t>
            </w:r>
          </w:p>
        </w:tc>
        <w:tc>
          <w:tcPr>
            <w:tcW w:type="dxa" w:w="3240"/>
            <w:vAlign w:val="top"/>
          </w:tcPr>
          <w:p>
            <w:pPr>
              <w:spacing w:after="0" w:line="252" w:lineRule="auto"/>
            </w:pPr>
            <w:r>
              <w:rPr>
                <w:sz w:val="16"/>
              </w:rPr>
              <w:t>inspect ID</w:t>
            </w:r>
          </w:p>
        </w:tc>
      </w:tr>
      <w:tr>
        <w:tc>
          <w:tcPr>
            <w:tcW w:type="dxa" w:w="1656"/>
            <w:vAlign w:val="top"/>
          </w:tcPr>
          <w:p>
            <w:pPr>
              <w:spacing w:after="0" w:line="252" w:lineRule="auto"/>
            </w:pPr>
            <w:r>
              <w:rPr>
                <w:sz w:val="16"/>
              </w:rPr>
              <w:t>Manual reverse</w:t>
            </w:r>
          </w:p>
        </w:tc>
        <w:tc>
          <w:tcPr>
            <w:tcW w:type="dxa" w:w="4968"/>
            <w:vAlign w:val="top"/>
          </w:tcPr>
          <w:p>
            <w:pPr>
              <w:spacing w:after="0" w:line="252" w:lineRule="auto"/>
            </w:pPr>
            <w:r>
              <w:rPr>
                <w:sz w:val="16"/>
              </w:rPr>
              <w:t>Compensate button; POST /api/admissions/{id}/compensate.</w:t>
            </w:r>
          </w:p>
        </w:tc>
        <w:tc>
          <w:tcPr>
            <w:tcW w:type="dxa" w:w="3240"/>
            <w:vAlign w:val="top"/>
          </w:tcPr>
          <w:p>
            <w:pPr>
              <w:spacing w:after="0" w:line="252" w:lineRule="auto"/>
            </w:pPr>
            <w:r>
              <w:rPr>
                <w:sz w:val="16"/>
              </w:rPr>
              <w:t>compensate ID</w:t>
            </w:r>
          </w:p>
        </w:tc>
      </w:tr>
      <w:tr>
        <w:tc>
          <w:tcPr>
            <w:tcW w:type="dxa" w:w="1656"/>
            <w:vAlign w:val="top"/>
          </w:tcPr>
          <w:p>
            <w:pPr>
              <w:spacing w:after="0" w:line="252" w:lineRule="auto"/>
            </w:pPr>
            <w:r>
              <w:rPr>
                <w:sz w:val="16"/>
              </w:rPr>
              <w:t>Set stock</w:t>
            </w:r>
          </w:p>
        </w:tc>
        <w:tc>
          <w:tcPr>
            <w:tcW w:type="dxa" w:w="4968"/>
            <w:vAlign w:val="top"/>
          </w:tcPr>
          <w:p>
            <w:pPr>
              <w:spacing w:after="0" w:line="252" w:lineRule="auto"/>
            </w:pPr>
            <w:r>
              <w:rPr>
                <w:sz w:val="16"/>
              </w:rPr>
              <w:t>Stock tab; POST /api/stock.</w:t>
            </w:r>
          </w:p>
        </w:tc>
        <w:tc>
          <w:tcPr>
            <w:tcW w:type="dxa" w:w="3240"/>
            <w:vAlign w:val="top"/>
          </w:tcPr>
          <w:p>
            <w:pPr>
              <w:spacing w:after="0" w:line="252" w:lineRule="auto"/>
            </w:pPr>
            <w:r>
              <w:rPr>
                <w:sz w:val="16"/>
              </w:rPr>
              <w:t>stock equipment|pharmacy NAME QUANTITY</w:t>
            </w:r>
          </w:p>
        </w:tc>
      </w:tr>
    </w:tbl>
    <w:p>
      <w:pPr>
        <w:spacing w:after="0"/>
      </w:pPr>
    </w:p>
    <w:p>
      <w:r>
        <w:t>The web form does not ask for an ID. The server generates ADM plus 16 random hexadecimal characters and returns the saved ID in the view. CLI admissions still require an explicit ID. The Stock tab separates equipment and medicine visually, although both kinds use the same stock table. Dropdown choices are loaded from current stock data; quantity zero items remain selectable for demonstrations.</w:t>
      </w:r>
    </w:p>
    <w:p>
      <w:pPr>
        <w:pStyle w:val="Heading1"/>
      </w:pPr>
      <w:r>
        <w:t>Run and demonstrate</w:t>
      </w:r>
    </w:p>
    <w:p>
      <w:pPr>
        <w:pStyle w:val="Code"/>
      </w:pPr>
      <w:r>
        <w:t>go run . -db hospital.db serve</w:t>
      </w:r>
    </w:p>
    <w:p>
      <w:r>
        <w:t>Open http://127.0.0.1:8080. Use the same database file for all commands and restarts. The server requires Go 1.25 or later, a C compiler for go-sqlite3, and the dependency download on first build. Bootstrap styling loads from a CDN.</w:t>
      </w:r>
    </w:p>
    <w:tbl>
      <w:tblPr>
        <w:tblStyle w:val="TableGrid"/>
        <w:tblW w:type="auto" w:w="0"/>
        <w:jc w:val="center"/>
        <w:tblLayout w:type="fixed"/>
        <w:tblLook w:firstColumn="1" w:firstRow="1" w:lastColumn="0" w:lastRow="0" w:noHBand="0" w:noVBand="1" w:val="04A0"/>
      </w:tblPr>
      <w:tblGrid>
        <w:gridCol w:w="1512"/>
        <w:gridCol w:w="4608"/>
        <w:gridCol w:w="3744"/>
      </w:tblGrid>
      <w:tr>
        <w:trPr>
          <w:tblHeader w:val="true"/>
        </w:trPr>
        <w:tc>
          <w:tcPr>
            <w:tcW w:type="dxa" w:w="3331"/>
            <w:shd w:fill="DDE6ED"/>
            <w:vAlign w:val="center"/>
          </w:tcPr>
          <w:p>
            <w:pPr>
              <w:spacing w:after="0"/>
            </w:pPr>
            <w:r>
              <w:rPr>
                <w:b/>
                <w:sz w:val="16"/>
              </w:rPr>
              <w:t>Demonstration</w:t>
            </w:r>
          </w:p>
        </w:tc>
        <w:tc>
          <w:tcPr>
            <w:tcW w:type="dxa" w:w="3331"/>
            <w:shd w:fill="DDE6ED"/>
            <w:vAlign w:val="center"/>
          </w:tcPr>
          <w:p>
            <w:pPr>
              <w:spacing w:after="0"/>
            </w:pPr>
            <w:r>
              <w:rPr>
                <w:b/>
                <w:sz w:val="16"/>
              </w:rPr>
              <w:t>Preparation</w:t>
            </w:r>
          </w:p>
        </w:tc>
        <w:tc>
          <w:tcPr>
            <w:tcW w:type="dxa" w:w="3331"/>
            <w:shd w:fill="DDE6ED"/>
            <w:vAlign w:val="center"/>
          </w:tcPr>
          <w:p>
            <w:pPr>
              <w:spacing w:after="0"/>
            </w:pPr>
            <w:r>
              <w:rPr>
                <w:b/>
                <w:sz w:val="16"/>
              </w:rPr>
              <w:t>Expected result</w:t>
            </w:r>
          </w:p>
        </w:tc>
      </w:tr>
      <w:tr>
        <w:tc>
          <w:tcPr>
            <w:tcW w:type="dxa" w:w="1512"/>
            <w:vAlign w:val="top"/>
          </w:tcPr>
          <w:p>
            <w:pPr>
              <w:spacing w:after="0" w:line="252" w:lineRule="auto"/>
            </w:pPr>
            <w:r>
              <w:rPr>
                <w:sz w:val="16"/>
              </w:rPr>
              <w:t>Happy path</w:t>
            </w:r>
          </w:p>
        </w:tc>
        <w:tc>
          <w:tcPr>
            <w:tcW w:type="dxa" w:w="4608"/>
            <w:vAlign w:val="top"/>
          </w:tcPr>
          <w:p>
            <w:pPr>
              <w:spacing w:after="0" w:line="252" w:lineRule="auto"/>
            </w:pPr>
            <w:r>
              <w:rPr>
                <w:sz w:val="16"/>
              </w:rPr>
              <w:t>Use valid IIN, OSMS or GOBMP or DMS, wheelchair and paracetamol with both counts above zero.</w:t>
            </w:r>
          </w:p>
        </w:tc>
        <w:tc>
          <w:tcPr>
            <w:tcW w:type="dxa" w:w="3744"/>
            <w:vAlign w:val="top"/>
          </w:tcPr>
          <w:p>
            <w:pPr>
              <w:spacing w:after="0" w:line="252" w:lineRule="auto"/>
            </w:pPr>
            <w:r>
              <w:rPr>
                <w:sz w:val="16"/>
              </w:rPr>
              <w:t>COMPLETED; both stock quantities fall by one.</w:t>
            </w:r>
          </w:p>
        </w:tc>
      </w:tr>
      <w:tr>
        <w:tc>
          <w:tcPr>
            <w:tcW w:type="dxa" w:w="1512"/>
            <w:vAlign w:val="top"/>
          </w:tcPr>
          <w:p>
            <w:pPr>
              <w:spacing w:after="0" w:line="252" w:lineRule="auto"/>
            </w:pPr>
            <w:r>
              <w:rPr>
                <w:sz w:val="16"/>
              </w:rPr>
              <w:t>B failure</w:t>
            </w:r>
          </w:p>
        </w:tc>
        <w:tc>
          <w:tcPr>
            <w:tcW w:type="dxa" w:w="4608"/>
            <w:vAlign w:val="top"/>
          </w:tcPr>
          <w:p>
            <w:pPr>
              <w:spacing w:after="0" w:line="252" w:lineRule="auto"/>
            </w:pPr>
            <w:r>
              <w:rPr>
                <w:sz w:val="16"/>
              </w:rPr>
              <w:t>Set wheelchair = 0, keep paracetamol available, then Admit.</w:t>
            </w:r>
          </w:p>
        </w:tc>
        <w:tc>
          <w:tcPr>
            <w:tcW w:type="dxa" w:w="3744"/>
            <w:vAlign w:val="top"/>
          </w:tcPr>
          <w:p>
            <w:pPr>
              <w:spacing w:after="0" w:line="252" w:lineRule="auto"/>
            </w:pPr>
            <w:r>
              <w:rPr>
                <w:sz w:val="16"/>
              </w:rPr>
              <w:t>COMPENSATED; insurance REVERSED; no equipment row.</w:t>
            </w:r>
          </w:p>
        </w:tc>
      </w:tr>
      <w:tr>
        <w:tc>
          <w:tcPr>
            <w:tcW w:type="dxa" w:w="1512"/>
            <w:vAlign w:val="top"/>
          </w:tcPr>
          <w:p>
            <w:pPr>
              <w:spacing w:after="0" w:line="252" w:lineRule="auto"/>
            </w:pPr>
            <w:r>
              <w:rPr>
                <w:sz w:val="16"/>
              </w:rPr>
              <w:t>C failure</w:t>
            </w:r>
          </w:p>
        </w:tc>
        <w:tc>
          <w:tcPr>
            <w:tcW w:type="dxa" w:w="4608"/>
            <w:vAlign w:val="top"/>
          </w:tcPr>
          <w:p>
            <w:pPr>
              <w:spacing w:after="0" w:line="252" w:lineRule="auto"/>
            </w:pPr>
            <w:r>
              <w:rPr>
                <w:sz w:val="16"/>
              </w:rPr>
              <w:t>Set wheelchair = 1, paracetamol = 0, then Admit.</w:t>
            </w:r>
          </w:p>
        </w:tc>
        <w:tc>
          <w:tcPr>
            <w:tcW w:type="dxa" w:w="3744"/>
            <w:vAlign w:val="top"/>
          </w:tcPr>
          <w:p>
            <w:pPr>
              <w:spacing w:after="0" w:line="252" w:lineRule="auto"/>
            </w:pPr>
            <w:r>
              <w:rPr>
                <w:sz w:val="16"/>
              </w:rPr>
              <w:t>COMPENSATED; equipment RELEASED and stock restored; insurance REVERSED.</w:t>
            </w:r>
          </w:p>
        </w:tc>
      </w:tr>
      <w:tr>
        <w:tc>
          <w:tcPr>
            <w:tcW w:type="dxa" w:w="1512"/>
            <w:vAlign w:val="top"/>
          </w:tcPr>
          <w:p>
            <w:pPr>
              <w:spacing w:after="0" w:line="252" w:lineRule="auto"/>
            </w:pPr>
            <w:r>
              <w:rPr>
                <w:sz w:val="16"/>
              </w:rPr>
              <w:t>Restart</w:t>
            </w:r>
          </w:p>
        </w:tc>
        <w:tc>
          <w:tcPr>
            <w:tcW w:type="dxa" w:w="4608"/>
            <w:vAlign w:val="top"/>
          </w:tcPr>
          <w:p>
            <w:pPr>
              <w:spacing w:after="0" w:line="252" w:lineRule="auto"/>
            </w:pPr>
            <w:r>
              <w:rPr>
                <w:sz w:val="16"/>
              </w:rPr>
              <w:t>Use Verify only, stop the server, restart with the same file, then Resume.</w:t>
            </w:r>
          </w:p>
        </w:tc>
        <w:tc>
          <w:tcPr>
            <w:tcW w:type="dxa" w:w="3744"/>
            <w:vAlign w:val="top"/>
          </w:tcPr>
          <w:p>
            <w:pPr>
              <w:spacing w:after="0" w:line="252" w:lineRule="auto"/>
            </w:pPr>
            <w:r>
              <w:rPr>
                <w:sz w:val="16"/>
              </w:rPr>
              <w:t>Previously saved PENDING_B continues to COMPLETED if stock is available.</w:t>
            </w:r>
          </w:p>
        </w:tc>
      </w:tr>
    </w:tbl>
    <w:p>
      <w:pPr>
        <w:spacing w:after="0"/>
      </w:pPr>
    </w:p>
    <w:p>
      <w:r>
        <w:t>A fresh demonstration database can be created by stopping the program and using a new database filename. The existing hospital.db file is durable and should not be overwritten if its contents matter.</w:t>
      </w:r>
    </w:p>
    <w:p>
      <w:pPr>
        <w:pStyle w:val="Heading1"/>
      </w:pPr>
      <w:r>
        <w:t>Why this is a facade</w:t>
      </w:r>
    </w:p>
    <w:p>
      <w:r>
        <w:t>A client without the facade would have to call Insurance.Verify, then Equipment.Reserve, then Pharmacy.Dispatch, remember which calls had committed, and reverse earlier results in the right order if a later call failed. With IntakeFacade.Admit, the client has one operation for the normal workflow. AdminFacade offers a smaller inspection and manual recovery interface. This follows the Principle of Least Knowledge: the web handler and CLI do not coordinate the three repositories themselves.</w:t>
      </w:r>
    </w:p>
    <w:p>
      <w:r>
        <w:t>An Adapter changes an interface so one existing component can be used by another. The problem here is orchestration: three already usable services need ordering, durable progress, retry logic, and compensation. Those are the responsibilities of the facades, not interface translation.</w:t>
      </w:r>
    </w:p>
    <w:p>
      <w:pPr>
        <w:pStyle w:val="Heading1"/>
      </w:pPr>
      <w:r>
        <w:t>Checks, tests, and limits</w:t>
      </w:r>
    </w:p>
    <w:p>
      <w:r>
        <w:t>The automated tests use temporary SQLite files so cases are isolated and repeatable. They cover a successful chain, B and C failures, persisted statuses, a close and reopen during a pending chain, direct subsystem use, illegal transitions, coverage choices, old column migration, and HTTP behavior. Run go test ./... for the suite. The checked in coverage profile reports 81.5 percent statement coverage for the internal subsystem and facade packages combined.</w:t>
      </w:r>
    </w:p>
    <w:p>
      <w:pPr>
        <w:pStyle w:val="ListBullet"/>
      </w:pPr>
      <w:r>
        <w:t>Coverage is selected by the user and checked against allowed labels only. No insurer, national registry, or clinical eligibility service is called.</w:t>
      </w:r>
    </w:p>
    <w:p>
      <w:pPr>
        <w:pStyle w:val="ListBullet"/>
      </w:pPr>
      <w:r>
        <w:t>The IIN rule checks length and digits only. It does not validate the real structure or owner of an IIN.</w:t>
      </w:r>
    </w:p>
    <w:p>
      <w:pPr>
        <w:pStyle w:val="ListBullet"/>
      </w:pPr>
      <w:r>
        <w:t>There are no patient demographics, prescriptions, roles, authentication, audit trail, or external notifications.</w:t>
      </w:r>
    </w:p>
    <w:p>
      <w:pPr>
        <w:pStyle w:val="ListBullet"/>
      </w:pPr>
      <w:r>
        <w:t>Pharmacy dispatch is treated as final in the current workflow. The CANCELLED entity transition has no exposed service method.</w:t>
      </w:r>
    </w:p>
    <w:p>
      <w:pPr>
        <w:pStyle w:val="ListBullet"/>
      </w:pPr>
      <w:r>
        <w:t>Each step has its own durable transaction, but the complete chain is not one atomic database transaction. Compensation is the recovery mechanism.</w:t>
      </w:r>
    </w:p>
    <w:p>
      <w:pPr>
        <w:pStyle w:val="ListBullet"/>
      </w:pPr>
      <w:r>
        <w:t>A generated web ID has a very low chance of collision; admissions.id is the database uniqueness guard. The code does not retry after a collision.</w:t>
      </w:r>
    </w:p>
    <w:p>
      <w:pPr>
        <w:pStyle w:val="Heading1"/>
      </w:pPr>
      <w:r>
        <w:t>Source map</w:t>
      </w:r>
    </w:p>
    <w:tbl>
      <w:tblPr>
        <w:tblStyle w:val="TableGrid"/>
        <w:tblW w:type="auto" w:w="0"/>
        <w:jc w:val="center"/>
        <w:tblLayout w:type="fixed"/>
        <w:tblLook w:firstColumn="1" w:firstRow="1" w:lastColumn="0" w:lastRow="0" w:noHBand="0" w:noVBand="1" w:val="04A0"/>
      </w:tblPr>
      <w:tblGrid>
        <w:gridCol w:w="3888"/>
        <w:gridCol w:w="5976"/>
      </w:tblGrid>
      <w:tr>
        <w:trPr>
          <w:tblHeader w:val="true"/>
        </w:trPr>
        <w:tc>
          <w:tcPr>
            <w:tcW w:type="dxa" w:w="4997"/>
            <w:shd w:fill="DDE6ED"/>
            <w:vAlign w:val="center"/>
          </w:tcPr>
          <w:p>
            <w:pPr>
              <w:spacing w:after="0"/>
            </w:pPr>
            <w:r>
              <w:rPr>
                <w:b/>
                <w:sz w:val="16"/>
              </w:rPr>
              <w:t>Question</w:t>
            </w:r>
          </w:p>
        </w:tc>
        <w:tc>
          <w:tcPr>
            <w:tcW w:type="dxa" w:w="4997"/>
            <w:shd w:fill="DDE6ED"/>
            <w:vAlign w:val="center"/>
          </w:tcPr>
          <w:p>
            <w:pPr>
              <w:spacing w:after="0"/>
            </w:pPr>
            <w:r>
              <w:rPr>
                <w:b/>
                <w:sz w:val="16"/>
              </w:rPr>
              <w:t>File to inspect</w:t>
            </w:r>
          </w:p>
        </w:tc>
      </w:tr>
      <w:tr>
        <w:tc>
          <w:tcPr>
            <w:tcW w:type="dxa" w:w="3888"/>
            <w:vAlign w:val="top"/>
          </w:tcPr>
          <w:p>
            <w:pPr>
              <w:spacing w:after="0" w:line="252" w:lineRule="auto"/>
            </w:pPr>
            <w:r>
              <w:rPr>
                <w:sz w:val="16"/>
              </w:rPr>
              <w:t>How the application is assembled and run</w:t>
            </w:r>
          </w:p>
        </w:tc>
        <w:tc>
          <w:tcPr>
            <w:tcW w:type="dxa" w:w="5976"/>
            <w:vAlign w:val="top"/>
          </w:tcPr>
          <w:p>
            <w:pPr>
              <w:spacing w:after="0" w:line="252" w:lineRule="auto"/>
            </w:pPr>
            <w:r>
              <w:rPr>
                <w:sz w:val="16"/>
              </w:rPr>
              <w:t>main.go</w:t>
            </w:r>
          </w:p>
        </w:tc>
      </w:tr>
      <w:tr>
        <w:tc>
          <w:tcPr>
            <w:tcW w:type="dxa" w:w="3888"/>
            <w:vAlign w:val="top"/>
          </w:tcPr>
          <w:p>
            <w:pPr>
              <w:spacing w:after="0" w:line="252" w:lineRule="auto"/>
            </w:pPr>
            <w:r>
              <w:rPr>
                <w:sz w:val="16"/>
              </w:rPr>
              <w:t>How HTTP requests and generated IDs work</w:t>
            </w:r>
          </w:p>
        </w:tc>
        <w:tc>
          <w:tcPr>
            <w:tcW w:type="dxa" w:w="5976"/>
            <w:vAlign w:val="top"/>
          </w:tcPr>
          <w:p>
            <w:pPr>
              <w:spacing w:after="0" w:line="252" w:lineRule="auto"/>
            </w:pPr>
            <w:r>
              <w:rPr>
                <w:sz w:val="16"/>
              </w:rPr>
              <w:t>server.go</w:t>
            </w:r>
          </w:p>
        </w:tc>
      </w:tr>
      <w:tr>
        <w:tc>
          <w:tcPr>
            <w:tcW w:type="dxa" w:w="3888"/>
            <w:vAlign w:val="top"/>
          </w:tcPr>
          <w:p>
            <w:pPr>
              <w:spacing w:after="0" w:line="252" w:lineRule="auto"/>
            </w:pPr>
            <w:r>
              <w:rPr>
                <w:sz w:val="16"/>
              </w:rPr>
              <w:t>How A, B, C, resume, and compensation work</w:t>
            </w:r>
          </w:p>
        </w:tc>
        <w:tc>
          <w:tcPr>
            <w:tcW w:type="dxa" w:w="5976"/>
            <w:vAlign w:val="top"/>
          </w:tcPr>
          <w:p>
            <w:pPr>
              <w:spacing w:after="0" w:line="252" w:lineRule="auto"/>
            </w:pPr>
            <w:r>
              <w:rPr>
                <w:sz w:val="16"/>
              </w:rPr>
              <w:t>internal/admission/admission.go</w:t>
            </w:r>
          </w:p>
        </w:tc>
      </w:tr>
      <w:tr>
        <w:tc>
          <w:tcPr>
            <w:tcW w:type="dxa" w:w="3888"/>
            <w:vAlign w:val="top"/>
          </w:tcPr>
          <w:p>
            <w:pPr>
              <w:spacing w:after="0" w:line="252" w:lineRule="auto"/>
            </w:pPr>
            <w:r>
              <w:rPr>
                <w:sz w:val="16"/>
              </w:rPr>
              <w:t>How each subsystem validates and persists</w:t>
            </w:r>
          </w:p>
        </w:tc>
        <w:tc>
          <w:tcPr>
            <w:tcW w:type="dxa" w:w="5976"/>
            <w:vAlign w:val="top"/>
          </w:tcPr>
          <w:p>
            <w:pPr>
              <w:spacing w:after="0" w:line="252" w:lineRule="auto"/>
            </w:pPr>
            <w:r>
              <w:rPr>
                <w:sz w:val="16"/>
              </w:rPr>
              <w:t>internal/insurance/insurance.go; internal/equipment/equipment.go; internal/pharmacy/pharmacy.go</w:t>
            </w:r>
          </w:p>
        </w:tc>
      </w:tr>
      <w:tr>
        <w:tc>
          <w:tcPr>
            <w:tcW w:type="dxa" w:w="3888"/>
            <w:vAlign w:val="top"/>
          </w:tcPr>
          <w:p>
            <w:pPr>
              <w:spacing w:after="0" w:line="252" w:lineRule="auto"/>
            </w:pPr>
            <w:r>
              <w:rPr>
                <w:sz w:val="16"/>
              </w:rPr>
              <w:t>What SQLite tables exist</w:t>
            </w:r>
          </w:p>
        </w:tc>
        <w:tc>
          <w:tcPr>
            <w:tcW w:type="dxa" w:w="5976"/>
            <w:vAlign w:val="top"/>
          </w:tcPr>
          <w:p>
            <w:pPr>
              <w:spacing w:after="0" w:line="252" w:lineRule="auto"/>
            </w:pPr>
            <w:r>
              <w:rPr>
                <w:sz w:val="16"/>
              </w:rPr>
              <w:t>internal/store/store.go</w:t>
            </w:r>
          </w:p>
        </w:tc>
      </w:tr>
      <w:tr>
        <w:tc>
          <w:tcPr>
            <w:tcW w:type="dxa" w:w="3888"/>
            <w:vAlign w:val="top"/>
          </w:tcPr>
          <w:p>
            <w:pPr>
              <w:spacing w:after="0" w:line="252" w:lineRule="auto"/>
            </w:pPr>
            <w:r>
              <w:rPr>
                <w:sz w:val="16"/>
              </w:rPr>
              <w:t>How the web interface behaves</w:t>
            </w:r>
          </w:p>
        </w:tc>
        <w:tc>
          <w:tcPr>
            <w:tcW w:type="dxa" w:w="5976"/>
            <w:vAlign w:val="top"/>
          </w:tcPr>
          <w:p>
            <w:pPr>
              <w:spacing w:after="0" w:line="252" w:lineRule="auto"/>
            </w:pPr>
            <w:r>
              <w:rPr>
                <w:sz w:val="16"/>
              </w:rPr>
              <w:t>web/index.html; web/app.js</w:t>
            </w:r>
          </w:p>
        </w:tc>
      </w:tr>
      <w:tr>
        <w:tc>
          <w:tcPr>
            <w:tcW w:type="dxa" w:w="3888"/>
            <w:vAlign w:val="top"/>
          </w:tcPr>
          <w:p>
            <w:pPr>
              <w:spacing w:after="0" w:line="252" w:lineRule="auto"/>
            </w:pPr>
            <w:r>
              <w:rPr>
                <w:sz w:val="16"/>
              </w:rPr>
              <w:t>Where the class diagram and tests live</w:t>
            </w:r>
          </w:p>
        </w:tc>
        <w:tc>
          <w:tcPr>
            <w:tcW w:type="dxa" w:w="5976"/>
            <w:vAlign w:val="top"/>
          </w:tcPr>
          <w:p>
            <w:pPr>
              <w:spacing w:after="0" w:line="252" w:lineRule="auto"/>
            </w:pPr>
            <w:r>
              <w:rPr>
                <w:sz w:val="16"/>
              </w:rPr>
              <w:t>uml.svg; internal/admission/admission_test.go; server_test.go</w:t>
            </w:r>
          </w:p>
        </w:tc>
      </w:tr>
    </w:tbl>
    <w:p>
      <w:pPr>
        <w:spacing w:after="0"/>
      </w:pPr>
    </w:p>
    <w:sectPr w:rsidR="00FC693F" w:rsidRPr="0006063C" w:rsidSect="00034616">
      <w:footerReference w:type="default" r:id="rId9"/>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Hospital Admission Project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Liberation Sans" w:hAnsi="Liberation Sans"/>
      <w:color w:val="191E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Liberation Sans" w:hAnsi="Liberation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Liberation Sans" w:hAnsi="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40" w:after="100" w:line="252" w:lineRule="auto"/>
      <w:ind w:left="216"/>
    </w:pPr>
    <w:rPr>
      <w:rFonts w:ascii="DejaVu Sans Mono" w:hAnsi="DejaVu Sans Mono"/>
      <w:color w:val="1E1E1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