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87" w:name="X41ac795c1bdf444752f6e9c44e45f1f74d26c4c"/>
    <w:p>
      <w:pPr>
        <w:pStyle w:val="Heading1"/>
      </w:pPr>
      <w:r>
        <w:t xml:space="preserve">Market Absorption Capacity (MAC) Framework: Detailed Methodology</w:t>
      </w:r>
    </w:p>
    <w:p>
      <w:pPr>
        <w:pStyle w:val="FirstParagraph"/>
      </w:pPr>
      <w:r>
        <w:rPr>
          <w:bCs/>
          <w:b/>
        </w:rPr>
        <w:t xml:space="preserve">Version 6.0 — February 2026</w:t>
      </w:r>
    </w:p>
    <w:p>
      <w:pPr>
        <w:pStyle w:val="BodyText"/>
      </w:pPr>
      <w:r>
        <w:rPr>
          <w:iCs/>
          <w:i/>
        </w:rPr>
        <w:t xml:space="preserve">A comprehensive guide to the theory, data architecture, machine learning components, scoring methodology, and empirical validation of the MAC framework</w:t>
      </w:r>
    </w:p>
    <w:p>
      <w:r>
        <w:pict>
          <v:rect style="width:0;height:1.5pt" o:hralign="center" o:hrstd="t" o:hr="t"/>
        </w:pict>
      </w:r>
    </w:p>
    <w:bookmarkStart w:id="20" w:name="table-of-contents"/>
    <w:p>
      <w:pPr>
        <w:pStyle w:val="Heading2"/>
      </w:pPr>
      <w:r>
        <w:t xml:space="preserve">Table of Contents</w:t>
      </w:r>
    </w:p>
    <w:p>
      <w:pPr>
        <w:numPr>
          <w:ilvl w:val="0"/>
          <w:numId w:val="1001"/>
        </w:numPr>
        <w:pStyle w:val="Compact"/>
      </w:pPr>
      <w:hyperlink w:anchor="X102b2e9de4183984340b81b0bb402a984d3925a">
        <w:r>
          <w:rPr>
            <w:rStyle w:val="Hyperlink"/>
          </w:rPr>
          <w:t xml:space="preserve">Executive Summary</w:t>
        </w:r>
      </w:hyperlink>
    </w:p>
    <w:p>
      <w:pPr>
        <w:numPr>
          <w:ilvl w:val="0"/>
          <w:numId w:val="1001"/>
        </w:numPr>
        <w:pStyle w:val="Compact"/>
      </w:pPr>
      <w:hyperlink w:anchor="X6598d09dcef6d2fc29b8cc4c17b0924fbd7d834">
        <w:r>
          <w:rPr>
            <w:rStyle w:val="Hyperlink"/>
          </w:rPr>
          <w:t xml:space="preserve">Theoretical Foundation</w:t>
        </w:r>
      </w:hyperlink>
    </w:p>
    <w:p>
      <w:pPr>
        <w:numPr>
          <w:ilvl w:val="0"/>
          <w:numId w:val="1001"/>
        </w:numPr>
        <w:pStyle w:val="Compact"/>
      </w:pPr>
      <w:hyperlink w:anchor="X81b637f23242b4e7b6ed0841f8c3c89b5562ce4">
        <w:r>
          <w:rPr>
            <w:rStyle w:val="Hyperlink"/>
          </w:rPr>
          <w:t xml:space="preserve">Framework Architecture</w:t>
        </w:r>
      </w:hyperlink>
    </w:p>
    <w:p>
      <w:pPr>
        <w:numPr>
          <w:ilvl w:val="0"/>
          <w:numId w:val="1001"/>
        </w:numPr>
        <w:pStyle w:val="Compact"/>
      </w:pPr>
      <w:hyperlink w:anchor="X53180bafce9cb98b7670e7e47a40d1c97c741f7">
        <w:r>
          <w:rPr>
            <w:rStyle w:val="Hyperlink"/>
          </w:rPr>
          <w:t xml:space="preserve">The Seven Pillars</w:t>
        </w:r>
      </w:hyperlink>
      <w:r>
        <w:t xml:space="preserve"> </w:t>
      </w:r>
      <w:r>
        <w:rPr>
          <w:iCs/>
          <w:i/>
        </w:rPr>
        <w:t xml:space="preserve">(revised: Policy binding constraint architecture, Private credit decorrelation, VRP sensitivity analysis)</w:t>
      </w:r>
    </w:p>
    <w:p>
      <w:pPr>
        <w:numPr>
          <w:ilvl w:val="0"/>
          <w:numId w:val="1001"/>
        </w:numPr>
        <w:pStyle w:val="Compact"/>
      </w:pPr>
      <w:hyperlink w:anchor="X15dceb830689d97114cea8f9ece3747b597946d">
        <w:r>
          <w:rPr>
            <w:rStyle w:val="Hyperlink"/>
          </w:rPr>
          <w:t xml:space="preserve">Indicator Scoring Methodology</w:t>
        </w:r>
      </w:hyperlink>
    </w:p>
    <w:p>
      <w:pPr>
        <w:numPr>
          <w:ilvl w:val="0"/>
          <w:numId w:val="1001"/>
        </w:numPr>
        <w:pStyle w:val="Compact"/>
      </w:pPr>
      <w:hyperlink w:anchor="X5974ece9e2486d7f847a2a4ba402e9ebc64a0f4">
        <w:r>
          <w:rPr>
            <w:rStyle w:val="Hyperlink"/>
          </w:rPr>
          <w:t xml:space="preserve">Composite MAC Calculation</w:t>
        </w:r>
      </w:hyperlink>
      <w:r>
        <w:t xml:space="preserve"> </w:t>
      </w:r>
      <w:r>
        <w:rPr>
          <w:iCs/>
          <w:i/>
        </w:rPr>
        <w:t xml:space="preserve">(revised: Breach interaction penalty with combinatorial grounding)</w:t>
      </w:r>
    </w:p>
    <w:p>
      <w:pPr>
        <w:numPr>
          <w:ilvl w:val="0"/>
          <w:numId w:val="1001"/>
        </w:numPr>
        <w:pStyle w:val="Compact"/>
      </w:pPr>
      <w:hyperlink w:anchor="X44b3fee6ddf78ba8dd841f4d08df8940faa4eb2">
        <w:r>
          <w:rPr>
            <w:rStyle w:val="Hyperlink"/>
          </w:rPr>
          <w:t xml:space="preserve">Machine Learning Components</w:t>
        </w:r>
      </w:hyperlink>
      <w:r>
        <w:t xml:space="preserve"> </w:t>
      </w:r>
      <w:r>
        <w:rPr>
          <w:iCs/>
          <w:i/>
        </w:rPr>
        <w:t xml:space="preserve">(revised: Positioning–hedge failure statistical reframing)</w:t>
      </w:r>
    </w:p>
    <w:p>
      <w:pPr>
        <w:numPr>
          <w:ilvl w:val="0"/>
          <w:numId w:val="1001"/>
        </w:numPr>
        <w:pStyle w:val="Compact"/>
      </w:pPr>
      <w:hyperlink w:anchor="X1d05d41b16b1e0df2e452df34ce82a0741d2857">
        <w:r>
          <w:rPr>
            <w:rStyle w:val="Hyperlink"/>
          </w:rPr>
          <w:t xml:space="preserve">Transmission Multiplier</w:t>
        </w:r>
      </w:hyperlink>
    </w:p>
    <w:p>
      <w:pPr>
        <w:numPr>
          <w:ilvl w:val="0"/>
          <w:numId w:val="1001"/>
        </w:numPr>
        <w:pStyle w:val="Compact"/>
      </w:pPr>
      <w:hyperlink w:anchor="Xcb1e2c32caf160d509d1455db95a05fd6cbd9f6">
        <w:r>
          <w:rPr>
            <w:rStyle w:val="Hyperlink"/>
          </w:rPr>
          <w:t xml:space="preserve">Momentum-Enhanced Status System</w:t>
        </w:r>
      </w:hyperlink>
      <w:r>
        <w:t xml:space="preserve"> </w:t>
      </w:r>
      <w:r>
        <w:rPr>
          <w:iCs/>
          <w:i/>
        </w:rPr>
        <w:t xml:space="preserve">(revised: Client-configurable operating point cross-reference)</w:t>
      </w:r>
    </w:p>
    <w:p>
      <w:pPr>
        <w:numPr>
          <w:ilvl w:val="0"/>
          <w:numId w:val="1001"/>
        </w:numPr>
        <w:pStyle w:val="Compact"/>
      </w:pPr>
      <w:hyperlink w:anchor="X1f5db055c44c3a2390d0473aba8f0c6f8f5c506">
        <w:r>
          <w:rPr>
            <w:rStyle w:val="Hyperlink"/>
          </w:rPr>
          <w:t xml:space="preserve">Predictive Analytics</w:t>
        </w:r>
      </w:hyperlink>
      <w:r>
        <w:t xml:space="preserve"> </w:t>
      </w:r>
      <w:r>
        <w:rPr>
          <w:iCs/>
          <w:i/>
        </w:rPr>
        <w:t xml:space="preserve">(revised: SVAR-based cascade propagation estimation)</w:t>
      </w:r>
    </w:p>
    <w:p>
      <w:pPr>
        <w:numPr>
          <w:ilvl w:val="0"/>
          <w:numId w:val="1001"/>
        </w:numPr>
        <w:pStyle w:val="Compact"/>
      </w:pPr>
      <w:hyperlink w:anchor="X63dc9edbd690616cfbee006dda50dbf3e6a0aa8">
        <w:r>
          <w:rPr>
            <w:rStyle w:val="Hyperlink"/>
          </w:rPr>
          <w:t xml:space="preserve">Data Architecture and Sources</w:t>
        </w:r>
      </w:hyperlink>
    </w:p>
    <w:p>
      <w:pPr>
        <w:numPr>
          <w:ilvl w:val="0"/>
          <w:numId w:val="1001"/>
        </w:numPr>
        <w:pStyle w:val="Compact"/>
      </w:pPr>
      <w:hyperlink w:anchor="X416246cde279f85a12dbb28f84636b8b6095a29">
        <w:r>
          <w:rPr>
            <w:rStyle w:val="Hyperlink"/>
          </w:rPr>
          <w:t xml:space="preserve">Historical Proxy Chains (1907–1997)</w:t>
        </w:r>
      </w:hyperlink>
    </w:p>
    <w:p>
      <w:pPr>
        <w:numPr>
          <w:ilvl w:val="0"/>
          <w:numId w:val="1001"/>
        </w:numPr>
        <w:pStyle w:val="Compact"/>
      </w:pPr>
      <w:hyperlink w:anchor="Xadfb31ce421aa2a4a53678783d3b67854bac2d8">
        <w:r>
          <w:rPr>
            <w:rStyle w:val="Hyperlink"/>
          </w:rPr>
          <w:t xml:space="preserve">Calibration Methodology</w:t>
        </w:r>
      </w:hyperlink>
      <w:r>
        <w:t xml:space="preserve"> </w:t>
      </w:r>
      <w:r>
        <w:rPr>
          <w:iCs/>
          <w:i/>
        </w:rPr>
        <w:t xml:space="preserve">(revised: Crisis Severity Rubric, thematic holdout validation)</w:t>
      </w:r>
    </w:p>
    <w:p>
      <w:pPr>
        <w:numPr>
          <w:ilvl w:val="0"/>
          <w:numId w:val="1001"/>
        </w:numPr>
        <w:pStyle w:val="Compact"/>
      </w:pPr>
      <w:hyperlink w:anchor="Xadfe8da729953ace0b14c4ba496e703eac9a920">
        <w:r>
          <w:rPr>
            <w:rStyle w:val="Hyperlink"/>
          </w:rPr>
          <w:t xml:space="preserve">Backtest Design: Six Methodological Improvements</w:t>
        </w:r>
      </w:hyperlink>
    </w:p>
    <w:p>
      <w:pPr>
        <w:numPr>
          <w:ilvl w:val="0"/>
          <w:numId w:val="1001"/>
        </w:numPr>
        <w:pStyle w:val="Compact"/>
      </w:pPr>
      <w:hyperlink w:anchor="X4a32c0157e9244643065e816cd81dc3a711d4b1">
        <w:r>
          <w:rPr>
            <w:rStyle w:val="Hyperlink"/>
          </w:rPr>
          <w:t xml:space="preserve">Empirical Results (1907–2025)</w:t>
        </w:r>
      </w:hyperlink>
      <w:r>
        <w:t xml:space="preserve"> </w:t>
      </w:r>
      <w:r>
        <w:rPr>
          <w:iCs/>
          <w:i/>
        </w:rPr>
        <w:t xml:space="preserve">(revised: False positive analysis, precision-recall framework)</w:t>
      </w:r>
    </w:p>
    <w:p>
      <w:pPr>
        <w:numPr>
          <w:ilvl w:val="0"/>
          <w:numId w:val="1001"/>
        </w:numPr>
        <w:pStyle w:val="Compact"/>
      </w:pPr>
      <w:hyperlink w:anchor="X2058113cefbb4882fccdd5a10d5393ae09ecaae">
        <w:r>
          <w:rPr>
            <w:rStyle w:val="Hyperlink"/>
          </w:rPr>
          <w:t xml:space="preserve">Multi-Country Extension</w:t>
        </w:r>
      </w:hyperlink>
      <w:r>
        <w:t xml:space="preserve"> </w:t>
      </w:r>
      <w:r>
        <w:rPr>
          <w:iCs/>
          <w:i/>
        </w:rPr>
        <w:t xml:space="preserve">(revised: Sovereign bond proxy architecture)</w:t>
      </w:r>
    </w:p>
    <w:p>
      <w:pPr>
        <w:numPr>
          <w:ilvl w:val="0"/>
          <w:numId w:val="1001"/>
        </w:numPr>
        <w:pStyle w:val="Compact"/>
      </w:pPr>
      <w:hyperlink w:anchor="Xd998da08adf1c639da19ed8d34c5dc509a75eeb">
        <w:r>
          <w:rPr>
            <w:rStyle w:val="Hyperlink"/>
          </w:rPr>
          <w:t xml:space="preserve">Limitations and Design Choices</w:t>
        </w:r>
      </w:hyperlink>
    </w:p>
    <w:p>
      <w:pPr>
        <w:numPr>
          <w:ilvl w:val="0"/>
          <w:numId w:val="1001"/>
        </w:numPr>
        <w:pStyle w:val="Compact"/>
      </w:pPr>
      <w:hyperlink w:anchor="X99bae1b7b3cf1671efe8b40985bfba7bd29757b">
        <w:r>
          <w:rPr>
            <w:rStyle w:val="Hyperlink"/>
          </w:rPr>
          <w:t xml:space="preserve">References</w:t>
        </w:r>
      </w:hyperlink>
    </w:p>
    <w:p>
      <w:r>
        <w:pict>
          <v:rect style="width:0;height:1.5pt" o:hralign="center" o:hrstd="t" o:hr="t"/>
        </w:pict>
      </w:r>
    </w:p>
    <w:bookmarkEnd w:id="20"/>
    <w:bookmarkStart w:id="23" w:name="executive-summary"/>
    <w:p>
      <w:pPr>
        <w:pStyle w:val="Heading2"/>
      </w:pPr>
      <w:r>
        <w:t xml:space="preserve">1. Executive Summary</w:t>
      </w:r>
    </w:p>
    <w:p>
      <w:pPr>
        <w:pStyle w:val="FirstParagraph"/>
      </w:pPr>
      <w:r>
        <w:t xml:space="preserve">The</w:t>
      </w:r>
      <w:r>
        <w:t xml:space="preserve"> </w:t>
      </w:r>
      <w:r>
        <w:rPr>
          <w:bCs/>
          <w:b/>
        </w:rPr>
        <w:t xml:space="preserve">Market Absorption Capacity (MAC)</w:t>
      </w:r>
      <w:r>
        <w:t xml:space="preserve"> </w:t>
      </w:r>
      <w:r>
        <w:t xml:space="preserve">framework is a real-time, composite early-warning system that quantifies the capacity of financial markets to absorb exogenous shocks without entering non-linear dysfunction. Unlike single-indicator stress metrics (VIX, credit spreads, TED spread), MAC integrates seven orthogonal risk dimensions —</w:t>
      </w:r>
      <w:r>
        <w:t xml:space="preserve"> </w:t>
      </w:r>
      <w:r>
        <w:rPr>
          <w:iCs/>
          <w:i/>
        </w:rPr>
        <w:t xml:space="preserve">liquidity, valuation, positioning, volatility, policy, international contagion,</w:t>
      </w:r>
      <w:r>
        <w:t xml:space="preserve"> </w:t>
      </w:r>
      <w:r>
        <w:t xml:space="preserve">and</w:t>
      </w:r>
      <w:r>
        <w:t xml:space="preserve"> </w:t>
      </w:r>
      <w:r>
        <w:rPr>
          <w:iCs/>
          <w:i/>
        </w:rPr>
        <w:t xml:space="preserve">private credit</w:t>
      </w:r>
      <w:r>
        <w:t xml:space="preserve"> </w:t>
      </w:r>
      <w:r>
        <w:t xml:space="preserve">— into a single 0–1 score that maps directly to a shock-transmission multiplier.</w:t>
      </w:r>
    </w:p>
    <w:bookmarkStart w:id="21" w:name="core-equation"/>
    <w:p>
      <w:pPr>
        <w:pStyle w:val="Heading3"/>
      </w:pPr>
      <w:r>
        <w:t xml:space="preserve">Core Equation</w:t>
      </w:r>
    </w:p>
    <w:p>
      <w:pPr>
        <w:pStyle w:val="FirstParagraph"/>
      </w:pPr>
      <m:oMathPara>
        <m:oMathParaPr>
          <m:jc m:val="center"/>
        </m:oMathParaPr>
        <m:oMath>
          <m:r>
            <m:rPr>
              <m:nor/>
              <m:sty m:val="p"/>
            </m:rPr>
            <m:t>Market Impact</m:t>
          </m:r>
          <m:r>
            <m:rPr>
              <m:sty m:val="p"/>
            </m:rPr>
            <m:t>=</m:t>
          </m:r>
          <m:r>
            <m:rPr>
              <m:nor/>
              <m:sty m:val="p"/>
            </m:rPr>
            <m:t>Shock</m:t>
          </m:r>
          <m:r>
            <m:t> </m:t>
          </m:r>
          <m:r>
            <m:rPr>
              <m:sty m:val="p"/>
            </m:rPr>
            <m:t>×</m:t>
          </m:r>
          <m:r>
            <m:t> </m:t>
          </m:r>
          <m:r>
            <m:rPr>
              <m:nor/>
              <m:sty m:val="p"/>
            </m:rPr>
            <m:t>GRRI Modifier</m:t>
          </m:r>
          <m:r>
            <m:t> </m:t>
          </m:r>
          <m:r>
            <m:rPr>
              <m:sty m:val="p"/>
            </m:rPr>
            <m:t>×</m:t>
          </m:r>
          <m:r>
            <m:t> </m:t>
          </m:r>
          <m:r>
            <m:t>f</m:t>
          </m:r>
          <m:d>
            <m:dPr>
              <m:begChr m:val="("/>
              <m:endChr m:val=")"/>
              <m:sepChr m:val=""/>
              <m:grow/>
            </m:dPr>
            <m:e>
              <m:r>
                <m:rPr>
                  <m:nor/>
                  <m:sty m:val="p"/>
                </m:rPr>
                <m:t>MAC</m:t>
              </m:r>
            </m:e>
          </m:d>
        </m:oMath>
      </m:oMathPara>
    </w:p>
    <w:p>
      <w:pPr>
        <w:pStyle w:val="FirstParagraph"/>
      </w:pPr>
      <w:r>
        <w:t xml:space="preserve">where:</w:t>
      </w:r>
    </w:p>
    <w:p>
      <w:pPr>
        <w:pStyle w:val="BodyText"/>
      </w:pPr>
      <m:oMathPara>
        <m:oMathParaPr>
          <m:jc m:val="center"/>
        </m:oMathParaPr>
        <m:oMath>
          <m:r>
            <m:t>f</m:t>
          </m:r>
          <m:d>
            <m:dPr>
              <m:begChr m:val="("/>
              <m:endChr m:val=")"/>
              <m:sepChr m:val=""/>
              <m:grow/>
            </m:dPr>
            <m:e>
              <m:r>
                <m:rPr>
                  <m:nor/>
                  <m:sty m:val="p"/>
                </m:rPr>
                <m:t>MAC</m:t>
              </m:r>
            </m:e>
          </m:d>
          <m:r>
            <m:rPr>
              <m:sty m:val="p"/>
            </m:rPr>
            <m:t>=</m:t>
          </m:r>
          <m:r>
            <m:t>1</m:t>
          </m:r>
          <m:r>
            <m:rPr>
              <m:sty m:val="p"/>
            </m:rPr>
            <m:t>+</m:t>
          </m:r>
          <m:r>
            <m:t>α</m:t>
          </m:r>
          <m:r>
            <m:t> </m:t>
          </m:r>
          <m:sSup>
            <m:e>
              <m:d>
                <m:dPr>
                  <m:begChr m:val="("/>
                  <m:endChr m:val=")"/>
                  <m:sepChr m:val=""/>
                  <m:grow/>
                </m:dPr>
                <m:e>
                  <m:r>
                    <m:t>1</m:t>
                  </m:r>
                  <m:r>
                    <m:rPr>
                      <m:sty m:val="p"/>
                    </m:rPr>
                    <m:t>−</m:t>
                  </m:r>
                  <m:r>
                    <m:rPr>
                      <m:nor/>
                      <m:sty m:val="p"/>
                    </m:rPr>
                    <m:t>MAC</m:t>
                  </m:r>
                </m:e>
              </m:d>
            </m:e>
            <m:sup>
              <m:r>
                <m:t>β</m:t>
              </m:r>
            </m:sup>
          </m:sSup>
          <m:r>
            <m:t>  </m:t>
          </m:r>
          <m:r>
            <m:t>α</m:t>
          </m:r>
          <m:r>
            <m:rPr>
              <m:sty m:val="p"/>
            </m:rPr>
            <m:t>=</m:t>
          </m:r>
          <m:r>
            <m:t>2.0</m:t>
          </m:r>
          <m:r>
            <m:rPr>
              <m:sty m:val="p"/>
            </m:rPr>
            <m:t>,</m:t>
          </m:r>
          <m:r>
            <m:t> </m:t>
          </m:r>
          <m:r>
            <m:t>β</m:t>
          </m:r>
          <m:r>
            <m:rPr>
              <m:sty m:val="p"/>
            </m:rPr>
            <m:t>=</m:t>
          </m:r>
          <m:r>
            <m:t>1.5</m:t>
          </m:r>
        </m:oMath>
      </m:oMathPara>
    </w:p>
    <w:p>
      <w:pPr>
        <w:pStyle w:val="FirstParagraph"/>
      </w:pPr>
      <w:r>
        <w:t xml:space="preserve">When MAC approaches zero, the multiplier diverges — the framework declares a</w:t>
      </w:r>
      <w:r>
        <w:t xml:space="preserve"> </w:t>
      </w:r>
      <w:r>
        <w:rPr>
          <w:bCs/>
          <w:b/>
        </w:rPr>
        <w:t xml:space="preserve">regime break</w:t>
      </w:r>
      <w:r>
        <w:t xml:space="preserve"> </w:t>
      </w:r>
      <w:r>
        <w:t xml:space="preserve">(MAC &lt; 0.20) and discontinues point estimates, acknowledging that non-linear dynamics render traditional forecasting unreliable.</w:t>
      </w:r>
    </w:p>
    <w:bookmarkEnd w:id="21"/>
    <w:bookmarkStart w:id="22" w:name="key-results"/>
    <w:p>
      <w:pPr>
        <w:pStyle w:val="Heading3"/>
      </w:pPr>
      <w:r>
        <w:t xml:space="preserve">Key Results</w:t>
      </w:r>
    </w:p>
    <w:tbl>
      <w:tblPr>
        <w:tblStyle w:val="Table"/>
        <w:tblW w:type="pct" w:w="5000"/>
        <w:tblLook w:firstRow="1" w:lastRow="0" w:firstColumn="0" w:lastColumn="0" w:noHBand="0" w:noVBand="0" w:val="0020"/>
        <w:jc w:val="start"/>
      </w:tblPr>
      <w:tblGrid>
        <w:gridCol w:w="4224"/>
        <w:gridCol w:w="3696"/>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Validation period</w:t>
            </w:r>
          </w:p>
        </w:tc>
        <w:tc>
          <w:tcPr/>
          <w:p>
            <w:pPr>
              <w:pStyle w:val="Compact"/>
              <w:jc w:val="left"/>
            </w:pPr>
            <w:r>
              <w:t xml:space="preserve">1907–2025 (117 years)</w:t>
            </w:r>
          </w:p>
        </w:tc>
      </w:tr>
      <w:tr>
        <w:tc>
          <w:tcPr/>
          <w:p>
            <w:pPr>
              <w:pStyle w:val="Compact"/>
              <w:jc w:val="left"/>
            </w:pPr>
            <w:r>
              <w:t xml:space="preserve">Weekly observations</w:t>
            </w:r>
          </w:p>
        </w:tc>
        <w:tc>
          <w:tcPr/>
          <w:p>
            <w:pPr>
              <w:pStyle w:val="Compact"/>
              <w:jc w:val="left"/>
            </w:pPr>
            <w:r>
              <w:t xml:space="preserve">6,158</w:t>
            </w:r>
          </w:p>
        </w:tc>
      </w:tr>
      <w:tr>
        <w:tc>
          <w:tcPr/>
          <w:p>
            <w:pPr>
              <w:pStyle w:val="Compact"/>
              <w:jc w:val="left"/>
            </w:pPr>
            <w:r>
              <w:t xml:space="preserve">Crisis events tested</w:t>
            </w:r>
          </w:p>
        </w:tc>
        <w:tc>
          <w:tcPr/>
          <w:p>
            <w:pPr>
              <w:pStyle w:val="Compact"/>
              <w:jc w:val="left"/>
            </w:pPr>
            <w:r>
              <w:t xml:space="preserve">41 (across 10 monetary/structural eras)</w:t>
            </w:r>
          </w:p>
        </w:tc>
      </w:tr>
      <w:tr>
        <w:tc>
          <w:tcPr/>
          <w:p>
            <w:pPr>
              <w:pStyle w:val="Compact"/>
              <w:jc w:val="left"/>
            </w:pPr>
            <w:r>
              <w:t xml:space="preserve">True positive rate</w:t>
            </w:r>
          </w:p>
        </w:tc>
        <w:tc>
          <w:tcPr/>
          <w:p>
            <w:pPr>
              <w:pStyle w:val="Compact"/>
              <w:jc w:val="left"/>
            </w:pPr>
            <w:r>
              <w:rPr>
                <w:bCs/>
                <w:b/>
              </w:rPr>
              <w:t xml:space="preserve">75.6%</w:t>
            </w:r>
            <w:r>
              <w:t xml:space="preserve"> </w:t>
            </w:r>
            <w:r>
              <w:t xml:space="preserve">(31/41)</w:t>
            </w:r>
          </w:p>
        </w:tc>
      </w:tr>
      <w:tr>
        <w:tc>
          <w:tcPr/>
          <w:p>
            <w:pPr>
              <w:pStyle w:val="Compact"/>
              <w:jc w:val="left"/>
            </w:pPr>
            <w:r>
              <w:t xml:space="preserve">Improvement over baseline</w:t>
            </w:r>
          </w:p>
        </w:tc>
        <w:tc>
          <w:tcPr/>
          <w:p>
            <w:pPr>
              <w:pStyle w:val="Compact"/>
              <w:jc w:val="left"/>
            </w:pPr>
            <w:r>
              <w:t xml:space="preserve">+49 percentage points (from 26.7%)</w:t>
            </w:r>
          </w:p>
        </w:tc>
      </w:tr>
      <w:tr>
        <w:tc>
          <w:tcPr/>
          <w:p>
            <w:pPr>
              <w:pStyle w:val="Compact"/>
              <w:jc w:val="left"/>
            </w:pPr>
            <w:r>
              <w:t xml:space="preserve">Positioning → hedge failure correlation</w:t>
            </w:r>
          </w:p>
        </w:tc>
        <w:tc>
          <w:tcPr/>
          <w:p>
            <w:pPr>
              <w:pStyle w:val="Compact"/>
              <w:jc w:val="left"/>
            </w:pPr>
            <w:r>
              <w:rPr>
                <w:bCs/>
                <w:b/>
              </w:rPr>
              <w:t xml:space="preserve">100%</w:t>
            </w:r>
            <w:r>
              <w:t xml:space="preserve"> </w:t>
            </w:r>
            <w:r>
              <w:t xml:space="preserve">in modern sample</w:t>
            </w:r>
          </w:p>
        </w:tc>
      </w:tr>
      <w:tr>
        <w:tc>
          <w:tcPr/>
          <w:p>
            <w:pPr>
              <w:pStyle w:val="Compact"/>
              <w:jc w:val="left"/>
            </w:pPr>
            <w:r>
              <w:t xml:space="preserve">Pillars</w:t>
            </w:r>
          </w:p>
        </w:tc>
        <w:tc>
          <w:tcPr/>
          <w:p>
            <w:pPr>
              <w:pStyle w:val="Compact"/>
              <w:jc w:val="left"/>
            </w:pPr>
            <w:r>
              <w:t xml:space="preserve">7 (including Private Credit from 2006)</w:t>
            </w:r>
          </w:p>
        </w:tc>
      </w:tr>
      <w:tr>
        <w:tc>
          <w:tcPr/>
          <w:p>
            <w:pPr>
              <w:pStyle w:val="Compact"/>
              <w:jc w:val="left"/>
            </w:pPr>
            <w:r>
              <w:t xml:space="preserve">ML weight optimisation</w:t>
            </w:r>
          </w:p>
        </w:tc>
        <w:tc>
          <w:tcPr/>
          <w:p>
            <w:pPr>
              <w:pStyle w:val="Compact"/>
              <w:jc w:val="left"/>
            </w:pPr>
            <w:r>
              <w:t xml:space="preserve">Gradient boosting on 14 scenarios, LOO-CV</w:t>
            </w:r>
          </w:p>
        </w:tc>
      </w:tr>
      <w:tr>
        <w:tc>
          <w:tcPr/>
          <w:p>
            <w:pPr>
              <w:pStyle w:val="Compact"/>
              <w:jc w:val="left"/>
            </w:pPr>
            <w:r>
              <w:t xml:space="preserve">Data sources</w:t>
            </w:r>
          </w:p>
        </w:tc>
        <w:tc>
          <w:tcPr/>
          <w:p>
            <w:pPr>
              <w:pStyle w:val="Compact"/>
              <w:jc w:val="left"/>
            </w:pPr>
            <w:r>
              <w:t xml:space="preserve">FRED, NBER Macrohistory, Schwert (1989), Shiller (Yale), Bank of England, MeasuringWorth, FINRA</w:t>
            </w:r>
          </w:p>
        </w:tc>
      </w:tr>
    </w:tbl>
    <w:p>
      <w:r>
        <w:pict>
          <v:rect style="width:0;height:1.5pt" o:hralign="center" o:hrstd="t" o:hr="t"/>
        </w:pict>
      </w:r>
    </w:p>
    <w:bookmarkEnd w:id="22"/>
    <w:bookmarkEnd w:id="23"/>
    <w:bookmarkStart w:id="27" w:name="theoretical-foundation"/>
    <w:p>
      <w:pPr>
        <w:pStyle w:val="Heading2"/>
      </w:pPr>
      <w:r>
        <w:t xml:space="preserve">2. Theoretical Foundation</w:t>
      </w:r>
    </w:p>
    <w:bookmarkStart w:id="24" w:name="the-absorption-capacity-concept"/>
    <w:p>
      <w:pPr>
        <w:pStyle w:val="Heading3"/>
      </w:pPr>
      <w:r>
        <w:t xml:space="preserve">2.1 The Absorption Capacity Concept</w:t>
      </w:r>
    </w:p>
    <w:p>
      <w:pPr>
        <w:pStyle w:val="FirstParagraph"/>
      </w:pPr>
      <w:r>
        <w:t xml:space="preserve">The MAC framework rests on a structural observation: the</w:t>
      </w:r>
      <w:r>
        <w:t xml:space="preserve"> </w:t>
      </w:r>
      <w:r>
        <w:rPr>
          <w:iCs/>
          <w:i/>
        </w:rPr>
        <w:t xml:space="preserve">same</w:t>
      </w:r>
      <w:r>
        <w:t xml:space="preserve"> </w:t>
      </w:r>
      <w:r>
        <w:t xml:space="preserve">shock produces radically different market outcomes depending on pre-existing conditions. A 2-sigma VIX spike when credit spreads are ample, leverage is moderate, and the Fed has room to cut (MAC ≈ 0.80) results in orderly repricing. The identical shock when spreads are compressed, basis trades are crowded, and the Fed is near the ELB (MAC ≈ 0.30) triggers forced liquidation cascades, market dysfunction, and potential regime breaks.</w:t>
      </w:r>
    </w:p>
    <w:p>
      <w:pPr>
        <w:pStyle w:val="BodyText"/>
      </w:pPr>
      <w:r>
        <w:t xml:space="preserve">This insight formalises the concept of</w:t>
      </w:r>
      <w:r>
        <w:t xml:space="preserve"> </w:t>
      </w:r>
      <w:r>
        <w:rPr>
          <w:bCs/>
          <w:b/>
        </w:rPr>
        <w:t xml:space="preserve">financial system buffers</w:t>
      </w:r>
      <w:r>
        <w:t xml:space="preserve"> </w:t>
      </w:r>
      <w:r>
        <w:t xml:space="preserve">— the capacity to absorb losses, maintain market functioning, and avoid positive feedback loops. Each pillar measures a distinct buffer:</w:t>
      </w:r>
    </w:p>
    <w:tbl>
      <w:tblPr>
        <w:tblStyle w:val="Table"/>
        <w:tblW w:type="pct" w:w="5000"/>
        <w:tblLook w:firstRow="1" w:lastRow="0" w:firstColumn="0" w:lastColumn="0" w:noHBand="0" w:noVBand="0" w:val="0020"/>
        <w:jc w:val="start"/>
      </w:tblPr>
      <w:tblGrid>
        <w:gridCol w:w="2640"/>
        <w:gridCol w:w="5280"/>
      </w:tblGrid>
      <w:tr>
        <w:trPr>
          <w:tblHeader w:val="true"/>
        </w:trPr>
        <w:tc>
          <w:tcPr/>
          <w:p>
            <w:pPr>
              <w:pStyle w:val="Compact"/>
              <w:jc w:val="left"/>
            </w:pPr>
            <w:r>
              <w:t xml:space="preserve">Pillar</w:t>
            </w:r>
          </w:p>
        </w:tc>
        <w:tc>
          <w:tcPr/>
          <w:p>
            <w:pPr>
              <w:pStyle w:val="Compact"/>
              <w:jc w:val="left"/>
            </w:pPr>
            <w:r>
              <w:t xml:space="preserve">Buffer Question</w:t>
            </w:r>
          </w:p>
        </w:tc>
      </w:tr>
      <w:tr>
        <w:tc>
          <w:tcPr/>
          <w:p>
            <w:pPr>
              <w:pStyle w:val="Compact"/>
              <w:jc w:val="left"/>
            </w:pPr>
            <w:r>
              <w:t xml:space="preserve">Liquidity</w:t>
            </w:r>
          </w:p>
        </w:tc>
        <w:tc>
          <w:tcPr/>
          <w:p>
            <w:pPr>
              <w:pStyle w:val="Compact"/>
              <w:jc w:val="left"/>
            </w:pPr>
            <w:r>
              <w:t xml:space="preserve">Can markets transact without disorderly price impact?</w:t>
            </w:r>
          </w:p>
        </w:tc>
      </w:tr>
      <w:tr>
        <w:tc>
          <w:tcPr/>
          <w:p>
            <w:pPr>
              <w:pStyle w:val="Compact"/>
              <w:jc w:val="left"/>
            </w:pPr>
            <w:r>
              <w:t xml:space="preserve">Valuation</w:t>
            </w:r>
          </w:p>
        </w:tc>
        <w:tc>
          <w:tcPr/>
          <w:p>
            <w:pPr>
              <w:pStyle w:val="Compact"/>
              <w:jc w:val="left"/>
            </w:pPr>
            <w:r>
              <w:t xml:space="preserve">Are risk premia adequate buffers against repricing?</w:t>
            </w:r>
          </w:p>
        </w:tc>
      </w:tr>
      <w:tr>
        <w:tc>
          <w:tcPr/>
          <w:p>
            <w:pPr>
              <w:pStyle w:val="Compact"/>
              <w:jc w:val="left"/>
            </w:pPr>
            <w:r>
              <w:t xml:space="preserve">Positioning</w:t>
            </w:r>
          </w:p>
        </w:tc>
        <w:tc>
          <w:tcPr/>
          <w:p>
            <w:pPr>
              <w:pStyle w:val="Compact"/>
              <w:jc w:val="left"/>
            </w:pPr>
            <w:r>
              <w:t xml:space="preserve">Is leverage manageable and positioning sufficiently diverse?</w:t>
            </w:r>
          </w:p>
        </w:tc>
      </w:tr>
      <w:tr>
        <w:tc>
          <w:tcPr/>
          <w:p>
            <w:pPr>
              <w:pStyle w:val="Compact"/>
              <w:jc w:val="left"/>
            </w:pPr>
            <w:r>
              <w:t xml:space="preserve">Volatility</w:t>
            </w:r>
          </w:p>
        </w:tc>
        <w:tc>
          <w:tcPr/>
          <w:p>
            <w:pPr>
              <w:pStyle w:val="Compact"/>
              <w:jc w:val="left"/>
            </w:pPr>
            <w:r>
              <w:t xml:space="preserve">Is the volatility regime stable and well-priced?</w:t>
            </w:r>
          </w:p>
        </w:tc>
      </w:tr>
      <w:tr>
        <w:tc>
          <w:tcPr/>
          <w:p>
            <w:pPr>
              <w:pStyle w:val="Compact"/>
              <w:jc w:val="left"/>
            </w:pPr>
            <w:r>
              <w:t xml:space="preserve">Policy</w:t>
            </w:r>
          </w:p>
        </w:tc>
        <w:tc>
          <w:tcPr/>
          <w:p>
            <w:pPr>
              <w:pStyle w:val="Compact"/>
              <w:jc w:val="left"/>
            </w:pPr>
            <w:r>
              <w:t xml:space="preserve">Does the central bank have capacity to respond?</w:t>
            </w:r>
          </w:p>
        </w:tc>
      </w:tr>
      <w:tr>
        <w:tc>
          <w:tcPr/>
          <w:p>
            <w:pPr>
              <w:pStyle w:val="Compact"/>
              <w:jc w:val="left"/>
            </w:pPr>
            <w:r>
              <w:t xml:space="preserve">Contagion</w:t>
            </w:r>
          </w:p>
        </w:tc>
        <w:tc>
          <w:tcPr/>
          <w:p>
            <w:pPr>
              <w:pStyle w:val="Compact"/>
              <w:jc w:val="left"/>
            </w:pPr>
            <w:r>
              <w:t xml:space="preserve">Are cross-border transmission channels stable?</w:t>
            </w:r>
          </w:p>
        </w:tc>
      </w:tr>
      <w:tr>
        <w:tc>
          <w:tcPr/>
          <w:p>
            <w:pPr>
              <w:pStyle w:val="Compact"/>
              <w:jc w:val="left"/>
            </w:pPr>
            <w:r>
              <w:t xml:space="preserve">Private Credit</w:t>
            </w:r>
          </w:p>
        </w:tc>
        <w:tc>
          <w:tcPr/>
          <w:p>
            <w:pPr>
              <w:pStyle w:val="Compact"/>
              <w:jc w:val="left"/>
            </w:pPr>
            <w:r>
              <w:t xml:space="preserve">Is the opaque private credit market showing stress?</w:t>
            </w:r>
          </w:p>
        </w:tc>
      </w:tr>
    </w:tbl>
    <w:bookmarkEnd w:id="24"/>
    <w:bookmarkStart w:id="25" w:name="why-seven-pillars"/>
    <w:p>
      <w:pPr>
        <w:pStyle w:val="Heading3"/>
      </w:pPr>
      <w:r>
        <w:t xml:space="preserve">2.2 Why Seven Pillars?</w:t>
      </w:r>
    </w:p>
    <w:p>
      <w:pPr>
        <w:pStyle w:val="FirstParagraph"/>
      </w:pPr>
      <w:r>
        <w:t xml:space="preserve">The original framework used five pillars (liquidity, valuation, positioning, volatility, policy). Two were added based on empirical and theoretical analysis:</w:t>
      </w:r>
    </w:p>
    <w:p>
      <w:pPr>
        <w:numPr>
          <w:ilvl w:val="0"/>
          <w:numId w:val="1002"/>
        </w:numPr>
      </w:pPr>
      <w:r>
        <w:rPr>
          <w:bCs/>
          <w:b/>
        </w:rPr>
        <w:t xml:space="preserve">Contagion (Pillar 6):</w:t>
      </w:r>
      <w:r>
        <w:t xml:space="preserve"> </w:t>
      </w:r>
      <w:r>
        <w:t xml:space="preserve">The 2008 GFC, 2011 European sovereign crisis, and 2020 COVID crash demonstrated that domestic buffers are insufficient when cross-border transmission channels amplify or import stress. The contagion pillar captures dollar funding squeezes (cross-currency basis), EM capital flight, eurozone fragmentation (TARGET2), and global banking interconnectedness.</w:t>
      </w:r>
    </w:p>
    <w:p>
      <w:pPr>
        <w:numPr>
          <w:ilvl w:val="0"/>
          <w:numId w:val="1002"/>
        </w:numPr>
      </w:pPr>
      <w:r>
        <w:rPr>
          <w:bCs/>
          <w:b/>
        </w:rPr>
        <w:t xml:space="preserve">Private Credit (Pillar 7):</w:t>
      </w:r>
      <w:r>
        <w:t xml:space="preserve"> </w:t>
      </w:r>
      <w:r>
        <w:t xml:space="preserve">The $1.7T+ private credit market operates with quarterly NAVs, no public credit ratings, and payment-in-kind provisions that mask cash flow problems. By the time stress is visible in private credit, it is typically 3–6 months too late. The private credit pillar monitors</w:t>
      </w:r>
      <w:r>
        <w:t xml:space="preserve"> </w:t>
      </w:r>
      <w:r>
        <w:rPr>
          <w:iCs/>
          <w:i/>
        </w:rPr>
        <w:t xml:space="preserve">publicly traded proxies</w:t>
      </w:r>
      <w:r>
        <w:t xml:space="preserve"> </w:t>
      </w:r>
      <w:r>
        <w:t xml:space="preserve">— BDC price/NAV discounts, SLOOS tightening data, leveraged loan ETFs, and PE firm stock performance — as leading indicators.</w:t>
      </w:r>
    </w:p>
    <w:bookmarkEnd w:id="25"/>
    <w:bookmarkStart w:id="26" w:name="non-linearity-and-interaction-effects"/>
    <w:p>
      <w:pPr>
        <w:pStyle w:val="Heading3"/>
      </w:pPr>
      <w:r>
        <w:t xml:space="preserve">2.3 Non-Linearity and Interaction Effects</w:t>
      </w:r>
    </w:p>
    <w:p>
      <w:pPr>
        <w:pStyle w:val="FirstParagraph"/>
      </w:pPr>
      <w:r>
        <w:t xml:space="preserve">Financial crises are characterised by non-linear dynamics: stress in one dimension amplifies stress in another. The MAC framework captures this through three mechanisms:</w:t>
      </w:r>
    </w:p>
    <w:p>
      <w:pPr>
        <w:numPr>
          <w:ilvl w:val="0"/>
          <w:numId w:val="1003"/>
        </w:numPr>
      </w:pPr>
      <w:r>
        <w:rPr>
          <w:bCs/>
          <w:b/>
        </w:rPr>
        <w:t xml:space="preserve">Breach Interaction Penalty:</w:t>
      </w:r>
      <w:r>
        <w:t xml:space="preserve"> </w:t>
      </w:r>
      <w:r>
        <w:t xml:space="preserve">When multiple pillars simultaneously score below 0.30, a penalty (0%–15%) is subtracted from the weighted-average MAC score. This reflects empirical evidence that risks compound super-linearly when multiple buffers are simultaneously depleted.</w:t>
      </w:r>
    </w:p>
    <w:p>
      <w:pPr>
        <w:numPr>
          <w:ilvl w:val="0"/>
          <w:numId w:val="1003"/>
        </w:numPr>
      </w:pPr>
      <w:r>
        <w:rPr>
          <w:bCs/>
          <w:b/>
        </w:rPr>
        <w:t xml:space="preserve">Interaction-Adjusted Weights:</w:t>
      </w:r>
      <w:r>
        <w:t xml:space="preserve"> </w:t>
      </w:r>
      <w:r>
        <w:t xml:space="preserve">When the positioning pillar is stressed AND either volatility, liquidity, or contagion is also stressed, the framework activates interaction-adjusted weights that boost positioning (from 22% to 24%) and contagion (from 16% to 18%). This captures the</w:t>
      </w:r>
      <w:r>
        <w:t xml:space="preserve"> </w:t>
      </w:r>
      <w:r>
        <w:rPr>
          <w:bCs/>
          <w:b/>
        </w:rPr>
        <w:t xml:space="preserve">forced-unwind mechanism</w:t>
      </w:r>
      <w:r>
        <w:t xml:space="preserve"> </w:t>
      </w:r>
      <w:r>
        <w:t xml:space="preserve">— crowded positions + any catalyst (vol spike, liquidity dry-up, global contagion) = margin calls → fire sales → liquidity destruction → further deleveraging.</w:t>
      </w:r>
    </w:p>
    <w:p>
      <w:pPr>
        <w:numPr>
          <w:ilvl w:val="0"/>
          <w:numId w:val="1003"/>
        </w:numPr>
      </w:pPr>
      <w:r>
        <w:rPr>
          <w:bCs/>
          <w:b/>
        </w:rPr>
        <w:t xml:space="preserve">Cascade Propagation Model:</w:t>
      </w:r>
      <w:r>
        <w:t xml:space="preserve"> </w:t>
      </w:r>
      <w:r>
        <w:t xml:space="preserve">The shock propagation module simulates how an initial shock in one pillar cascades to others over multiple periods, with transmission accelerating when pillar scores fall below critical thresholds. This captures the real-world dynamics where, e.g., a liquidity shock forces positioning unwinds (coefficient 0.50), which spike volatility (coefficient 0.50), which further depletes liquidity (coefficient 0.40).</w:t>
      </w:r>
    </w:p>
    <w:p>
      <w:r>
        <w:pict>
          <v:rect style="width:0;height:1.5pt" o:hralign="center" o:hrstd="t" o:hr="t"/>
        </w:pict>
      </w:r>
    </w:p>
    <w:bookmarkEnd w:id="26"/>
    <w:bookmarkEnd w:id="27"/>
    <w:bookmarkStart w:id="30" w:name="framework-architecture"/>
    <w:p>
      <w:pPr>
        <w:pStyle w:val="Heading2"/>
      </w:pPr>
      <w:r>
        <w:t xml:space="preserve">3. Framework Architecture</w:t>
      </w:r>
    </w:p>
    <w:bookmarkStart w:id="28" w:name="processing-pipeline"/>
    <w:p>
      <w:pPr>
        <w:pStyle w:val="Heading3"/>
      </w:pPr>
      <w:r>
        <w:t xml:space="preserve">3.1 Processing Pipeline</w:t>
      </w:r>
    </w:p>
    <w:p>
      <w:pPr>
        <w:pStyle w:val="SourceCode"/>
      </w:pPr>
      <w:r>
        <w:rPr>
          <w:rStyle w:val="VerbatimChar"/>
        </w:rPr>
        <w:t xml:space="preserve">┌─────────────────┐     ┌────────────────────┐     ┌─────────────────────┐</w:t>
      </w:r>
      <w:r>
        <w:br/>
      </w:r>
      <w:r>
        <w:rPr>
          <w:rStyle w:val="VerbatimChar"/>
        </w:rPr>
        <w:t xml:space="preserve">│  Data Sources    │     │  Indicator Scoring  │     │  Composite MAC      │</w:t>
      </w:r>
      <w:r>
        <w:br/>
      </w:r>
      <w:r>
        <w:rPr>
          <w:rStyle w:val="VerbatimChar"/>
        </w:rPr>
        <w:t xml:space="preserve">│                  │     │                     │     │                     │</w:t>
      </w:r>
      <w:r>
        <w:br/>
      </w:r>
      <w:r>
        <w:rPr>
          <w:rStyle w:val="VerbatimChar"/>
        </w:rPr>
        <w:t xml:space="preserve">│  FRED            │────▶│  score_indicator_   │────▶│  Weighted average   │</w:t>
      </w:r>
      <w:r>
        <w:br/>
      </w:r>
      <w:r>
        <w:rPr>
          <w:rStyle w:val="VerbatimChar"/>
        </w:rPr>
        <w:t xml:space="preserve">│  CFTC COT        │     │  simple() or        │     │  + interaction      │</w:t>
      </w:r>
      <w:r>
        <w:br/>
      </w:r>
      <w:r>
        <w:rPr>
          <w:rStyle w:val="VerbatimChar"/>
        </w:rPr>
        <w:t xml:space="preserve">│  ETF data        │     │  score_indicator_   │     │    penalty          │</w:t>
      </w:r>
      <w:r>
        <w:br/>
      </w:r>
      <w:r>
        <w:rPr>
          <w:rStyle w:val="VerbatimChar"/>
        </w:rPr>
        <w:t xml:space="preserve">│  BIS/IMF/ECB     │     │  range()            │     │  + calibration      │</w:t>
      </w:r>
      <w:r>
        <w:br/>
      </w:r>
      <w:r>
        <w:rPr>
          <w:rStyle w:val="VerbatimChar"/>
        </w:rPr>
        <w:t xml:space="preserve">│  NBER/Shiller    │     │                     │     │    factor           │</w:t>
      </w:r>
      <w:r>
        <w:br/>
      </w:r>
      <w:r>
        <w:rPr>
          <w:rStyle w:val="VerbatimChar"/>
        </w:rPr>
        <w:t xml:space="preserve">│  (historical)    │     │  ──▶ 0-1 per        │     │                     │</w:t>
      </w:r>
      <w:r>
        <w:br/>
      </w:r>
      <w:r>
        <w:rPr>
          <w:rStyle w:val="VerbatimChar"/>
        </w:rPr>
        <w:t xml:space="preserve">│                  │     │      indicator       │     │  → MAC score (0-1)  │</w:t>
      </w:r>
      <w:r>
        <w:br/>
      </w:r>
      <w:r>
        <w:rPr>
          <w:rStyle w:val="VerbatimChar"/>
        </w:rPr>
        <w:t xml:space="preserve">└─────────────────┘     └────────────────────┘     └────────┬────────────┘</w:t>
      </w:r>
      <w:r>
        <w:br/>
      </w:r>
      <w:r>
        <w:rPr>
          <w:rStyle w:val="VerbatimChar"/>
        </w:rPr>
        <w:t xml:space="preserve">                                                            │</w:t>
      </w:r>
      <w:r>
        <w:br/>
      </w:r>
      <w:r>
        <w:rPr>
          <w:rStyle w:val="VerbatimChar"/>
        </w:rPr>
        <w:t xml:space="preserve">                        ┌────────────────────┐              │</w:t>
      </w:r>
      <w:r>
        <w:br/>
      </w:r>
      <w:r>
        <w:rPr>
          <w:rStyle w:val="VerbatimChar"/>
        </w:rPr>
        <w:t xml:space="preserve">                        │  ML Weight          │◀─────────────┘</w:t>
      </w:r>
      <w:r>
        <w:br/>
      </w:r>
      <w:r>
        <w:rPr>
          <w:rStyle w:val="VerbatimChar"/>
        </w:rPr>
        <w:t xml:space="preserve">                        │  Optimiser          │</w:t>
      </w:r>
      <w:r>
        <w:br/>
      </w:r>
      <w:r>
        <w:rPr>
          <w:rStyle w:val="VerbatimChar"/>
        </w:rPr>
        <w:t xml:space="preserve">                        │                     │     ┌─────────────────────┐</w:t>
      </w:r>
      <w:r>
        <w:br/>
      </w:r>
      <w:r>
        <w:rPr>
          <w:rStyle w:val="VerbatimChar"/>
        </w:rPr>
        <w:t xml:space="preserve">                        │  Gradient Boosting  │────▶│  Transmission       │</w:t>
      </w:r>
      <w:r>
        <w:br/>
      </w:r>
      <w:r>
        <w:rPr>
          <w:rStyle w:val="VerbatimChar"/>
        </w:rPr>
        <w:t xml:space="preserve">                        │  + LOO-CV           │     │  Multiplier         │</w:t>
      </w:r>
      <w:r>
        <w:br/>
      </w:r>
      <w:r>
        <w:rPr>
          <w:rStyle w:val="VerbatimChar"/>
        </w:rPr>
        <w:t xml:space="preserve">                        │  + Interaction       │     │                     │</w:t>
      </w:r>
      <w:r>
        <w:br/>
      </w:r>
      <w:r>
        <w:rPr>
          <w:rStyle w:val="VerbatimChar"/>
        </w:rPr>
        <w:t xml:space="preserve">                        │    Detection         │     │  f(MAC) = 1+α(1-m)^β│</w:t>
      </w:r>
      <w:r>
        <w:br/>
      </w:r>
      <w:r>
        <w:rPr>
          <w:rStyle w:val="VerbatimChar"/>
        </w:rPr>
        <w:t xml:space="preserve">                        └────────────────────┘     └─────────────────────┘</w:t>
      </w:r>
    </w:p>
    <w:bookmarkEnd w:id="28"/>
    <w:bookmarkStart w:id="29" w:name="module-structure"/>
    <w:p>
      <w:pPr>
        <w:pStyle w:val="Heading3"/>
      </w:pPr>
      <w:r>
        <w:t xml:space="preserve">3.2 Module Structure</w:t>
      </w:r>
    </w:p>
    <w:tbl>
      <w:tblPr>
        <w:tblStyle w:val="Table"/>
        <w:tblW w:type="pct" w:w="5000"/>
        <w:tblLook w:firstRow="1" w:lastRow="0" w:firstColumn="0" w:lastColumn="0" w:noHBand="0" w:noVBand="0" w:val="0020"/>
        <w:jc w:val="start"/>
      </w:tblPr>
      <w:tblGrid>
        <w:gridCol w:w="3727"/>
        <w:gridCol w:w="4192"/>
      </w:tblGrid>
      <w:tr>
        <w:trPr>
          <w:tblHeader w:val="true"/>
        </w:trPr>
        <w:tc>
          <w:tcPr/>
          <w:p>
            <w:pPr>
              <w:pStyle w:val="Compact"/>
              <w:jc w:val="left"/>
            </w:pPr>
            <w:r>
              <w:t xml:space="preserve">Module</w:t>
            </w:r>
          </w:p>
        </w:tc>
        <w:tc>
          <w:tcPr/>
          <w:p>
            <w:pPr>
              <w:pStyle w:val="Compact"/>
              <w:jc w:val="left"/>
            </w:pPr>
            <w:r>
              <w:t xml:space="preserve">Purpose</w:t>
            </w:r>
          </w:p>
        </w:tc>
      </w:tr>
      <w:tr>
        <w:tc>
          <w:tcPr/>
          <w:p>
            <w:pPr>
              <w:pStyle w:val="Compact"/>
              <w:jc w:val="left"/>
            </w:pPr>
            <w:r>
              <w:rPr>
                <w:rStyle w:val="VerbatimChar"/>
              </w:rPr>
              <w:t xml:space="preserve">grri_mac.pillars.*</w:t>
            </w:r>
          </w:p>
        </w:tc>
        <w:tc>
          <w:tcPr/>
          <w:p>
            <w:pPr>
              <w:pStyle w:val="Compact"/>
              <w:jc w:val="left"/>
            </w:pPr>
            <w:r>
              <w:t xml:space="preserve">Individual pillar calculators (7 pillars)</w:t>
            </w:r>
          </w:p>
        </w:tc>
      </w:tr>
      <w:tr>
        <w:tc>
          <w:tcPr/>
          <w:p>
            <w:pPr>
              <w:pStyle w:val="Compact"/>
              <w:jc w:val="left"/>
            </w:pPr>
            <w:r>
              <w:rPr>
                <w:rStyle w:val="VerbatimChar"/>
              </w:rPr>
              <w:t xml:space="preserve">grri_mac.pillars.calibrated</w:t>
            </w:r>
          </w:p>
        </w:tc>
        <w:tc>
          <w:tcPr/>
          <w:p>
            <w:pPr>
              <w:pStyle w:val="Compact"/>
              <w:jc w:val="left"/>
            </w:pPr>
            <w:r>
              <w:t xml:space="preserve">Calibrated thresholds from historical backtest</w:t>
            </w:r>
          </w:p>
        </w:tc>
      </w:tr>
      <w:tr>
        <w:tc>
          <w:tcPr/>
          <w:p>
            <w:pPr>
              <w:pStyle w:val="Compact"/>
              <w:jc w:val="left"/>
            </w:pPr>
            <w:r>
              <w:rPr>
                <w:rStyle w:val="VerbatimChar"/>
              </w:rPr>
              <w:t xml:space="preserve">grri_mac.mac.scorer</w:t>
            </w:r>
          </w:p>
        </w:tc>
        <w:tc>
          <w:tcPr/>
          <w:p>
            <w:pPr>
              <w:pStyle w:val="Compact"/>
              <w:jc w:val="left"/>
            </w:pPr>
            <w:r>
              <w:t xml:space="preserve">Indicator scoring functions (simple + range-based)</w:t>
            </w:r>
          </w:p>
        </w:tc>
      </w:tr>
      <w:tr>
        <w:tc>
          <w:tcPr/>
          <w:p>
            <w:pPr>
              <w:pStyle w:val="Compact"/>
              <w:jc w:val="left"/>
            </w:pPr>
            <w:r>
              <w:rPr>
                <w:rStyle w:val="VerbatimChar"/>
              </w:rPr>
              <w:t xml:space="preserve">grri_mac.mac.composite</w:t>
            </w:r>
          </w:p>
        </w:tc>
        <w:tc>
          <w:tcPr/>
          <w:p>
            <w:pPr>
              <w:pStyle w:val="Compact"/>
              <w:jc w:val="left"/>
            </w:pPr>
            <w:r>
              <w:t xml:space="preserve">Composite MAC calculation with breach interaction</w:t>
            </w:r>
          </w:p>
        </w:tc>
      </w:tr>
      <w:tr>
        <w:tc>
          <w:tcPr/>
          <w:p>
            <w:pPr>
              <w:pStyle w:val="Compact"/>
              <w:jc w:val="left"/>
            </w:pPr>
            <w:r>
              <w:rPr>
                <w:rStyle w:val="VerbatimChar"/>
              </w:rPr>
              <w:t xml:space="preserve">grri_mac.mac.ml_weights</w:t>
            </w:r>
          </w:p>
        </w:tc>
        <w:tc>
          <w:tcPr/>
          <w:p>
            <w:pPr>
              <w:pStyle w:val="Compact"/>
              <w:jc w:val="left"/>
            </w:pPr>
            <w:r>
              <w:t xml:space="preserve">ML-based weight optimisation (gradient boosting)</w:t>
            </w:r>
          </w:p>
        </w:tc>
      </w:tr>
      <w:tr>
        <w:tc>
          <w:tcPr/>
          <w:p>
            <w:pPr>
              <w:pStyle w:val="Compact"/>
              <w:jc w:val="left"/>
            </w:pPr>
            <w:r>
              <w:rPr>
                <w:rStyle w:val="VerbatimChar"/>
              </w:rPr>
              <w:t xml:space="preserve">grri_mac.mac.momentum</w:t>
            </w:r>
          </w:p>
        </w:tc>
        <w:tc>
          <w:tcPr/>
          <w:p>
            <w:pPr>
              <w:pStyle w:val="Compact"/>
              <w:jc w:val="left"/>
            </w:pPr>
            <w:r>
              <w:t xml:space="preserve">Momentum/trend analysis for enhanced status</w:t>
            </w:r>
          </w:p>
        </w:tc>
      </w:tr>
      <w:tr>
        <w:tc>
          <w:tcPr/>
          <w:p>
            <w:pPr>
              <w:pStyle w:val="Compact"/>
              <w:jc w:val="left"/>
            </w:pPr>
            <w:r>
              <w:rPr>
                <w:rStyle w:val="VerbatimChar"/>
              </w:rPr>
              <w:t xml:space="preserve">grri_mac.mac.multiplier</w:t>
            </w:r>
          </w:p>
        </w:tc>
        <w:tc>
          <w:tcPr/>
          <w:p>
            <w:pPr>
              <w:pStyle w:val="Compact"/>
              <w:jc w:val="left"/>
            </w:pPr>
            <w:r>
              <w:t xml:space="preserve">MAC → transmission multiplier conversion</w:t>
            </w:r>
          </w:p>
        </w:tc>
      </w:tr>
      <w:tr>
        <w:tc>
          <w:tcPr/>
          <w:p>
            <w:pPr>
              <w:pStyle w:val="Compact"/>
              <w:jc w:val="left"/>
            </w:pPr>
            <w:r>
              <w:rPr>
                <w:rStyle w:val="VerbatimChar"/>
              </w:rPr>
              <w:t xml:space="preserve">grri_mac.mac.multicountry</w:t>
            </w:r>
          </w:p>
        </w:tc>
        <w:tc>
          <w:tcPr/>
          <w:p>
            <w:pPr>
              <w:pStyle w:val="Compact"/>
              <w:jc w:val="left"/>
            </w:pPr>
            <w:r>
              <w:t xml:space="preserve">Cross-country MAC comparison and contagion paths</w:t>
            </w:r>
          </w:p>
        </w:tc>
      </w:tr>
      <w:tr>
        <w:tc>
          <w:tcPr/>
          <w:p>
            <w:pPr>
              <w:pStyle w:val="Compact"/>
              <w:jc w:val="left"/>
            </w:pPr>
            <w:r>
              <w:rPr>
                <w:rStyle w:val="VerbatimChar"/>
              </w:rPr>
              <w:t xml:space="preserve">grri_mac.backtest.*</w:t>
            </w:r>
          </w:p>
        </w:tc>
        <w:tc>
          <w:tcPr/>
          <w:p>
            <w:pPr>
              <w:pStyle w:val="Compact"/>
              <w:jc w:val="left"/>
            </w:pPr>
            <w:r>
              <w:t xml:space="preserve">Historical backtesting engine (1907–2025)</w:t>
            </w:r>
          </w:p>
        </w:tc>
      </w:tr>
      <w:tr>
        <w:tc>
          <w:tcPr/>
          <w:p>
            <w:pPr>
              <w:pStyle w:val="Compact"/>
              <w:jc w:val="left"/>
            </w:pPr>
            <w:r>
              <w:rPr>
                <w:rStyle w:val="VerbatimChar"/>
              </w:rPr>
              <w:t xml:space="preserve">grri_mac.predictive.*</w:t>
            </w:r>
          </w:p>
        </w:tc>
        <w:tc>
          <w:tcPr/>
          <w:p>
            <w:pPr>
              <w:pStyle w:val="Compact"/>
              <w:jc w:val="left"/>
            </w:pPr>
            <w:r>
              <w:t xml:space="preserve">Monte Carlo, blind backtesting, shock propagation</w:t>
            </w:r>
          </w:p>
        </w:tc>
      </w:tr>
      <w:tr>
        <w:tc>
          <w:tcPr/>
          <w:p>
            <w:pPr>
              <w:pStyle w:val="Compact"/>
              <w:jc w:val="left"/>
            </w:pPr>
            <w:r>
              <w:rPr>
                <w:rStyle w:val="VerbatimChar"/>
              </w:rPr>
              <w:t xml:space="preserve">grri_mac.data.*</w:t>
            </w:r>
          </w:p>
        </w:tc>
        <w:tc>
          <w:tcPr/>
          <w:p>
            <w:pPr>
              <w:pStyle w:val="Compact"/>
              <w:jc w:val="left"/>
            </w:pPr>
            <w:r>
              <w:t xml:space="preserve">Data clients (FRED, CFTC, ETF, BIS, historical)</w:t>
            </w:r>
          </w:p>
        </w:tc>
      </w:tr>
      <w:tr>
        <w:tc>
          <w:tcPr/>
          <w:p>
            <w:pPr>
              <w:pStyle w:val="Compact"/>
              <w:jc w:val="left"/>
            </w:pPr>
            <w:r>
              <w:rPr>
                <w:rStyle w:val="VerbatimChar"/>
              </w:rPr>
              <w:t xml:space="preserve">grri_mac.historical.*</w:t>
            </w:r>
          </w:p>
        </w:tc>
        <w:tc>
          <w:tcPr/>
          <w:p>
            <w:pPr>
              <w:pStyle w:val="Compact"/>
              <w:jc w:val="left"/>
            </w:pPr>
            <w:r>
              <w:t xml:space="preserve">Extended historical data loaders and proxies</w:t>
            </w:r>
          </w:p>
        </w:tc>
      </w:tr>
    </w:tbl>
    <w:p>
      <w:r>
        <w:pict>
          <v:rect style="width:0;height:1.5pt" o:hralign="center" o:hrstd="t" o:hr="t"/>
        </w:pict>
      </w:r>
    </w:p>
    <w:bookmarkEnd w:id="29"/>
    <w:bookmarkEnd w:id="30"/>
    <w:bookmarkStart w:id="61" w:name="the-seven-pillars"/>
    <w:p>
      <w:pPr>
        <w:pStyle w:val="Heading2"/>
      </w:pPr>
      <w:r>
        <w:t xml:space="preserve">4. The Seven Pillars</w:t>
      </w:r>
    </w:p>
    <w:bookmarkStart w:id="31" w:name="pillar-1-liquidity"/>
    <w:p>
      <w:pPr>
        <w:pStyle w:val="Heading3"/>
      </w:pPr>
      <w:r>
        <w:t xml:space="preserve">4.1 Pillar 1: Liquidity</w:t>
      </w:r>
    </w:p>
    <w:p>
      <w:pPr>
        <w:pStyle w:val="FirstParagraph"/>
      </w:pPr>
      <w:r>
        <w:rPr>
          <w:bCs/>
          <w:b/>
        </w:rPr>
        <w:t xml:space="preserve">Question:</w:t>
      </w:r>
      <w:r>
        <w:t xml:space="preserve"> </w:t>
      </w:r>
      <w:r>
        <w:rPr>
          <w:iCs/>
          <w:i/>
        </w:rPr>
        <w:t xml:space="preserve">Can markets transact without disorderly price impact?</w:t>
      </w:r>
    </w:p>
    <w:p>
      <w:pPr>
        <w:pStyle w:val="BodyText"/>
      </w:pPr>
      <w:r>
        <w:t xml:space="preserve">Liquidity is the first line of defence against financial stress. When funding markets tighten, dealers reduce inventory, bid-ask spreads widen, and intermediation breaks down — transforming orderly repricing into disorderly dysfunction.</w:t>
      </w:r>
    </w:p>
    <w:p>
      <w:pPr>
        <w:pStyle w:val="BodyText"/>
      </w:pPr>
      <w:r>
        <w:rPr>
          <w:bCs/>
          <w:b/>
        </w:rPr>
        <w:t xml:space="preserve">Indicators:</w:t>
      </w:r>
    </w:p>
    <w:tbl>
      <w:tblPr>
        <w:tblStyle w:val="Table"/>
        <w:tblW w:type="pct" w:w="5000"/>
        <w:tblLook w:firstRow="1" w:lastRow="0" w:firstColumn="0" w:lastColumn="0" w:noHBand="0" w:noVBand="0" w:val="0020"/>
        <w:jc w:val="start"/>
      </w:tblPr>
      <w:tblGrid>
        <w:gridCol w:w="2124"/>
        <w:gridCol w:w="1545"/>
        <w:gridCol w:w="2511"/>
        <w:gridCol w:w="1738"/>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Scoring</w:t>
            </w:r>
          </w:p>
        </w:tc>
      </w:tr>
      <w:tr>
        <w:tc>
          <w:tcPr/>
          <w:p>
            <w:pPr>
              <w:pStyle w:val="Compact"/>
              <w:jc w:val="left"/>
            </w:pPr>
            <w:r>
              <w:t xml:space="preserve">SOFR–IORB spread</w:t>
            </w:r>
          </w:p>
        </w:tc>
        <w:tc>
          <w:tcPr/>
          <w:p>
            <w:pPr>
              <w:pStyle w:val="Compact"/>
              <w:jc w:val="left"/>
            </w:pPr>
            <w:r>
              <w:t xml:space="preserve">FRED (SOFR, IORB)</w:t>
            </w:r>
          </w:p>
        </w:tc>
        <w:tc>
          <w:tcPr/>
          <w:p>
            <w:pPr>
              <w:pStyle w:val="Compact"/>
              <w:jc w:val="left"/>
            </w:pPr>
            <w:r>
              <w:t xml:space="preserve">Overnight funding stress; wider = reserve scarcity</w:t>
            </w:r>
          </w:p>
        </w:tc>
        <w:tc>
          <w:tcPr/>
          <w:p>
            <w:pPr>
              <w:pStyle w:val="Compact"/>
              <w:jc w:val="left"/>
            </w:pPr>
            <w:r>
              <w:t xml:space="preserve">Simple (lower is better)</w:t>
            </w:r>
          </w:p>
        </w:tc>
      </w:tr>
      <w:tr>
        <w:tc>
          <w:tcPr/>
          <w:p>
            <w:pPr>
              <w:pStyle w:val="Compact"/>
              <w:jc w:val="left"/>
            </w:pPr>
            <w:r>
              <w:t xml:space="preserve">CP–Treasury spread</w:t>
            </w:r>
          </w:p>
        </w:tc>
        <w:tc>
          <w:tcPr/>
          <w:p>
            <w:pPr>
              <w:pStyle w:val="Compact"/>
              <w:jc w:val="left"/>
            </w:pPr>
            <w:r>
              <w:t xml:space="preserve">FRED (DCPF3M, DTB3)</w:t>
            </w:r>
          </w:p>
        </w:tc>
        <w:tc>
          <w:tcPr/>
          <w:p>
            <w:pPr>
              <w:pStyle w:val="Compact"/>
              <w:jc w:val="left"/>
            </w:pPr>
            <w:r>
              <w:t xml:space="preserve">Short-term credit market stress</w:t>
            </w:r>
          </w:p>
        </w:tc>
        <w:tc>
          <w:tcPr/>
          <w:p>
            <w:pPr>
              <w:pStyle w:val="Compact"/>
              <w:jc w:val="left"/>
            </w:pPr>
            <w:r>
              <w:t xml:space="preserve">Simple (lower is better)</w:t>
            </w:r>
          </w:p>
        </w:tc>
      </w:tr>
      <w:tr>
        <w:tc>
          <w:tcPr/>
          <w:p>
            <w:pPr>
              <w:pStyle w:val="Compact"/>
              <w:jc w:val="left"/>
            </w:pPr>
            <w:r>
              <w:t xml:space="preserve">Cross-currency basis (EUR/USD)</w:t>
            </w:r>
          </w:p>
        </w:tc>
        <w:tc>
          <w:tcPr/>
          <w:p>
            <w:pPr>
              <w:pStyle w:val="Compact"/>
              <w:jc w:val="left"/>
            </w:pPr>
            <w:r>
              <w:t xml:space="preserve">BIS/Bloomberg</w:t>
            </w:r>
          </w:p>
        </w:tc>
        <w:tc>
          <w:tcPr/>
          <w:p>
            <w:pPr>
              <w:pStyle w:val="Compact"/>
              <w:jc w:val="left"/>
            </w:pPr>
            <w:r>
              <w:t xml:space="preserve">Dollar funding cost for non-US banks</w:t>
            </w:r>
          </w:p>
        </w:tc>
        <w:tc>
          <w:tcPr/>
          <w:p>
            <w:pPr>
              <w:pStyle w:val="Compact"/>
              <w:jc w:val="left"/>
            </w:pPr>
            <w:r>
              <w:t xml:space="preserve">Simple (less negative is better)</w:t>
            </w:r>
          </w:p>
        </w:tc>
      </w:tr>
      <w:tr>
        <w:tc>
          <w:tcPr/>
          <w:p>
            <w:pPr>
              <w:pStyle w:val="Compact"/>
              <w:jc w:val="left"/>
            </w:pPr>
            <w:r>
              <w:t xml:space="preserve">Treasury bid-ask spread</w:t>
            </w:r>
          </w:p>
        </w:tc>
        <w:tc>
          <w:tcPr/>
          <w:p>
            <w:pPr>
              <w:pStyle w:val="Compact"/>
              <w:jc w:val="left"/>
            </w:pPr>
            <w:r>
              <w:t xml:space="preserve">Market data</w:t>
            </w:r>
          </w:p>
        </w:tc>
        <w:tc>
          <w:tcPr/>
          <w:p>
            <w:pPr>
              <w:pStyle w:val="Compact"/>
              <w:jc w:val="left"/>
            </w:pPr>
            <w:r>
              <w:t xml:space="preserve">Market-making capacity in the risk-free benchmark</w:t>
            </w:r>
          </w:p>
        </w:tc>
        <w:tc>
          <w:tcPr/>
          <w:p>
            <w:pPr>
              <w:pStyle w:val="Compact"/>
              <w:jc w:val="left"/>
            </w:pPr>
            <w:r>
              <w:t xml:space="preserve">Simple (lower is better)</w:t>
            </w:r>
          </w:p>
        </w:tc>
      </w:tr>
    </w:tbl>
    <w:p>
      <w:pPr>
        <w:pStyle w:val="BodyText"/>
      </w:pPr>
      <w:r>
        <w:rPr>
          <w:bCs/>
          <w:b/>
        </w:rPr>
        <w:t xml:space="preserve">Calibrated Thresholds: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Ample</w:t>
            </w:r>
          </w:p>
        </w:tc>
        <w:tc>
          <w:tcPr/>
          <w:p>
            <w:pPr>
              <w:pStyle w:val="Compact"/>
              <w:jc w:val="left"/>
            </w:pPr>
            <w:r>
              <w:t xml:space="preserve">Thin</w:t>
            </w:r>
          </w:p>
        </w:tc>
        <w:tc>
          <w:tcPr/>
          <w:p>
            <w:pPr>
              <w:pStyle w:val="Compact"/>
              <w:jc w:val="left"/>
            </w:pPr>
            <w:r>
              <w:t xml:space="preserve">Breach</w:t>
            </w:r>
          </w:p>
        </w:tc>
      </w:tr>
      <w:tr>
        <w:tc>
          <w:tcPr/>
          <w:p>
            <w:pPr>
              <w:pStyle w:val="Compact"/>
              <w:jc w:val="left"/>
            </w:pPr>
            <w:r>
              <w:t xml:space="preserve">SOFR–IORB spread</w:t>
            </w:r>
          </w:p>
        </w:tc>
        <w:tc>
          <w:tcPr/>
          <w:p>
            <w:pPr>
              <w:pStyle w:val="Compact"/>
              <w:jc w:val="left"/>
            </w:pPr>
            <w:r>
              <w:t xml:space="preserve">&lt; 3 bps</w:t>
            </w:r>
          </w:p>
        </w:tc>
        <w:tc>
          <w:tcPr/>
          <w:p>
            <w:pPr>
              <w:pStyle w:val="Compact"/>
              <w:jc w:val="left"/>
            </w:pPr>
            <w:r>
              <w:t xml:space="preserve">3–15 bps</w:t>
            </w:r>
          </w:p>
        </w:tc>
        <w:tc>
          <w:tcPr/>
          <w:p>
            <w:pPr>
              <w:pStyle w:val="Compact"/>
              <w:jc w:val="left"/>
            </w:pPr>
            <w:r>
              <w:t xml:space="preserve">&gt; 25 bps</w:t>
            </w:r>
          </w:p>
        </w:tc>
      </w:tr>
      <w:tr>
        <w:tc>
          <w:tcPr/>
          <w:p>
            <w:pPr>
              <w:pStyle w:val="Compact"/>
              <w:jc w:val="left"/>
            </w:pPr>
            <w:r>
              <w:t xml:space="preserve">CP–Treasury spread</w:t>
            </w:r>
          </w:p>
        </w:tc>
        <w:tc>
          <w:tcPr/>
          <w:p>
            <w:pPr>
              <w:pStyle w:val="Compact"/>
              <w:jc w:val="left"/>
            </w:pPr>
            <w:r>
              <w:t xml:space="preserve">&lt; 15 bps</w:t>
            </w:r>
          </w:p>
        </w:tc>
        <w:tc>
          <w:tcPr/>
          <w:p>
            <w:pPr>
              <w:pStyle w:val="Compact"/>
              <w:jc w:val="left"/>
            </w:pPr>
            <w:r>
              <w:t xml:space="preserve">15–40 bps</w:t>
            </w:r>
          </w:p>
        </w:tc>
        <w:tc>
          <w:tcPr/>
          <w:p>
            <w:pPr>
              <w:pStyle w:val="Compact"/>
              <w:jc w:val="left"/>
            </w:pPr>
            <w:r>
              <w:t xml:space="preserve">&gt; 60 bps</w:t>
            </w:r>
          </w:p>
        </w:tc>
      </w:tr>
      <w:tr>
        <w:tc>
          <w:tcPr/>
          <w:p>
            <w:pPr>
              <w:pStyle w:val="Compact"/>
              <w:jc w:val="left"/>
            </w:pPr>
            <w:r>
              <w:t xml:space="preserve">Cross-currency basis</w:t>
            </w:r>
          </w:p>
        </w:tc>
        <w:tc>
          <w:tcPr/>
          <w:p>
            <w:pPr>
              <w:pStyle w:val="Compact"/>
              <w:jc w:val="left"/>
            </w:pPr>
            <w:r>
              <w:t xml:space="preserve">&gt; −20 bps</w:t>
            </w:r>
          </w:p>
        </w:tc>
        <w:tc>
          <w:tcPr/>
          <w:p>
            <w:pPr>
              <w:pStyle w:val="Compact"/>
              <w:jc w:val="left"/>
            </w:pPr>
            <w:r>
              <w:t xml:space="preserve">−20 to −50 bps</w:t>
            </w:r>
          </w:p>
        </w:tc>
        <w:tc>
          <w:tcPr/>
          <w:p>
            <w:pPr>
              <w:pStyle w:val="Compact"/>
              <w:jc w:val="left"/>
            </w:pPr>
            <w:r>
              <w:t xml:space="preserve">&lt; −80 bps</w:t>
            </w:r>
          </w:p>
        </w:tc>
      </w:tr>
      <w:tr>
        <w:tc>
          <w:tcPr/>
          <w:p>
            <w:pPr>
              <w:pStyle w:val="Compact"/>
              <w:jc w:val="left"/>
            </w:pPr>
            <w:r>
              <w:t xml:space="preserve">Treasury bid-ask</w:t>
            </w:r>
          </w:p>
        </w:tc>
        <w:tc>
          <w:tcPr/>
          <w:p>
            <w:pPr>
              <w:pStyle w:val="Compact"/>
              <w:jc w:val="left"/>
            </w:pPr>
            <w:r>
              <w:t xml:space="preserve">&lt; 0.5/32</w:t>
            </w:r>
          </w:p>
        </w:tc>
        <w:tc>
          <w:tcPr/>
          <w:p>
            <w:pPr>
              <w:pStyle w:val="Compact"/>
              <w:jc w:val="left"/>
            </w:pPr>
            <w:r>
              <w:t xml:space="preserve">0.5–1.5/32</w:t>
            </w:r>
          </w:p>
        </w:tc>
        <w:tc>
          <w:tcPr/>
          <w:p>
            <w:pPr>
              <w:pStyle w:val="Compact"/>
              <w:jc w:val="left"/>
            </w:pPr>
            <w:r>
              <w:t xml:space="preserve">&gt; 2.5/32</w:t>
            </w:r>
          </w:p>
        </w:tc>
      </w:tr>
    </w:tbl>
    <w:p>
      <w:pPr>
        <w:pStyle w:val="BodyText"/>
      </w:pPr>
      <w:r>
        <w:rPr>
          <w:bCs/>
          <w:b/>
        </w:rPr>
        <w:t xml:space="preserve">Historical proxy (pre-1954):</w:t>
      </w:r>
      <w:r>
        <w:t xml:space="preserve"> </w:t>
      </w:r>
      <w:r>
        <w:t xml:space="preserve">NBER call money rate minus short-term government rate. Pre-1986 uses FEDFUNDS–TB3MS as SOFR proxy followed by the TED spread (1986–2017).</w:t>
      </w:r>
    </w:p>
    <w:bookmarkEnd w:id="31"/>
    <w:bookmarkStart w:id="32" w:name="pillar-2-valuation"/>
    <w:p>
      <w:pPr>
        <w:pStyle w:val="Heading3"/>
      </w:pPr>
      <w:r>
        <w:t xml:space="preserve">4.2 Pillar 2: Valuation</w:t>
      </w:r>
    </w:p>
    <w:p>
      <w:pPr>
        <w:pStyle w:val="FirstParagraph"/>
      </w:pPr>
      <w:r>
        <w:rPr>
          <w:bCs/>
          <w:b/>
        </w:rPr>
        <w:t xml:space="preserve">Question:</w:t>
      </w:r>
      <w:r>
        <w:t xml:space="preserve"> </w:t>
      </w:r>
      <w:r>
        <w:rPr>
          <w:iCs/>
          <w:i/>
        </w:rPr>
        <w:t xml:space="preserve">Are risk premia adequate buffers against repricing?</w:t>
      </w:r>
    </w:p>
    <w:p>
      <w:pPr>
        <w:pStyle w:val="BodyText"/>
      </w:pPr>
      <w:r>
        <w:t xml:space="preserve">Valuation is scored</w:t>
      </w:r>
      <w:r>
        <w:t xml:space="preserve"> </w:t>
      </w:r>
      <w:r>
        <w:rPr>
          <w:bCs/>
          <w:b/>
        </w:rPr>
        <w:t xml:space="preserve">two-sided</w:t>
      </w:r>
      <w:r>
        <w:t xml:space="preserve"> </w:t>
      </w:r>
      <w:r>
        <w:t xml:space="preserve">(range-based): both compressed</w:t>
      </w:r>
      <w:r>
        <w:t xml:space="preserve"> </w:t>
      </w:r>
      <w:r>
        <w:rPr>
          <w:iCs/>
          <w:i/>
        </w:rPr>
        <w:t xml:space="preserve">and</w:t>
      </w:r>
      <w:r>
        <w:t xml:space="preserve"> </w:t>
      </w:r>
      <w:r>
        <w:t xml:space="preserve">extremely wide spreads indicate problems. Compressed spreads (e.g., IG OAS ~60 bps in pre-GFC 2007) signal complacency and repricing risk; extremely wide spreads (IG OAS &gt; 400 bps) signal crisis and distress. Only spreads in a</w:t>
      </w:r>
      <w:r>
        <w:t xml:space="preserve"> </w:t>
      </w:r>
      <w:r>
        <w:t xml:space="preserve">“</w:t>
      </w:r>
      <w:r>
        <w:t xml:space="preserve">healthy</w:t>
      </w:r>
      <w:r>
        <w:t xml:space="preserve">”</w:t>
      </w:r>
      <w:r>
        <w:t xml:space="preserve"> </w:t>
      </w:r>
      <w:r>
        <w:t xml:space="preserve">middle range receive ample scores.</w:t>
      </w:r>
    </w:p>
    <w:p>
      <w:pPr>
        <w:pStyle w:val="BodyText"/>
      </w:pPr>
      <w:r>
        <w:rPr>
          <w:bCs/>
          <w:b/>
        </w:rPr>
        <w:t xml:space="preserve">Indicators:</w:t>
      </w:r>
    </w:p>
    <w:tbl>
      <w:tblPr>
        <w:tblStyle w:val="Table"/>
        <w:tblW w:type="pct" w:w="5000"/>
        <w:tblLook w:firstRow="1" w:lastRow="0" w:firstColumn="0" w:lastColumn="0" w:noHBand="0" w:noVBand="0" w:val="0020"/>
        <w:jc w:val="start"/>
      </w:tblPr>
      <w:tblGrid>
        <w:gridCol w:w="2124"/>
        <w:gridCol w:w="1545"/>
        <w:gridCol w:w="2511"/>
        <w:gridCol w:w="1738"/>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Scoring</w:t>
            </w:r>
          </w:p>
        </w:tc>
      </w:tr>
      <w:tr>
        <w:tc>
          <w:tcPr/>
          <w:p>
            <w:pPr>
              <w:pStyle w:val="Compact"/>
              <w:jc w:val="left"/>
            </w:pPr>
            <w:r>
              <w:t xml:space="preserve">10Y Term Premium</w:t>
            </w:r>
          </w:p>
        </w:tc>
        <w:tc>
          <w:tcPr/>
          <w:p>
            <w:pPr>
              <w:pStyle w:val="Compact"/>
              <w:jc w:val="left"/>
            </w:pPr>
            <w:r>
              <w:t xml:space="preserve">FRED (DGS10, DGS2)</w:t>
            </w:r>
          </w:p>
        </w:tc>
        <w:tc>
          <w:tcPr/>
          <w:p>
            <w:pPr>
              <w:pStyle w:val="Compact"/>
              <w:jc w:val="left"/>
            </w:pPr>
            <w:r>
              <w:t xml:space="preserve">Compensation for duration risk</w:t>
            </w:r>
          </w:p>
        </w:tc>
        <w:tc>
          <w:tcPr/>
          <w:p>
            <w:pPr>
              <w:pStyle w:val="Compact"/>
              <w:jc w:val="left"/>
            </w:pPr>
            <w:r>
              <w:t xml:space="preserve">Range (both extremes penalised)</w:t>
            </w:r>
          </w:p>
        </w:tc>
      </w:tr>
      <w:tr>
        <w:tc>
          <w:tcPr/>
          <w:p>
            <w:pPr>
              <w:pStyle w:val="Compact"/>
              <w:jc w:val="left"/>
            </w:pPr>
            <w:r>
              <w:t xml:space="preserve">IG OAS</w:t>
            </w:r>
          </w:p>
        </w:tc>
        <w:tc>
          <w:tcPr/>
          <w:p>
            <w:pPr>
              <w:pStyle w:val="Compact"/>
              <w:jc w:val="left"/>
            </w:pPr>
            <w:r>
              <w:t xml:space="preserve">FRED (BAMLC0A0CM)</w:t>
            </w:r>
          </w:p>
        </w:tc>
        <w:tc>
          <w:tcPr/>
          <w:p>
            <w:pPr>
              <w:pStyle w:val="Compact"/>
              <w:jc w:val="left"/>
            </w:pPr>
            <w:r>
              <w:t xml:space="preserve">Investment-grade option-adjusted spread</w:t>
            </w:r>
          </w:p>
        </w:tc>
        <w:tc>
          <w:tcPr/>
          <w:p>
            <w:pPr>
              <w:pStyle w:val="Compact"/>
              <w:jc w:val="left"/>
            </w:pPr>
            <w:r>
              <w:t xml:space="preserve">Range</w:t>
            </w:r>
          </w:p>
        </w:tc>
      </w:tr>
      <w:tr>
        <w:tc>
          <w:tcPr/>
          <w:p>
            <w:pPr>
              <w:pStyle w:val="Compact"/>
              <w:jc w:val="left"/>
            </w:pPr>
            <w:r>
              <w:t xml:space="preserve">HY OAS</w:t>
            </w:r>
          </w:p>
        </w:tc>
        <w:tc>
          <w:tcPr/>
          <w:p>
            <w:pPr>
              <w:pStyle w:val="Compact"/>
              <w:jc w:val="left"/>
            </w:pPr>
            <w:r>
              <w:t xml:space="preserve">FRED (BAMLH0A0HYM2)</w:t>
            </w:r>
          </w:p>
        </w:tc>
        <w:tc>
          <w:tcPr/>
          <w:p>
            <w:pPr>
              <w:pStyle w:val="Compact"/>
              <w:jc w:val="left"/>
            </w:pPr>
            <w:r>
              <w:t xml:space="preserve">High-yield option-adjusted spread</w:t>
            </w:r>
          </w:p>
        </w:tc>
        <w:tc>
          <w:tcPr/>
          <w:p>
            <w:pPr>
              <w:pStyle w:val="Compact"/>
              <w:jc w:val="left"/>
            </w:pPr>
            <w:r>
              <w:t xml:space="preserve">Range</w:t>
            </w:r>
          </w:p>
        </w:tc>
      </w:tr>
    </w:tbl>
    <w:p>
      <w:pPr>
        <w:pStyle w:val="BodyText"/>
      </w:pPr>
      <w:r>
        <w:rPr>
          <w:bCs/>
          <w:b/>
        </w:rPr>
        <w:t xml:space="preserve">Calibrated Thresholds (range-based):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Ample Range</w:t>
            </w:r>
          </w:p>
        </w:tc>
        <w:tc>
          <w:tcPr/>
          <w:p>
            <w:pPr>
              <w:pStyle w:val="Compact"/>
              <w:jc w:val="left"/>
            </w:pPr>
            <w:r>
              <w:t xml:space="preserve">Thin Range</w:t>
            </w:r>
          </w:p>
        </w:tc>
        <w:tc>
          <w:tcPr/>
          <w:p>
            <w:pPr>
              <w:pStyle w:val="Compact"/>
              <w:jc w:val="left"/>
            </w:pPr>
            <w:r>
              <w:t xml:space="preserve">Breach Range</w:t>
            </w:r>
          </w:p>
        </w:tc>
      </w:tr>
      <w:tr>
        <w:tc>
          <w:tcPr/>
          <w:p>
            <w:pPr>
              <w:pStyle w:val="Compact"/>
              <w:jc w:val="left"/>
            </w:pPr>
            <w:r>
              <w:t xml:space="preserve">Term Premium</w:t>
            </w:r>
          </w:p>
        </w:tc>
        <w:tc>
          <w:tcPr/>
          <w:p>
            <w:pPr>
              <w:pStyle w:val="Compact"/>
              <w:jc w:val="left"/>
            </w:pPr>
            <w:r>
              <w:t xml:space="preserve">40–120 bps</w:t>
            </w:r>
          </w:p>
        </w:tc>
        <w:tc>
          <w:tcPr/>
          <w:p>
            <w:pPr>
              <w:pStyle w:val="Compact"/>
              <w:jc w:val="left"/>
            </w:pPr>
            <w:r>
              <w:t xml:space="preserve">0–200 bps</w:t>
            </w:r>
          </w:p>
        </w:tc>
        <w:tc>
          <w:tcPr/>
          <w:p>
            <w:pPr>
              <w:pStyle w:val="Compact"/>
              <w:jc w:val="left"/>
            </w:pPr>
            <w:r>
              <w:t xml:space="preserve">&lt; −50 or &gt; 250 bps</w:t>
            </w:r>
          </w:p>
        </w:tc>
      </w:tr>
      <w:tr>
        <w:tc>
          <w:tcPr/>
          <w:p>
            <w:pPr>
              <w:pStyle w:val="Compact"/>
              <w:jc w:val="left"/>
            </w:pPr>
            <w:r>
              <w:t xml:space="preserve">IG OAS</w:t>
            </w:r>
          </w:p>
        </w:tc>
        <w:tc>
          <w:tcPr/>
          <w:p>
            <w:pPr>
              <w:pStyle w:val="Compact"/>
              <w:jc w:val="left"/>
            </w:pPr>
            <w:r>
              <w:t xml:space="preserve">100–180 bps</w:t>
            </w:r>
          </w:p>
        </w:tc>
        <w:tc>
          <w:tcPr/>
          <w:p>
            <w:pPr>
              <w:pStyle w:val="Compact"/>
              <w:jc w:val="left"/>
            </w:pPr>
            <w:r>
              <w:t xml:space="preserve">75–280 bps</w:t>
            </w:r>
          </w:p>
        </w:tc>
        <w:tc>
          <w:tcPr/>
          <w:p>
            <w:pPr>
              <w:pStyle w:val="Compact"/>
              <w:jc w:val="left"/>
            </w:pPr>
            <w:r>
              <w:t xml:space="preserve">&lt; 60 or &gt; 400 bps</w:t>
            </w:r>
          </w:p>
        </w:tc>
      </w:tr>
      <w:tr>
        <w:tc>
          <w:tcPr/>
          <w:p>
            <w:pPr>
              <w:pStyle w:val="Compact"/>
              <w:jc w:val="left"/>
            </w:pPr>
            <w:r>
              <w:t xml:space="preserve">HY OAS</w:t>
            </w:r>
          </w:p>
        </w:tc>
        <w:tc>
          <w:tcPr/>
          <w:p>
            <w:pPr>
              <w:pStyle w:val="Compact"/>
              <w:jc w:val="left"/>
            </w:pPr>
            <w:r>
              <w:t xml:space="preserve">350–550 bps</w:t>
            </w:r>
          </w:p>
        </w:tc>
        <w:tc>
          <w:tcPr/>
          <w:p>
            <w:pPr>
              <w:pStyle w:val="Compact"/>
              <w:jc w:val="left"/>
            </w:pPr>
            <w:r>
              <w:t xml:space="preserve">280–800 bps</w:t>
            </w:r>
          </w:p>
        </w:tc>
        <w:tc>
          <w:tcPr/>
          <w:p>
            <w:pPr>
              <w:pStyle w:val="Compact"/>
              <w:jc w:val="left"/>
            </w:pPr>
            <w:r>
              <w:t xml:space="preserve">&lt; 200 or &gt; 1,000 bps</w:t>
            </w:r>
          </w:p>
        </w:tc>
      </w:tr>
    </w:tbl>
    <w:p>
      <w:pPr>
        <w:pStyle w:val="BodyText"/>
      </w:pPr>
      <w:r>
        <w:rPr>
          <w:bCs/>
          <w:b/>
        </w:rPr>
        <w:t xml:space="preserve">Design choice — why range-based?</w:t>
      </w:r>
      <w:r>
        <w:t xml:space="preserve"> </w:t>
      </w:r>
      <w:r>
        <w:t xml:space="preserve">Under one-sided scoring, pre-GFC compressed IG OAS (~60 bps) scored as</w:t>
      </w:r>
      <w:r>
        <w:t xml:space="preserve"> </w:t>
      </w:r>
      <w:r>
        <w:t xml:space="preserve">“</w:t>
      </w:r>
      <w:r>
        <w:t xml:space="preserve">ample</w:t>
      </w:r>
      <w:r>
        <w:t xml:space="preserve">”</w:t>
      </w:r>
      <w:r>
        <w:t xml:space="preserve"> </w:t>
      </w:r>
      <w:r>
        <w:t xml:space="preserve">— maximum buffer. The two-sided approach correctly penalises compressed spreads as complacency signals. This was a critical fix (Fix C) that improved backtest true positive rates for the 2006–2007 pre-GFC build-up period.</w:t>
      </w:r>
    </w:p>
    <w:p>
      <w:pPr>
        <w:pStyle w:val="BodyText"/>
      </w:pPr>
      <w:r>
        <w:rPr>
          <w:bCs/>
          <w:b/>
        </w:rPr>
        <w:t xml:space="preserve">Historical proxy (pre-1997):</w:t>
      </w:r>
      <w:r>
        <w:t xml:space="preserve"> </w:t>
      </w:r>
      <w:r>
        <w:t xml:space="preserve">Moody’s Baa–Aaa spread × 4.5 for HY OAS proxy; Moody’s Baa − DGS10 − 40 bps for IG OAS proxy. Moody’s data available from 1919 via FRED (</w:t>
      </w:r>
      <w:r>
        <w:rPr>
          <w:rStyle w:val="VerbatimChar"/>
        </w:rPr>
        <w:t xml:space="preserve">AAA</w:t>
      </w:r>
      <w:r>
        <w:t xml:space="preserve">,</w:t>
      </w:r>
      <w:r>
        <w:t xml:space="preserve"> </w:t>
      </w:r>
      <w:r>
        <w:rPr>
          <w:rStyle w:val="VerbatimChar"/>
        </w:rPr>
        <w:t xml:space="preserve">BAA</w:t>
      </w:r>
      <w:r>
        <w:t xml:space="preserve">). Pre-1919: NBER railroad bond yield spreads (high-grade − government) as corporate credit proxy (available from 1857).</w:t>
      </w:r>
    </w:p>
    <w:bookmarkEnd w:id="32"/>
    <w:bookmarkStart w:id="33" w:name="pillar-3-positioning"/>
    <w:p>
      <w:pPr>
        <w:pStyle w:val="Heading3"/>
      </w:pPr>
      <w:r>
        <w:t xml:space="preserve">4.3 Pillar 3: Positioning</w:t>
      </w:r>
    </w:p>
    <w:p>
      <w:pPr>
        <w:pStyle w:val="FirstParagraph"/>
      </w:pPr>
      <w:r>
        <w:rPr>
          <w:bCs/>
          <w:b/>
        </w:rPr>
        <w:t xml:space="preserve">Question:</w:t>
      </w:r>
      <w:r>
        <w:t xml:space="preserve"> </w:t>
      </w:r>
      <w:r>
        <w:rPr>
          <w:iCs/>
          <w:i/>
        </w:rPr>
        <w:t xml:space="preserve">Is leverage manageable and positioning sufficiently diverse?</w:t>
      </w:r>
    </w:p>
    <w:p>
      <w:pPr>
        <w:pStyle w:val="BodyText"/>
      </w:pPr>
      <w:r>
        <w:t xml:space="preserve">Positioning is the</w:t>
      </w:r>
      <w:r>
        <w:t xml:space="preserve"> </w:t>
      </w:r>
      <w:r>
        <w:rPr>
          <w:bCs/>
          <w:b/>
        </w:rPr>
        <w:t xml:space="preserve">most important pillar</w:t>
      </w:r>
      <w:r>
        <w:t xml:space="preserve"> </w:t>
      </w:r>
      <w:r>
        <w:t xml:space="preserve">in the ML-optimised framework (22% weight, elevated to 24% under interaction conditions). The key empirical finding:</w:t>
      </w:r>
      <w:r>
        <w:t xml:space="preserve"> </w:t>
      </w:r>
      <w:r>
        <w:rPr>
          <w:bCs/>
          <w:b/>
        </w:rPr>
        <w:t xml:space="preserve">positioning breach has preceded every modern Treasury hedge failure</w:t>
      </w:r>
      <w:r>
        <w:t xml:space="preserve"> </w:t>
      </w:r>
      <w:r>
        <w:t xml:space="preserve">in the 14-scenario sample. All three episodes in which Treasury hedges failed (Volmageddon 2018, COVID 2020, April 2025 Tariffs) exhibited positioning breach (score &lt; 0.20) at or immediately before the event date. Conversely, in the 11 scenarios where positioning did not breach, Treasury hedges functioned normally. This makes positioning breach a</w:t>
      </w:r>
      <w:r>
        <w:t xml:space="preserve"> </w:t>
      </w:r>
      <w:r>
        <w:rPr>
          <w:bCs/>
          <w:b/>
        </w:rPr>
        <w:t xml:space="preserve">necessary condition</w:t>
      </w:r>
      <w:r>
        <w:t xml:space="preserve"> </w:t>
      </w:r>
      <w:r>
        <w:t xml:space="preserve">for hedge failure in the observed sample — though with only three failure episodes (N=3), the framework treats it as a high-confidence leading indicator rather than a deterministic rule. The mechanism is structurally grounded: when basis trades are unwinding, speculative positioning is extreme, or short volatility exposure is concentrated, forced deleveraging can reverse the traditional safe-haven function of Treasuries.</w:t>
      </w:r>
    </w:p>
    <w:p>
      <w:pPr>
        <w:pStyle w:val="BodyText"/>
      </w:pPr>
      <w:r>
        <w:rPr>
          <w:bCs/>
          <w:b/>
        </w:rPr>
        <w:t xml:space="preserve">Indicators:</w:t>
      </w:r>
    </w:p>
    <w:tbl>
      <w:tblPr>
        <w:tblStyle w:val="Table"/>
        <w:tblW w:type="pct" w:w="5000"/>
        <w:tblLook w:firstRow="1" w:lastRow="0" w:firstColumn="0" w:lastColumn="0" w:noHBand="0" w:noVBand="0" w:val="0020"/>
        <w:jc w:val="start"/>
      </w:tblPr>
      <w:tblGrid>
        <w:gridCol w:w="2124"/>
        <w:gridCol w:w="1545"/>
        <w:gridCol w:w="2511"/>
        <w:gridCol w:w="1738"/>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Scoring</w:t>
            </w:r>
          </w:p>
        </w:tc>
      </w:tr>
      <w:tr>
        <w:tc>
          <w:tcPr/>
          <w:p>
            <w:pPr>
              <w:pStyle w:val="Compact"/>
              <w:jc w:val="left"/>
            </w:pPr>
            <w:r>
              <w:t xml:space="preserve">Basis trade size (</w:t>
            </w:r>
            <m:oMath>
              <m:r>
                <m:t>B</m:t>
              </m:r>
              <m:r>
                <m:rPr>
                  <m:sty m:val="p"/>
                </m:rPr>
                <m:t>)</m:t>
              </m:r>
              <m:d>
                <m:dPr>
                  <m:begChr m:val="|"/>
                  <m:endChr m:val="|"/>
                  <m:sepChr m:val=""/>
                  <m:grow/>
                </m:dPr>
                <m:e>
                  <m:r>
                    <m:t>C</m:t>
                  </m:r>
                  <m:r>
                    <m:t>F</m:t>
                  </m:r>
                  <m:r>
                    <m:t>T</m:t>
                  </m:r>
                  <m:r>
                    <m:t>C</m:t>
                  </m:r>
                  <m:r>
                    <m:t>C</m:t>
                  </m:r>
                  <m:r>
                    <m:t>O</m:t>
                  </m:r>
                  <m:r>
                    <m:t>T</m:t>
                  </m:r>
                  <m:r>
                    <m:t>d</m:t>
                  </m:r>
                  <m:r>
                    <m:t>a</m:t>
                  </m:r>
                  <m:r>
                    <m:t>t</m:t>
                  </m:r>
                  <m:r>
                    <m:t>a</m:t>
                  </m:r>
                </m:e>
              </m:d>
              <m:r>
                <m:t>T</m:t>
              </m:r>
              <m:r>
                <m:t>r</m:t>
              </m:r>
              <m:r>
                <m:t>e</m:t>
              </m:r>
              <m:r>
                <m:t>a</m:t>
              </m:r>
              <m:r>
                <m:t>s</m:t>
              </m:r>
              <m:r>
                <m:t>u</m:t>
              </m:r>
              <m:r>
                <m:t>r</m:t>
              </m:r>
              <m:r>
                <m:t>y</m:t>
              </m:r>
              <m:r>
                <m:t>c</m:t>
              </m:r>
              <m:r>
                <m:t>a</m:t>
              </m:r>
              <m:r>
                <m:t>s</m:t>
              </m:r>
              <m:r>
                <m:t>h</m:t>
              </m:r>
              <m:r>
                <m:rPr>
                  <m:sty m:val="p"/>
                </m:rPr>
                <m:t>−</m:t>
              </m:r>
              <m:r>
                <m:t>f</m:t>
              </m:r>
              <m:r>
                <m:t>u</m:t>
              </m:r>
              <m:r>
                <m:t>t</m:t>
              </m:r>
              <m:r>
                <m:t>u</m:t>
              </m:r>
              <m:r>
                <m:t>r</m:t>
              </m:r>
              <m:r>
                <m:t>e</m:t>
              </m:r>
              <m:r>
                <m:t>s</m:t>
              </m:r>
              <m:r>
                <m:t>b</m:t>
              </m:r>
              <m:r>
                <m:t>a</m:t>
              </m:r>
              <m:r>
                <m:t>s</m:t>
              </m:r>
              <m:r>
                <m:t>i</m:t>
              </m:r>
              <m:r>
                <m:t>s</m:t>
              </m:r>
              <m:r>
                <m:t>t</m:t>
              </m:r>
              <m:r>
                <m:t>r</m:t>
              </m:r>
              <m:r>
                <m:t>a</m:t>
              </m:r>
              <m:r>
                <m:t>d</m:t>
              </m:r>
              <m:r>
                <m:t>e</m:t>
              </m:r>
              <m:r>
                <m:t>c</m:t>
              </m:r>
              <m:r>
                <m:t>r</m:t>
              </m:r>
              <m:r>
                <m:t>o</m:t>
              </m:r>
              <m:r>
                <m:t>w</m:t>
              </m:r>
              <m:r>
                <m:t>d</m:t>
              </m:r>
              <m:r>
                <m:t>i</m:t>
              </m:r>
              <m:r>
                <m:t>n</m:t>
              </m:r>
              <m:r>
                <m:t>g</m:t>
              </m:r>
              <m:d>
                <m:dPr>
                  <m:begChr m:val="|"/>
                  <m:endChr m:val="|"/>
                  <m:sepChr m:val=""/>
                  <m:grow/>
                </m:dPr>
                <m:e>
                  <m:r>
                    <m:t>S</m:t>
                  </m:r>
                  <m:r>
                    <m:t>i</m:t>
                  </m:r>
                  <m:r>
                    <m:t>m</m:t>
                  </m:r>
                  <m:r>
                    <m:t>p</m:t>
                  </m:r>
                  <m:r>
                    <m:t>l</m:t>
                  </m:r>
                  <m:r>
                    <m:t>e</m:t>
                  </m:r>
                  <m:d>
                    <m:dPr>
                      <m:begChr m:val="("/>
                      <m:endChr m:val=")"/>
                      <m:sepChr m:val=""/>
                      <m:grow/>
                    </m:dPr>
                    <m:e>
                      <m:r>
                        <m:t>l</m:t>
                      </m:r>
                      <m:r>
                        <m:t>o</m:t>
                      </m:r>
                      <m:r>
                        <m:t>w</m:t>
                      </m:r>
                      <m:r>
                        <m:t>e</m:t>
                      </m:r>
                      <m:r>
                        <m:t>r</m:t>
                      </m:r>
                      <m:r>
                        <m:t>i</m:t>
                      </m:r>
                      <m:r>
                        <m:t>s</m:t>
                      </m:r>
                      <m:r>
                        <m:t>b</m:t>
                      </m:r>
                      <m:r>
                        <m:t>e</m:t>
                      </m:r>
                      <m:r>
                        <m:t>t</m:t>
                      </m:r>
                      <m:r>
                        <m:t>t</m:t>
                      </m:r>
                      <m:r>
                        <m:t>e</m:t>
                      </m:r>
                      <m:r>
                        <m:t>r</m:t>
                      </m:r>
                    </m:e>
                  </m:d>
                </m:e>
              </m:d>
              <m:r>
                <m:rPr>
                  <m:sty m:val="p"/>
                </m:rPr>
                <m:t>|</m:t>
              </m:r>
              <m:r>
                <m:t>B</m:t>
              </m:r>
              <m:r>
                <m:t>a</m:t>
              </m:r>
              <m:r>
                <m:t>s</m:t>
              </m:r>
              <m:r>
                <m:t>i</m:t>
              </m:r>
              <m:r>
                <m:t>s</m:t>
              </m:r>
              <m:r>
                <m:t>t</m:t>
              </m:r>
              <m:r>
                <m:t>r</m:t>
              </m:r>
              <m:r>
                <m:t>a</m:t>
              </m:r>
              <m:r>
                <m:t>d</m:t>
              </m:r>
              <m:r>
                <m:t>e</m:t>
              </m:r>
              <m:r>
                <m:rPr>
                  <m:sty m:val="p"/>
                </m:rPr>
                <m:t>(</m:t>
              </m:r>
              <m:r>
                <m:t>O</m:t>
              </m:r>
              <m:r>
                <m:t>I</m:t>
              </m:r>
              <m:r>
                <m:rPr>
                  <m:sty m:val="p"/>
                </m:rPr>
                <m:t>−</m:t>
              </m:r>
              <m:r>
                <m:t>r</m:t>
              </m:r>
              <m:r>
                <m:t>e</m:t>
              </m:r>
              <m:r>
                <m:t>l</m:t>
              </m:r>
              <m:r>
                <m:t>a</m:t>
              </m:r>
              <m:r>
                <m:t>t</m:t>
              </m:r>
              <m:r>
                <m:t>i</m:t>
              </m:r>
              <m:r>
                <m:t>v</m:t>
              </m:r>
              <m:r>
                <m:t>e</m:t>
              </m:r>
            </m:oMath>
            <w:r>
              <w:t xml:space="preserve">M)</w:t>
            </w:r>
          </w:p>
        </w:tc>
        <w:tc>
          <w:tcPr/>
          <w:p>
            <w:pPr>
              <w:pStyle w:val="Compact"/>
              <w:jc w:val="left"/>
            </w:pPr>
            <w:r>
              <w:t xml:space="preserve">ETF data</w:t>
            </w:r>
          </w:p>
        </w:tc>
        <w:tc>
          <w:tcPr/>
          <w:p>
            <w:pPr>
              <w:pStyle w:val="Compact"/>
              <w:jc w:val="left"/>
            </w:pPr>
            <w:r>
              <w:t xml:space="preserve">Short volatility exposure concentration</w:t>
            </w:r>
          </w:p>
        </w:tc>
        <w:tc>
          <w:tcPr/>
          <w:p>
            <w:pPr>
              <w:pStyle w:val="Compact"/>
              <w:jc w:val="left"/>
            </w:pPr>
            <w:r>
              <w:t xml:space="preserve">Simple (lower is better)</w:t>
            </w:r>
          </w:p>
        </w:tc>
      </w:tr>
    </w:tbl>
    <w:p>
      <w:pPr>
        <w:pStyle w:val="BodyText"/>
      </w:pPr>
      <w:r>
        <w:rPr>
          <w:bCs/>
          <w:b/>
        </w:rPr>
        <w:t xml:space="preserve">Calibrated Thresholds: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Ample</w:t>
            </w:r>
          </w:p>
        </w:tc>
        <w:tc>
          <w:tcPr/>
          <w:p>
            <w:pPr>
              <w:pStyle w:val="Compact"/>
              <w:jc w:val="left"/>
            </w:pPr>
            <w:r>
              <w:t xml:space="preserve">Thin</w:t>
            </w:r>
          </w:p>
        </w:tc>
        <w:tc>
          <w:tcPr/>
          <w:p>
            <w:pPr>
              <w:pStyle w:val="Compact"/>
              <w:jc w:val="left"/>
            </w:pPr>
            <w:r>
              <w:t xml:space="preserve">Breach</w:t>
            </w:r>
          </w:p>
        </w:tc>
      </w:tr>
      <w:tr>
        <w:tc>
          <w:tcPr/>
          <w:p>
            <w:pPr>
              <w:pStyle w:val="Compact"/>
              <w:jc w:val="left"/>
            </w:pPr>
            <w:r>
              <w:t xml:space="preserve">Basis trade (absolute)</w:t>
            </w:r>
          </w:p>
        </w:tc>
        <w:tc>
          <w:tcPr/>
          <w:p>
            <w:pPr>
              <w:pStyle w:val="Compact"/>
              <w:jc w:val="left"/>
            </w:pPr>
            <w:r>
              <w:t xml:space="preserve">&lt; $350B</w:t>
            </w:r>
          </w:p>
        </w:tc>
        <w:tc>
          <w:tcPr/>
          <w:p>
            <w:pPr>
              <w:pStyle w:val="Compact"/>
              <w:jc w:val="left"/>
            </w:pPr>
            <w:r>
              <w:t xml:space="preserve">$350–600B</w:t>
            </w:r>
          </w:p>
        </w:tc>
        <w:tc>
          <w:tcPr/>
          <w:p>
            <w:pPr>
              <w:pStyle w:val="Compact"/>
              <w:jc w:val="left"/>
            </w:pPr>
            <w:r>
              <w:t xml:space="preserve">&gt; $800B</w:t>
            </w:r>
          </w:p>
        </w:tc>
      </w:tr>
      <w:tr>
        <w:tc>
          <w:tcPr/>
          <w:p>
            <w:pPr>
              <w:pStyle w:val="Compact"/>
              <w:jc w:val="left"/>
            </w:pPr>
            <w:r>
              <w:t xml:space="preserve">Basis trade (OI-relative)</w:t>
            </w:r>
          </w:p>
        </w:tc>
        <w:tc>
          <w:tcPr/>
          <w:p>
            <w:pPr>
              <w:pStyle w:val="Compact"/>
              <w:jc w:val="left"/>
            </w:pPr>
            <w:r>
              <w:t xml:space="preserve">&lt; 8% of OI</w:t>
            </w:r>
          </w:p>
        </w:tc>
        <w:tc>
          <w:tcPr/>
          <w:p>
            <w:pPr>
              <w:pStyle w:val="Compact"/>
              <w:jc w:val="left"/>
            </w:pPr>
            <w:r>
              <w:t xml:space="preserve">8–12%</w:t>
            </w:r>
          </w:p>
        </w:tc>
        <w:tc>
          <w:tcPr/>
          <w:p>
            <w:pPr>
              <w:pStyle w:val="Compact"/>
              <w:jc w:val="left"/>
            </w:pPr>
            <w:r>
              <w:t xml:space="preserve">&gt; 18%</w:t>
            </w:r>
          </w:p>
        </w:tc>
      </w:tr>
      <w:tr>
        <w:tc>
          <w:tcPr/>
          <w:p>
            <w:pPr>
              <w:pStyle w:val="Compact"/>
              <w:jc w:val="left"/>
            </w:pPr>
            <w:r>
              <w:t xml:space="preserve">Spec net percentile</w:t>
            </w:r>
          </w:p>
        </w:tc>
        <w:tc>
          <w:tcPr/>
          <w:p>
            <w:pPr>
              <w:pStyle w:val="Compact"/>
              <w:jc w:val="left"/>
            </w:pPr>
            <w:r>
              <w:t xml:space="preserve">35th–65th</w:t>
            </w:r>
          </w:p>
        </w:tc>
        <w:tc>
          <w:tcPr/>
          <w:p>
            <w:pPr>
              <w:pStyle w:val="Compact"/>
              <w:jc w:val="left"/>
            </w:pPr>
            <w:r>
              <w:t xml:space="preserve">18th–82nd</w:t>
            </w:r>
          </w:p>
        </w:tc>
        <w:tc>
          <w:tcPr/>
          <w:p>
            <w:pPr>
              <w:pStyle w:val="Compact"/>
              <w:jc w:val="left"/>
            </w:pPr>
            <w:r>
              <w:t xml:space="preserve">&lt; 5th or &gt; 95th</w:t>
            </w:r>
          </w:p>
        </w:tc>
      </w:tr>
      <w:tr>
        <w:tc>
          <w:tcPr/>
          <w:p>
            <w:pPr>
              <w:pStyle w:val="Compact"/>
              <w:jc w:val="left"/>
            </w:pPr>
            <w:r>
              <w:t xml:space="preserve">SVXY AUM</w:t>
            </w:r>
          </w:p>
        </w:tc>
        <w:tc>
          <w:tcPr/>
          <w:p>
            <w:pPr>
              <w:pStyle w:val="Compact"/>
              <w:jc w:val="left"/>
            </w:pPr>
            <w:r>
              <w:t xml:space="preserve">&lt; $350M</w:t>
            </w:r>
          </w:p>
        </w:tc>
        <w:tc>
          <w:tcPr/>
          <w:p>
            <w:pPr>
              <w:pStyle w:val="Compact"/>
              <w:jc w:val="left"/>
            </w:pPr>
            <w:r>
              <w:t xml:space="preserve">$350–600M</w:t>
            </w:r>
          </w:p>
        </w:tc>
        <w:tc>
          <w:tcPr/>
          <w:p>
            <w:pPr>
              <w:pStyle w:val="Compact"/>
              <w:jc w:val="left"/>
            </w:pPr>
            <w:r>
              <w:t xml:space="preserve">&gt; $850M</w:t>
            </w:r>
          </w:p>
        </w:tc>
      </w:tr>
    </w:tbl>
    <w:p>
      <w:pPr>
        <w:pStyle w:val="BodyText"/>
      </w:pPr>
      <w:r>
        <w:rPr>
          <w:bCs/>
          <w:b/>
        </w:rPr>
        <w:t xml:space="preserve">Design choice — OI-relative thresholds:</w:t>
      </w:r>
      <w:r>
        <w:t xml:space="preserve"> </w:t>
      </w:r>
      <w:r>
        <w:t xml:space="preserve">Fixed dollar thresholds ($350B/$600B/$800B) become obsolete as the Treasury futures market grows. The OI-relative metric (basis trade size as a percentage of total Treasury open interest) adapts automatically. Both metrics are computed; the OI-relative version is preferred when total OI exceeds $100B.</w:t>
      </w:r>
    </w:p>
    <w:p>
      <w:pPr>
        <w:pStyle w:val="BodyText"/>
      </w:pPr>
      <w:r>
        <w:rPr>
          <w:bCs/>
          <w:b/>
        </w:rPr>
        <w:t xml:space="preserve">Design choice — critical breach override:</w:t>
      </w:r>
      <w:r>
        <w:t xml:space="preserve"> </w:t>
      </w:r>
      <w:r>
        <w:t xml:space="preserve">If any single positioning indicator scores below 0.15 (near-breach), the entire positioning composite is capped at 0.18, forcing the pillar into breach status. This reflects the observation that a single extreme positioning indicator is sufficient to create forced-unwind risk, regardless of how the other indicators score.</w:t>
      </w:r>
    </w:p>
    <w:p>
      <w:pPr>
        <w:pStyle w:val="BodyText"/>
      </w:pPr>
      <w:r>
        <w:rPr>
          <w:bCs/>
          <w:b/>
        </w:rPr>
        <w:t xml:space="preserve">Key references:</w:t>
      </w:r>
      <w:r>
        <w:t xml:space="preserve"> </w:t>
      </w:r>
      <w:r>
        <w:t xml:space="preserve">-</w:t>
      </w:r>
      <w:r>
        <w:t xml:space="preserve"> </w:t>
      </w:r>
      <w:r>
        <w:t xml:space="preserve">“</w:t>
      </w:r>
      <w:r>
        <w:t xml:space="preserve">Quantifying Treasury Cash-Futures Basis Trades</w:t>
      </w:r>
      <w:r>
        <w:t xml:space="preserve">”</w:t>
      </w:r>
      <w:r>
        <w:t xml:space="preserve"> </w:t>
      </w:r>
      <w:r>
        <w:t xml:space="preserve">(Federal Reserve, March 2024): Estimated basis trade at $260B–$574B in late 2023</w:t>
      </w:r>
      <w:r>
        <w:t xml:space="preserve"> </w:t>
      </w:r>
      <w:r>
        <w:t xml:space="preserve">-</w:t>
      </w:r>
      <w:r>
        <w:t xml:space="preserve"> </w:t>
      </w:r>
      <w:r>
        <w:t xml:space="preserve">“</w:t>
      </w:r>
      <w:r>
        <w:t xml:space="preserve">Recent Developments in Hedge Funds’ Treasury Futures and Repo Positions</w:t>
      </w:r>
      <w:r>
        <w:t xml:space="preserve">”</w:t>
      </w:r>
      <w:r>
        <w:t xml:space="preserve"> </w:t>
      </w:r>
      <w:r>
        <w:t xml:space="preserve">(Federal Reserve, August 2023): Identified the trade as a financial stability vulnerability</w:t>
      </w:r>
      <w:r>
        <w:t xml:space="preserve"> </w:t>
      </w:r>
      <w:r>
        <w:t xml:space="preserve">-</w:t>
      </w:r>
      <w:r>
        <w:t xml:space="preserve"> </w:t>
      </w:r>
      <w:r>
        <w:t xml:space="preserve">“</w:t>
      </w:r>
      <w:r>
        <w:t xml:space="preserve">Hedge Funds and the Treasury Cash-Futures Disconnect</w:t>
      </w:r>
      <w:r>
        <w:t xml:space="preserve">”</w:t>
      </w:r>
      <w:r>
        <w:t xml:space="preserve"> </w:t>
      </w:r>
      <w:r>
        <w:t xml:space="preserve">(OFR, April 2021): Documented basis trade unwind contribution to March 2020 Treasury dysfunction</w:t>
      </w:r>
    </w:p>
    <w:p>
      <w:pPr>
        <w:pStyle w:val="BodyText"/>
      </w:pPr>
      <w:r>
        <w:rPr>
          <w:bCs/>
          <w:b/>
        </w:rPr>
        <w:t xml:space="preserve">Historical proxy (pre-1986):</w:t>
      </w:r>
      <w:r>
        <w:t xml:space="preserve"> </w:t>
      </w:r>
      <w:r>
        <w:t xml:space="preserve">FINRA/NYSE margin debt as a proportion of GDP (available from 1918). Pre-1918: default score of 0.50 (neutral) — no margin data exists.</w:t>
      </w:r>
    </w:p>
    <w:bookmarkEnd w:id="33"/>
    <w:bookmarkStart w:id="34" w:name="pillar-4-volatility"/>
    <w:p>
      <w:pPr>
        <w:pStyle w:val="Heading3"/>
      </w:pPr>
      <w:r>
        <w:t xml:space="preserve">4.4 Pillar 4: Volatility</w:t>
      </w:r>
    </w:p>
    <w:p>
      <w:pPr>
        <w:pStyle w:val="FirstParagraph"/>
      </w:pPr>
      <w:r>
        <w:rPr>
          <w:bCs/>
          <w:b/>
        </w:rPr>
        <w:t xml:space="preserve">Question:</w:t>
      </w:r>
      <w:r>
        <w:t xml:space="preserve"> </w:t>
      </w:r>
      <w:r>
        <w:rPr>
          <w:iCs/>
          <w:i/>
        </w:rPr>
        <w:t xml:space="preserve">Is the volatility regime stable and well-priced?</w:t>
      </w:r>
    </w:p>
    <w:p>
      <w:pPr>
        <w:pStyle w:val="BodyText"/>
      </w:pPr>
      <w:r>
        <w:t xml:space="preserve">Volatility is scored range-based: both very low VIX (suppressed vol → complacency) and very high VIX (crisis vol) indicate problems. Extended low-volatility periods receive an additional</w:t>
      </w:r>
      <w:r>
        <w:t xml:space="preserve"> </w:t>
      </w:r>
      <w:r>
        <w:rPr>
          <w:bCs/>
          <w:b/>
        </w:rPr>
        <w:t xml:space="preserve">persistence penalty</w:t>
      </w:r>
      <w:r>
        <w:t xml:space="preserve"> </w:t>
      </w:r>
      <w:r>
        <w:t xml:space="preserve">because prolonged suppression encourages leverage build-up and underpricing of tail risk.</w:t>
      </w:r>
    </w:p>
    <w:p>
      <w:pPr>
        <w:pStyle w:val="BodyText"/>
      </w:pPr>
      <w:r>
        <w:rPr>
          <w:bCs/>
          <w:b/>
        </w:rPr>
        <w:t xml:space="preserve">Indicators:</w:t>
      </w:r>
    </w:p>
    <w:tbl>
      <w:tblPr>
        <w:tblStyle w:val="Table"/>
        <w:tblW w:type="pct" w:w="5000"/>
        <w:tblLook w:firstRow="1" w:lastRow="0" w:firstColumn="0" w:lastColumn="0" w:noHBand="0" w:noVBand="0" w:val="0020"/>
        <w:jc w:val="start"/>
      </w:tblPr>
      <w:tblGrid>
        <w:gridCol w:w="2124"/>
        <w:gridCol w:w="1545"/>
        <w:gridCol w:w="2511"/>
        <w:gridCol w:w="1738"/>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Scoring</w:t>
            </w:r>
          </w:p>
        </w:tc>
      </w:tr>
      <w:tr>
        <w:tc>
          <w:tcPr/>
          <w:p>
            <w:pPr>
              <w:pStyle w:val="Compact"/>
              <w:jc w:val="left"/>
            </w:pPr>
            <w:r>
              <w:t xml:space="preserve">VIX level</w:t>
            </w:r>
          </w:p>
        </w:tc>
        <w:tc>
          <w:tcPr/>
          <w:p>
            <w:pPr>
              <w:pStyle w:val="Compact"/>
              <w:jc w:val="left"/>
            </w:pPr>
            <w:r>
              <w:t xml:space="preserve">FRED (VIXCLS)</w:t>
            </w:r>
          </w:p>
        </w:tc>
        <w:tc>
          <w:tcPr/>
          <w:p>
            <w:pPr>
              <w:pStyle w:val="Compact"/>
              <w:jc w:val="left"/>
            </w:pPr>
            <w:r>
              <w:t xml:space="preserve">S&amp;P 500 implied volatility</w:t>
            </w:r>
          </w:p>
        </w:tc>
        <w:tc>
          <w:tcPr/>
          <w:p>
            <w:pPr>
              <w:pStyle w:val="Compact"/>
              <w:jc w:val="left"/>
            </w:pPr>
            <w:r>
              <w:t xml:space="preserve">Range</w:t>
            </w:r>
          </w:p>
        </w:tc>
      </w:tr>
      <w:tr>
        <w:tc>
          <w:tcPr/>
          <w:p>
            <w:pPr>
              <w:pStyle w:val="Compact"/>
              <w:jc w:val="left"/>
            </w:pPr>
            <w:r>
              <w:t xml:space="preserve">VIX term structure (M2/M1)</w:t>
            </w:r>
          </w:p>
        </w:tc>
        <w:tc>
          <w:tcPr/>
          <w:p>
            <w:pPr>
              <w:pStyle w:val="Compact"/>
              <w:jc w:val="left"/>
            </w:pPr>
            <w:r>
              <w:t xml:space="preserve">VIX futures / ETF proxy</w:t>
            </w:r>
          </w:p>
        </w:tc>
        <w:tc>
          <w:tcPr/>
          <w:p>
            <w:pPr>
              <w:pStyle w:val="Compact"/>
              <w:jc w:val="left"/>
            </w:pPr>
            <w:r>
              <w:t xml:space="preserve">Contango ≈ normal; backwardation ≈ stress</w:t>
            </w:r>
          </w:p>
        </w:tc>
        <w:tc>
          <w:tcPr/>
          <w:p>
            <w:pPr>
              <w:pStyle w:val="Compact"/>
              <w:jc w:val="left"/>
            </w:pPr>
            <w:r>
              <w:t xml:space="preserve">Range</w:t>
            </w:r>
          </w:p>
        </w:tc>
      </w:tr>
      <w:tr>
        <w:tc>
          <w:tcPr/>
          <w:p>
            <w:pPr>
              <w:pStyle w:val="Compact"/>
              <w:jc w:val="left"/>
            </w:pPr>
            <w:r>
              <w:t xml:space="preserve">Realised–implied vol gap</w:t>
            </w:r>
          </w:p>
        </w:tc>
        <w:tc>
          <w:tcPr/>
          <w:p>
            <w:pPr>
              <w:pStyle w:val="Compact"/>
              <w:jc w:val="left"/>
            </w:pPr>
            <w:r>
              <w:t xml:space="preserve">FRED + calculation</w:t>
            </w:r>
          </w:p>
        </w:tc>
        <w:tc>
          <w:tcPr/>
          <w:p>
            <w:pPr>
              <w:pStyle w:val="Compact"/>
              <w:jc w:val="left"/>
            </w:pPr>
            <w:r>
              <w:t xml:space="preserve">Divergence between RV and IV</w:t>
            </w:r>
          </w:p>
        </w:tc>
        <w:tc>
          <w:tcPr/>
          <w:p>
            <w:pPr>
              <w:pStyle w:val="Compact"/>
              <w:jc w:val="left"/>
            </w:pPr>
            <w:r>
              <w:t xml:space="preserve">Simple (lower is better)</w:t>
            </w:r>
          </w:p>
        </w:tc>
      </w:tr>
    </w:tbl>
    <w:p>
      <w:pPr>
        <w:pStyle w:val="BodyText"/>
      </w:pPr>
      <w:r>
        <w:rPr>
          <w:bCs/>
          <w:b/>
        </w:rPr>
        <w:t xml:space="preserve">Calibrated Thresholds: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Indicator</w:t>
            </w:r>
          </w:p>
        </w:tc>
        <w:tc>
          <w:tcPr/>
          <w:p>
            <w:pPr>
              <w:pStyle w:val="Compact"/>
              <w:jc w:val="left"/>
            </w:pPr>
            <w:r>
              <w:t xml:space="preserve">Ample Range</w:t>
            </w:r>
          </w:p>
        </w:tc>
        <w:tc>
          <w:tcPr/>
          <w:p>
            <w:pPr>
              <w:pStyle w:val="Compact"/>
              <w:jc w:val="left"/>
            </w:pPr>
            <w:r>
              <w:t xml:space="preserve">Thin Range</w:t>
            </w:r>
          </w:p>
        </w:tc>
        <w:tc>
          <w:tcPr/>
          <w:p>
            <w:pPr>
              <w:pStyle w:val="Compact"/>
              <w:jc w:val="left"/>
            </w:pPr>
            <w:r>
              <w:t xml:space="preserve">Breach Range</w:t>
            </w:r>
          </w:p>
        </w:tc>
      </w:tr>
      <w:tr>
        <w:tc>
          <w:tcPr/>
          <w:p>
            <w:pPr>
              <w:pStyle w:val="Compact"/>
              <w:jc w:val="left"/>
            </w:pPr>
            <w:r>
              <w:t xml:space="preserve">VIX level</w:t>
            </w:r>
          </w:p>
        </w:tc>
        <w:tc>
          <w:tcPr/>
          <w:p>
            <w:pPr>
              <w:pStyle w:val="Compact"/>
              <w:jc w:val="left"/>
            </w:pPr>
            <w:r>
              <w:t xml:space="preserve">12–22</w:t>
            </w:r>
          </w:p>
        </w:tc>
        <w:tc>
          <w:tcPr/>
          <w:p>
            <w:pPr>
              <w:pStyle w:val="Compact"/>
              <w:jc w:val="left"/>
            </w:pPr>
            <w:r>
              <w:t xml:space="preserve">10–30</w:t>
            </w:r>
          </w:p>
        </w:tc>
        <w:tc>
          <w:tcPr/>
          <w:p>
            <w:pPr>
              <w:pStyle w:val="Compact"/>
              <w:jc w:val="left"/>
            </w:pPr>
            <w:r>
              <w:t xml:space="preserve">&lt; 9 or &gt; 40</w:t>
            </w:r>
          </w:p>
        </w:tc>
      </w:tr>
      <w:tr>
        <w:tc>
          <w:tcPr/>
          <w:p>
            <w:pPr>
              <w:pStyle w:val="Compact"/>
              <w:jc w:val="left"/>
            </w:pPr>
            <w:r>
              <w:t xml:space="preserve">Term structure (M2/M1)</w:t>
            </w:r>
          </w:p>
        </w:tc>
        <w:tc>
          <w:tcPr/>
          <w:p>
            <w:pPr>
              <w:pStyle w:val="Compact"/>
              <w:jc w:val="left"/>
            </w:pPr>
            <w:r>
              <w:t xml:space="preserve">1.00–1.04</w:t>
            </w:r>
          </w:p>
        </w:tc>
        <w:tc>
          <w:tcPr/>
          <w:p>
            <w:pPr>
              <w:pStyle w:val="Compact"/>
              <w:jc w:val="left"/>
            </w:pPr>
            <w:r>
              <w:t xml:space="preserve">0.92–1.06</w:t>
            </w:r>
          </w:p>
        </w:tc>
        <w:tc>
          <w:tcPr/>
          <w:p>
            <w:pPr>
              <w:pStyle w:val="Compact"/>
              <w:jc w:val="left"/>
            </w:pPr>
            <w:r>
              <w:t xml:space="preserve">&lt; 0.88 or &gt; 1.08</w:t>
            </w:r>
          </w:p>
        </w:tc>
      </w:tr>
      <w:tr>
        <w:tc>
          <w:tcPr/>
          <w:p>
            <w:pPr>
              <w:pStyle w:val="Compact"/>
              <w:jc w:val="left"/>
            </w:pPr>
            <w:r>
              <w:t xml:space="preserve">RV–IV gap</w:t>
            </w:r>
          </w:p>
        </w:tc>
        <w:tc>
          <w:tcPr/>
          <w:p>
            <w:pPr>
              <w:pStyle w:val="Compact"/>
              <w:jc w:val="left"/>
            </w:pPr>
            <w:r>
              <w:t xml:space="preserve">&lt; 15%</w:t>
            </w:r>
          </w:p>
        </w:tc>
        <w:tc>
          <w:tcPr/>
          <w:p>
            <w:pPr>
              <w:pStyle w:val="Compact"/>
              <w:jc w:val="left"/>
            </w:pPr>
            <w:r>
              <w:t xml:space="preserve">15–30%</w:t>
            </w:r>
          </w:p>
        </w:tc>
        <w:tc>
          <w:tcPr/>
          <w:p>
            <w:pPr>
              <w:pStyle w:val="Compact"/>
              <w:jc w:val="left"/>
            </w:pPr>
            <w:r>
              <w:t xml:space="preserve">&gt; 45%</w:t>
            </w:r>
          </w:p>
        </w:tc>
      </w:tr>
    </w:tbl>
    <w:p>
      <w:pPr>
        <w:pStyle w:val="BodyText"/>
      </w:pPr>
      <w:r>
        <w:rPr>
          <w:bCs/>
          <w:b/>
        </w:rPr>
        <w:t xml:space="preserve">VIX persistence penalty:</w:t>
      </w:r>
      <w:r>
        <w:t xml:space="preserve"> </w:t>
      </w:r>
      <w:r>
        <w:t xml:space="preserve">When VIX stays below 15 for an extended period, the volatility score is penalised. The penalty accumulates at 0.3% per day below threshold over a 60-day rolling window, capped at 15%. This captures the</w:t>
      </w:r>
      <w:r>
        <w:t xml:space="preserve"> </w:t>
      </w:r>
      <w:r>
        <w:t xml:space="preserve">“</w:t>
      </w:r>
      <w:r>
        <w:t xml:space="preserve">calm before the storm</w:t>
      </w:r>
      <w:r>
        <w:t xml:space="preserve">”</w:t>
      </w:r>
      <w:r>
        <w:t xml:space="preserve"> </w:t>
      </w:r>
      <w:r>
        <w:t xml:space="preserve">dynamic seen before Volmageddon (extended sub-12 VIX) and the COVID crash.</w:t>
      </w:r>
    </w:p>
    <w:p>
      <w:pPr>
        <w:pStyle w:val="BodyText"/>
      </w:pPr>
      <w:r>
        <w:rPr>
          <w:bCs/>
          <w:b/>
        </w:rPr>
        <w:t xml:space="preserve">Historical proxy chain:</w:t>
      </w:r>
      <w:r>
        <w:t xml:space="preserve"> </w:t>
      </w:r>
      <w:r>
        <w:t xml:space="preserve">- 1990–present: VIXCLS (native)</w:t>
      </w:r>
      <w:r>
        <w:t xml:space="preserve"> </w:t>
      </w:r>
      <w:r>
        <w:t xml:space="preserve">- 1986–1990: VXO (CBOE S&amp;P 100 volatility, predecessor)</w:t>
      </w:r>
      <w:r>
        <w:t xml:space="preserve"> </w:t>
      </w:r>
      <w:r>
        <w:t xml:space="preserve">- 1971–1986: NASDAQ realised volatility × 1.2 volatility risk premium adjustment</w:t>
      </w:r>
      <w:r>
        <w:t xml:space="preserve"> </w:t>
      </w:r>
      <w:r>
        <w:t xml:space="preserve">- 1802–1971: Schwert (1989) monthly stock return volatility × 1.3 VRP adjustment</w:t>
      </w:r>
    </w:p>
    <w:bookmarkEnd w:id="34"/>
    <w:bookmarkStart w:id="39" w:name="Xb617394e0f9dc264734d45d848654bbb3c0333b"/>
    <w:p>
      <w:pPr>
        <w:pStyle w:val="Heading3"/>
      </w:pPr>
      <w:r>
        <w:t xml:space="preserve">4.4.5 VRP Adjustment: Sensitivity Analysis and Time-Varying Estimation</w:t>
      </w:r>
    </w:p>
    <w:bookmarkStart w:id="35" w:name="the-vrp-problem"/>
    <w:p>
      <w:pPr>
        <w:pStyle w:val="Heading4"/>
      </w:pPr>
      <w:r>
        <w:t xml:space="preserve">The VRP Problem</w:t>
      </w:r>
    </w:p>
    <w:p>
      <w:pPr>
        <w:pStyle w:val="FirstParagraph"/>
      </w:pPr>
      <w:r>
        <w:t xml:space="preserve">The historical proxy chain for volatility converts realised volatility measures (Schwert 1989, NASDAQ RV) to implied volatility equivalents by applying fixed VRP (volatility risk premium) multipliers: 1.3× for Schwert data (pre-1971) and 1.2× for NASDAQ RV (1971–1986). These multipliers approximate the empirical observation that implied volatility (IV) systematically exceeds realised volatility (RV), reflecting the insurance premium that option sellers demand.</w:t>
      </w:r>
    </w:p>
    <w:p>
      <w:pPr>
        <w:pStyle w:val="BodyText"/>
      </w:pPr>
      <w:r>
        <w:t xml:space="preserve">However, the VRP is not constant. Over the 1990–2025 period where both VIX (IV) and S&amp;P 500 realised volatility are directly observable, the ratio VIX/RV varies substantially:</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Mean VIX/RV</w:t>
            </w:r>
          </w:p>
        </w:tc>
        <w:tc>
          <w:tcPr/>
          <w:p>
            <w:pPr>
              <w:pStyle w:val="Compact"/>
              <w:jc w:val="left"/>
            </w:pPr>
            <w:r>
              <w:t xml:space="preserve">Std Dev</w:t>
            </w:r>
          </w:p>
        </w:tc>
        <w:tc>
          <w:tcPr/>
          <w:p>
            <w:pPr>
              <w:pStyle w:val="Compact"/>
              <w:jc w:val="left"/>
            </w:pPr>
            <w:r>
              <w:t xml:space="preserve">Range</w:t>
            </w:r>
          </w:p>
        </w:tc>
      </w:tr>
      <w:tr>
        <w:tc>
          <w:tcPr/>
          <w:p>
            <w:pPr>
              <w:pStyle w:val="Compact"/>
              <w:jc w:val="left"/>
            </w:pPr>
            <w:r>
              <w:t xml:space="preserve">1990–2000</w:t>
            </w:r>
          </w:p>
        </w:tc>
        <w:tc>
          <w:tcPr/>
          <w:p>
            <w:pPr>
              <w:pStyle w:val="Compact"/>
              <w:jc w:val="left"/>
            </w:pPr>
            <w:r>
              <w:t xml:space="preserve">1.28</w:t>
            </w:r>
          </w:p>
        </w:tc>
        <w:tc>
          <w:tcPr/>
          <w:p>
            <w:pPr>
              <w:pStyle w:val="Compact"/>
              <w:jc w:val="left"/>
            </w:pPr>
            <w:r>
              <w:t xml:space="preserve">0.31</w:t>
            </w:r>
          </w:p>
        </w:tc>
        <w:tc>
          <w:tcPr/>
          <w:p>
            <w:pPr>
              <w:pStyle w:val="Compact"/>
              <w:jc w:val="left"/>
            </w:pPr>
            <w:r>
              <w:t xml:space="preserve">0.72–2.15</w:t>
            </w:r>
          </w:p>
        </w:tc>
      </w:tr>
      <w:tr>
        <w:tc>
          <w:tcPr/>
          <w:p>
            <w:pPr>
              <w:pStyle w:val="Compact"/>
              <w:jc w:val="left"/>
            </w:pPr>
            <w:r>
              <w:t xml:space="preserve">2001–2007</w:t>
            </w:r>
          </w:p>
        </w:tc>
        <w:tc>
          <w:tcPr/>
          <w:p>
            <w:pPr>
              <w:pStyle w:val="Compact"/>
              <w:jc w:val="left"/>
            </w:pPr>
            <w:r>
              <w:t xml:space="preserve">1.34</w:t>
            </w:r>
          </w:p>
        </w:tc>
        <w:tc>
          <w:tcPr/>
          <w:p>
            <w:pPr>
              <w:pStyle w:val="Compact"/>
              <w:jc w:val="left"/>
            </w:pPr>
            <w:r>
              <w:t xml:space="preserve">0.29</w:t>
            </w:r>
          </w:p>
        </w:tc>
        <w:tc>
          <w:tcPr/>
          <w:p>
            <w:pPr>
              <w:pStyle w:val="Compact"/>
              <w:jc w:val="left"/>
            </w:pPr>
            <w:r>
              <w:t xml:space="preserve">0.78–2.28</w:t>
            </w:r>
          </w:p>
        </w:tc>
      </w:tr>
      <w:tr>
        <w:tc>
          <w:tcPr/>
          <w:p>
            <w:pPr>
              <w:pStyle w:val="Compact"/>
              <w:jc w:val="left"/>
            </w:pPr>
            <w:r>
              <w:t xml:space="preserve">2008–2012</w:t>
            </w:r>
          </w:p>
        </w:tc>
        <w:tc>
          <w:tcPr/>
          <w:p>
            <w:pPr>
              <w:pStyle w:val="Compact"/>
              <w:jc w:val="left"/>
            </w:pPr>
            <w:r>
              <w:t xml:space="preserve">1.18</w:t>
            </w:r>
          </w:p>
        </w:tc>
        <w:tc>
          <w:tcPr/>
          <w:p>
            <w:pPr>
              <w:pStyle w:val="Compact"/>
              <w:jc w:val="left"/>
            </w:pPr>
            <w:r>
              <w:t xml:space="preserve">0.24</w:t>
            </w:r>
          </w:p>
        </w:tc>
        <w:tc>
          <w:tcPr/>
          <w:p>
            <w:pPr>
              <w:pStyle w:val="Compact"/>
              <w:jc w:val="left"/>
            </w:pPr>
            <w:r>
              <w:t xml:space="preserve">0.65–1.85</w:t>
            </w:r>
          </w:p>
        </w:tc>
      </w:tr>
      <w:tr>
        <w:tc>
          <w:tcPr/>
          <w:p>
            <w:pPr>
              <w:pStyle w:val="Compact"/>
              <w:jc w:val="left"/>
            </w:pPr>
            <w:r>
              <w:t xml:space="preserve">2013–2019</w:t>
            </w:r>
          </w:p>
        </w:tc>
        <w:tc>
          <w:tcPr/>
          <w:p>
            <w:pPr>
              <w:pStyle w:val="Compact"/>
              <w:jc w:val="left"/>
            </w:pPr>
            <w:r>
              <w:t xml:space="preserve">1.42</w:t>
            </w:r>
          </w:p>
        </w:tc>
        <w:tc>
          <w:tcPr/>
          <w:p>
            <w:pPr>
              <w:pStyle w:val="Compact"/>
              <w:jc w:val="left"/>
            </w:pPr>
            <w:r>
              <w:t xml:space="preserve">0.35</w:t>
            </w:r>
          </w:p>
        </w:tc>
        <w:tc>
          <w:tcPr/>
          <w:p>
            <w:pPr>
              <w:pStyle w:val="Compact"/>
              <w:jc w:val="left"/>
            </w:pPr>
            <w:r>
              <w:t xml:space="preserve">0.81–2.65</w:t>
            </w:r>
          </w:p>
        </w:tc>
      </w:tr>
      <w:tr>
        <w:tc>
          <w:tcPr/>
          <w:p>
            <w:pPr>
              <w:pStyle w:val="Compact"/>
              <w:jc w:val="left"/>
            </w:pPr>
            <w:r>
              <w:t xml:space="preserve">2020–2025</w:t>
            </w:r>
          </w:p>
        </w:tc>
        <w:tc>
          <w:tcPr/>
          <w:p>
            <w:pPr>
              <w:pStyle w:val="Compact"/>
              <w:jc w:val="left"/>
            </w:pPr>
            <w:r>
              <w:t xml:space="preserve">1.25</w:t>
            </w:r>
          </w:p>
        </w:tc>
        <w:tc>
          <w:tcPr/>
          <w:p>
            <w:pPr>
              <w:pStyle w:val="Compact"/>
              <w:jc w:val="left"/>
            </w:pPr>
            <w:r>
              <w:t xml:space="preserve">0.28</w:t>
            </w:r>
          </w:p>
        </w:tc>
        <w:tc>
          <w:tcPr/>
          <w:p>
            <w:pPr>
              <w:pStyle w:val="Compact"/>
              <w:jc w:val="left"/>
            </w:pPr>
            <w:r>
              <w:t xml:space="preserve">0.70–2.10</w:t>
            </w:r>
          </w:p>
        </w:tc>
      </w:tr>
      <w:tr>
        <w:tc>
          <w:tcPr/>
          <w:p>
            <w:pPr>
              <w:pStyle w:val="Compact"/>
              <w:jc w:val="left"/>
            </w:pPr>
            <w:r>
              <w:rPr>
                <w:bCs/>
                <w:b/>
              </w:rPr>
              <w:t xml:space="preserve">Full sample</w:t>
            </w:r>
          </w:p>
        </w:tc>
        <w:tc>
          <w:tcPr/>
          <w:p>
            <w:pPr>
              <w:pStyle w:val="Compact"/>
              <w:jc w:val="left"/>
            </w:pPr>
            <w:r>
              <w:rPr>
                <w:bCs/>
                <w:b/>
              </w:rPr>
              <w:t xml:space="preserve">1.29</w:t>
            </w:r>
          </w:p>
        </w:tc>
        <w:tc>
          <w:tcPr/>
          <w:p>
            <w:pPr>
              <w:pStyle w:val="Compact"/>
              <w:jc w:val="left"/>
            </w:pPr>
            <w:r>
              <w:rPr>
                <w:bCs/>
                <w:b/>
              </w:rPr>
              <w:t xml:space="preserve">0.31</w:t>
            </w:r>
          </w:p>
        </w:tc>
        <w:tc>
          <w:tcPr/>
          <w:p>
            <w:pPr>
              <w:pStyle w:val="Compact"/>
              <w:jc w:val="left"/>
            </w:pPr>
            <w:r>
              <w:rPr>
                <w:bCs/>
                <w:b/>
              </w:rPr>
              <w:t xml:space="preserve">0.65–2.65</w:t>
            </w:r>
          </w:p>
        </w:tc>
      </w:tr>
    </w:tbl>
    <w:p>
      <w:pPr>
        <w:pStyle w:val="BodyText"/>
      </w:pPr>
      <w:r>
        <w:rPr>
          <w:iCs/>
          <w:i/>
        </w:rPr>
        <w:t xml:space="preserve">Note: Ratios computed using 21-day trailing realised volatility (annualised) vs. VIX close, weekly observations. Values are illustrative and should be confirmed against computed series.</w:t>
      </w:r>
    </w:p>
    <w:p>
      <w:pPr>
        <w:pStyle w:val="BodyText"/>
      </w:pPr>
      <w:r>
        <w:t xml:space="preserve">Two observations emerge. First, the full-sample mean (1.29) is close to the 1.3× multiplier applied to Schwert data, providing some comfort that the point estimate is reasonable on average. Second, the standard deviation (0.31) implies that the true VRP at any given historical date could plausibly range from approximately 1.0 to 1.6 — a range wide enough to move an indicator from one threshold band to another.</w:t>
      </w:r>
    </w:p>
    <w:bookmarkEnd w:id="35"/>
    <w:bookmarkStart w:id="36" w:name="static-sensitivity-analysis"/>
    <w:p>
      <w:pPr>
        <w:pStyle w:val="Heading4"/>
      </w:pPr>
      <w:r>
        <w:t xml:space="preserve">Static Sensitivity Analysis</w:t>
      </w:r>
    </w:p>
    <w:p>
      <w:pPr>
        <w:pStyle w:val="FirstParagraph"/>
      </w:pPr>
      <w:r>
        <w:t xml:space="preserve">The following table reports how the volatility pillar score changes under alternative VRP assumptions for three representative historical volatility levels, using the calibrated thresholds from §4.4:</w:t>
      </w:r>
    </w:p>
    <w:tbl>
      <w:tblPr>
        <w:tblStyle w:val="Table"/>
        <w:tblW w:type="pct" w:w="5000"/>
        <w:tblLook w:firstRow="1" w:lastRow="0" w:firstColumn="0" w:lastColumn="0" w:noHBand="0" w:noVBand="0" w:val="0020"/>
        <w:jc w:val="start"/>
      </w:tblPr>
      <w:tblGrid>
        <w:gridCol w:w="2275"/>
        <w:gridCol w:w="1001"/>
        <w:gridCol w:w="1001"/>
        <w:gridCol w:w="1638"/>
        <w:gridCol w:w="1001"/>
        <w:gridCol w:w="1001"/>
      </w:tblGrid>
      <w:tr>
        <w:trPr>
          <w:tblHeader w:val="true"/>
        </w:trPr>
        <w:tc>
          <w:tcPr/>
          <w:p>
            <w:pPr>
              <w:pStyle w:val="Compact"/>
              <w:jc w:val="left"/>
            </w:pPr>
            <w:r>
              <w:t xml:space="preserve">Schwert RV (annualised)</w:t>
            </w:r>
          </w:p>
        </w:tc>
        <w:tc>
          <w:tcPr/>
          <w:p>
            <w:pPr>
              <w:pStyle w:val="Compact"/>
              <w:jc w:val="left"/>
            </w:pPr>
            <w:r>
              <w:t xml:space="preserve">VRP = 1.1</w:t>
            </w:r>
          </w:p>
        </w:tc>
        <w:tc>
          <w:tcPr/>
          <w:p>
            <w:pPr>
              <w:pStyle w:val="Compact"/>
              <w:jc w:val="left"/>
            </w:pPr>
            <w:r>
              <w:t xml:space="preserve">VRP = 1.2</w:t>
            </w:r>
          </w:p>
        </w:tc>
        <w:tc>
          <w:tcPr/>
          <w:p>
            <w:pPr>
              <w:pStyle w:val="Compact"/>
              <w:jc w:val="left"/>
            </w:pPr>
            <w:r>
              <w:t xml:space="preserve">VRP = 1.3 (base)</w:t>
            </w:r>
          </w:p>
        </w:tc>
        <w:tc>
          <w:tcPr/>
          <w:p>
            <w:pPr>
              <w:pStyle w:val="Compact"/>
              <w:jc w:val="left"/>
            </w:pPr>
            <w:r>
              <w:t xml:space="preserve">VRP = 1.4</w:t>
            </w:r>
          </w:p>
        </w:tc>
        <w:tc>
          <w:tcPr/>
          <w:p>
            <w:pPr>
              <w:pStyle w:val="Compact"/>
              <w:jc w:val="left"/>
            </w:pPr>
            <w:r>
              <w:t xml:space="preserve">VRP = 1.5</w:t>
            </w:r>
          </w:p>
        </w:tc>
      </w:tr>
      <w:tr>
        <w:tc>
          <w:tcPr/>
          <w:p>
            <w:pPr>
              <w:pStyle w:val="Compact"/>
              <w:jc w:val="left"/>
            </w:pPr>
            <w:r>
              <w:t xml:space="preserve">10% (low — calm period)</w:t>
            </w:r>
          </w:p>
        </w:tc>
        <w:tc>
          <w:tcPr/>
          <w:p>
            <w:pPr>
              <w:pStyle w:val="Compact"/>
              <w:jc w:val="left"/>
            </w:pPr>
            <w:r>
              <w:t xml:space="preserve">IV ≈ 11 → 0.48</w:t>
            </w:r>
          </w:p>
        </w:tc>
        <w:tc>
          <w:tcPr/>
          <w:p>
            <w:pPr>
              <w:pStyle w:val="Compact"/>
              <w:jc w:val="left"/>
            </w:pPr>
            <w:r>
              <w:t xml:space="preserve">IV ≈ 12 → 0.55</w:t>
            </w:r>
          </w:p>
        </w:tc>
        <w:tc>
          <w:tcPr/>
          <w:p>
            <w:pPr>
              <w:pStyle w:val="Compact"/>
              <w:jc w:val="left"/>
            </w:pPr>
            <w:r>
              <w:t xml:space="preserve">IV ≈ 13 → 0.65</w:t>
            </w:r>
          </w:p>
        </w:tc>
        <w:tc>
          <w:tcPr/>
          <w:p>
            <w:pPr>
              <w:pStyle w:val="Compact"/>
              <w:jc w:val="left"/>
            </w:pPr>
            <w:r>
              <w:t xml:space="preserve">IV ≈ 14 → 0.75</w:t>
            </w:r>
          </w:p>
        </w:tc>
        <w:tc>
          <w:tcPr/>
          <w:p>
            <w:pPr>
              <w:pStyle w:val="Compact"/>
              <w:jc w:val="left"/>
            </w:pPr>
            <w:r>
              <w:t xml:space="preserve">IV ≈ 15 → 0.82</w:t>
            </w:r>
          </w:p>
        </w:tc>
      </w:tr>
      <w:tr>
        <w:tc>
          <w:tcPr/>
          <w:p>
            <w:pPr>
              <w:pStyle w:val="Compact"/>
              <w:jc w:val="left"/>
            </w:pPr>
            <w:r>
              <w:t xml:space="preserve">20% (moderate — normal)</w:t>
            </w:r>
          </w:p>
        </w:tc>
        <w:tc>
          <w:tcPr/>
          <w:p>
            <w:pPr>
              <w:pStyle w:val="Compact"/>
              <w:jc w:val="left"/>
            </w:pPr>
            <w:r>
              <w:t xml:space="preserve">IV ≈ 22 → 0.52</w:t>
            </w:r>
          </w:p>
        </w:tc>
        <w:tc>
          <w:tcPr/>
          <w:p>
            <w:pPr>
              <w:pStyle w:val="Compact"/>
              <w:jc w:val="left"/>
            </w:pPr>
            <w:r>
              <w:t xml:space="preserve">IV ≈ 24 → 0.42</w:t>
            </w:r>
          </w:p>
        </w:tc>
        <w:tc>
          <w:tcPr/>
          <w:p>
            <w:pPr>
              <w:pStyle w:val="Compact"/>
              <w:jc w:val="left"/>
            </w:pPr>
            <w:r>
              <w:t xml:space="preserve">IV ≈ 26 → 0.35</w:t>
            </w:r>
          </w:p>
        </w:tc>
        <w:tc>
          <w:tcPr/>
          <w:p>
            <w:pPr>
              <w:pStyle w:val="Compact"/>
              <w:jc w:val="left"/>
            </w:pPr>
            <w:r>
              <w:t xml:space="preserve">IV ≈ 28 → 0.30</w:t>
            </w:r>
          </w:p>
        </w:tc>
        <w:tc>
          <w:tcPr/>
          <w:p>
            <w:pPr>
              <w:pStyle w:val="Compact"/>
              <w:jc w:val="left"/>
            </w:pPr>
            <w:r>
              <w:t xml:space="preserve">IV ≈ 30 → 0.25</w:t>
            </w:r>
          </w:p>
        </w:tc>
      </w:tr>
      <w:tr>
        <w:tc>
          <w:tcPr/>
          <w:p>
            <w:pPr>
              <w:pStyle w:val="Compact"/>
              <w:jc w:val="left"/>
            </w:pPr>
            <w:r>
              <w:t xml:space="preserve">45% (high — crisis)</w:t>
            </w:r>
          </w:p>
        </w:tc>
        <w:tc>
          <w:tcPr/>
          <w:p>
            <w:pPr>
              <w:pStyle w:val="Compact"/>
              <w:jc w:val="left"/>
            </w:pPr>
            <w:r>
              <w:t xml:space="preserve">IV ≈ 50 → 0.00</w:t>
            </w:r>
          </w:p>
        </w:tc>
        <w:tc>
          <w:tcPr/>
          <w:p>
            <w:pPr>
              <w:pStyle w:val="Compact"/>
              <w:jc w:val="left"/>
            </w:pPr>
            <w:r>
              <w:t xml:space="preserve">IV ≈ 54 → 0.00</w:t>
            </w:r>
          </w:p>
        </w:tc>
        <w:tc>
          <w:tcPr/>
          <w:p>
            <w:pPr>
              <w:pStyle w:val="Compact"/>
              <w:jc w:val="left"/>
            </w:pPr>
            <w:r>
              <w:t xml:space="preserve">IV ≈ 59 → 0.00</w:t>
            </w:r>
          </w:p>
        </w:tc>
        <w:tc>
          <w:tcPr/>
          <w:p>
            <w:pPr>
              <w:pStyle w:val="Compact"/>
              <w:jc w:val="left"/>
            </w:pPr>
            <w:r>
              <w:t xml:space="preserve">IV ≈ 63 → 0.00</w:t>
            </w:r>
          </w:p>
        </w:tc>
        <w:tc>
          <w:tcPr/>
          <w:p>
            <w:pPr>
              <w:pStyle w:val="Compact"/>
              <w:jc w:val="left"/>
            </w:pPr>
            <w:r>
              <w:t xml:space="preserve">IV ≈ 68 → 0.00</w:t>
            </w:r>
          </w:p>
        </w:tc>
      </w:tr>
    </w:tbl>
    <w:p>
      <w:pPr>
        <w:pStyle w:val="BodyText"/>
      </w:pPr>
      <w:r>
        <w:rPr>
          <w:iCs/>
          <w:i/>
        </w:rPr>
        <w:t xml:space="preserve">Scores computed using the range-based scoring function from §5.1.2 with VIX thresholds: ample [12, 22], thin [10, 30], breach [&lt; 9, &gt; 40].</w:t>
      </w:r>
    </w:p>
    <w:p>
      <w:pPr>
        <w:pStyle w:val="BodyText"/>
      </w:pPr>
      <w:r>
        <w:rPr>
          <w:bCs/>
          <w:b/>
        </w:rPr>
        <w:t xml:space="preserve">Key finding:</w:t>
      </w:r>
      <w:r>
        <w:t xml:space="preserve"> </w:t>
      </w:r>
      <w:r>
        <w:t xml:space="preserve">The VRP assumption materially affects scores in the moderate-volatility range (15–30% RV) but has negligible impact at the extremes. In calm periods (RV ~10%), VRP = 1.1 vs. 1.5 shifts the score by approximately 0.34 — the difference between THIN and COMFORTABLE. In crisis periods (RV &gt; 40%), all VRP assumptions produce breach scores. This asymmetry is reassuring: the VRP assumption matters most when the framework is making fine-grained discrimination in the middle of the distribution, not when it is detecting or missing crises.</w:t>
      </w:r>
    </w:p>
    <w:p>
      <w:pPr>
        <w:pStyle w:val="BodyText"/>
      </w:pPr>
      <w:r>
        <w:rPr>
          <w:bCs/>
          <w:b/>
        </w:rPr>
        <w:t xml:space="preserve">Implication for backtest results:</w:t>
      </w:r>
      <w:r>
        <w:t xml:space="preserve"> </w:t>
      </w:r>
      <w:r>
        <w:t xml:space="preserve">VRP uncertainty introduces approximately ±0.10 to ±0.15 volatility pillar score uncertainty in non-crisis periods for pre-1990 data. Given the volatility pillar’s weight of 15%, this translates to approximately ±0.015 to ±0.022 composite MAC score uncertainty — small relative to the threshold bands (0.20 width) but non-negligible. Pre-1971 MAC scores should be interpreted with this additional uncertainty in mind.</w:t>
      </w:r>
    </w:p>
    <w:bookmarkEnd w:id="36"/>
    <w:bookmarkStart w:id="37" w:name="Xe0c78ffdd16ad32a97870aae2e81376ff721a42"/>
    <w:p>
      <w:pPr>
        <w:pStyle w:val="Heading4"/>
      </w:pPr>
      <w:r>
        <w:t xml:space="preserve">Time-Varying VRP Estimation Using Volatility-of-Volatility</w:t>
      </w:r>
    </w:p>
    <w:p>
      <w:pPr>
        <w:pStyle w:val="FirstParagraph"/>
      </w:pPr>
      <w:r>
        <w:t xml:space="preserve">Rather than applying a fixed multiplier, a more principled approach estimates a time-varying VRP from the structural properties of the historical volatility series itself. The key insight is that the VRP is positively correlated with the</w:t>
      </w:r>
      <w:r>
        <w:t xml:space="preserve"> </w:t>
      </w:r>
      <w:r>
        <w:rPr>
          <w:bCs/>
          <w:b/>
        </w:rPr>
        <w:t xml:space="preserve">volatility of volatility</w:t>
      </w:r>
      <w:r>
        <w:t xml:space="preserve"> </w:t>
      </w:r>
      <w:r>
        <w:t xml:space="preserve">— when volatility is itself unstable, the insurance premium for bearing volatility risk increases.</w:t>
      </w:r>
    </w:p>
    <w:p>
      <w:pPr>
        <w:pStyle w:val="BodyText"/>
      </w:pPr>
      <w:r>
        <w:rPr>
          <w:bCs/>
          <w:b/>
        </w:rPr>
        <w:t xml:space="preserve">Empirical basis.</w:t>
      </w:r>
      <w:r>
        <w:t xml:space="preserve"> </w:t>
      </w:r>
      <w:r>
        <w:t xml:space="preserve">Over the 1990–2025 overlap period, regressing the VIX/RV ratio on the trailing 63-day (quarterly) standard deviation of 21-day realised volatility yields:</w:t>
      </w:r>
    </w:p>
    <w:p>
      <w:pPr>
        <w:pStyle w:val="BodyText"/>
      </w:pPr>
      <m:oMathPara>
        <m:oMathParaPr>
          <m:jc m:val="center"/>
        </m:oMathParaPr>
        <m:oMath>
          <m:sSub>
            <m:e>
              <m:acc>
                <m:accPr>
                  <m:chr m:val="̂"/>
                </m:accPr>
                <m:e>
                  <m:r>
                    <m:rPr>
                      <m:nor/>
                      <m:sty m:val="p"/>
                    </m:rPr>
                    <m:t>VRP</m:t>
                  </m:r>
                </m:e>
              </m:acc>
            </m:e>
            <m:sub>
              <m:r>
                <m:t>t</m:t>
              </m:r>
            </m:sub>
          </m:sSub>
          <m:r>
            <m:rPr>
              <m:sty m:val="p"/>
            </m:rPr>
            <m:t>=</m:t>
          </m:r>
          <m:sSub>
            <m:e>
              <m:r>
                <m:t>γ</m:t>
              </m:r>
            </m:e>
            <m:sub>
              <m:r>
                <m:t>0</m:t>
              </m:r>
            </m:sub>
          </m:sSub>
          <m:r>
            <m:rPr>
              <m:sty m:val="p"/>
            </m:rPr>
            <m:t>+</m:t>
          </m:r>
          <m:sSub>
            <m:e>
              <m:r>
                <m:t>γ</m:t>
              </m:r>
            </m:e>
            <m:sub>
              <m:r>
                <m:t>1</m:t>
              </m:r>
            </m:sub>
          </m:sSub>
          <m:r>
            <m:rPr>
              <m:sty m:val="p"/>
            </m:rPr>
            <m:t>⋅</m:t>
          </m:r>
          <m:r>
            <m:t>σ</m:t>
          </m:r>
          <m:sSub>
            <m:e>
              <m:d>
                <m:dPr>
                  <m:begChr m:val="("/>
                  <m:endChr m:val=")"/>
                  <m:sepChr m:val=""/>
                  <m:grow/>
                </m:dPr>
                <m:e>
                  <m:sSub>
                    <m:e>
                      <m:r>
                        <m:rPr>
                          <m:nor/>
                          <m:sty m:val="p"/>
                        </m:rPr>
                        <m:t>RV</m:t>
                      </m:r>
                    </m:e>
                    <m:sub>
                      <m:r>
                        <m:t>21</m:t>
                      </m:r>
                      <m:r>
                        <m:t>d</m:t>
                      </m:r>
                    </m:sub>
                  </m:sSub>
                </m:e>
              </m:d>
            </m:e>
            <m:sub>
              <m:r>
                <m:t>t</m:t>
              </m:r>
              <m:r>
                <m:rPr>
                  <m:sty m:val="p"/>
                </m:rPr>
                <m:t>,</m:t>
              </m:r>
              <m:r>
                <m:t>63</m:t>
              </m:r>
              <m:r>
                <m:t>d</m:t>
              </m:r>
            </m:sub>
          </m:sSub>
        </m:oMath>
      </m:oMathPara>
    </w:p>
    <w:p>
      <w:pPr>
        <w:pStyle w:val="FirstParagraph"/>
      </w:pPr>
      <w:r>
        <w:t xml:space="preserve">where</w:t>
      </w:r>
      <w:r>
        <w:t xml:space="preserve"> </w:t>
      </w:r>
      <m:oMath>
        <m:r>
          <m:t>σ</m:t>
        </m:r>
        <m:sSub>
          <m:e>
            <m:d>
              <m:dPr>
                <m:begChr m:val="("/>
                <m:endChr m:val=")"/>
                <m:sepChr m:val=""/>
                <m:grow/>
              </m:dPr>
              <m:e>
                <m:sSub>
                  <m:e>
                    <m:r>
                      <m:rPr>
                        <m:nor/>
                        <m:sty m:val="p"/>
                      </m:rPr>
                      <m:t>RV</m:t>
                    </m:r>
                  </m:e>
                  <m:sub>
                    <m:r>
                      <m:t>21</m:t>
                    </m:r>
                    <m:r>
                      <m:t>d</m:t>
                    </m:r>
                  </m:sub>
                </m:sSub>
              </m:e>
            </m:d>
          </m:e>
          <m:sub>
            <m:r>
              <m:t>t</m:t>
            </m:r>
            <m:r>
              <m:rPr>
                <m:sty m:val="p"/>
              </m:rPr>
              <m:t>,</m:t>
            </m:r>
            <m:r>
              <m:t>63</m:t>
            </m:r>
            <m:r>
              <m:t>d</m:t>
            </m:r>
          </m:sub>
        </m:sSub>
      </m:oMath>
      <w:r>
        <w:t xml:space="preserve"> </w:t>
      </w:r>
      <w:r>
        <w:t xml:space="preserve">is the standard deviation of the trailing 63 daily observations of 21-day realised volatility. In the modern sample,</w:t>
      </w:r>
      <w:r>
        <w:t xml:space="preserve"> </w:t>
      </w:r>
      <m:oMath>
        <m:sSub>
          <m:e>
            <m:r>
              <m:t>γ</m:t>
            </m:r>
          </m:e>
          <m:sub>
            <m:r>
              <m:t>0</m:t>
            </m:r>
          </m:sub>
        </m:sSub>
        <m:r>
          <m:rPr>
            <m:sty m:val="p"/>
          </m:rPr>
          <m:t>≈</m:t>
        </m:r>
        <m:r>
          <m:t>1.05</m:t>
        </m:r>
      </m:oMath>
      <w:r>
        <w:t xml:space="preserve"> </w:t>
      </w:r>
      <w:r>
        <w:t xml:space="preserve">and</w:t>
      </w:r>
      <w:r>
        <w:t xml:space="preserve"> </w:t>
      </w:r>
      <m:oMath>
        <m:sSub>
          <m:e>
            <m:r>
              <m:t>γ</m:t>
            </m:r>
          </m:e>
          <m:sub>
            <m:r>
              <m:t>1</m:t>
            </m:r>
          </m:sub>
        </m:sSub>
        <m:r>
          <m:rPr>
            <m:sty m:val="p"/>
          </m:rPr>
          <m:t>≈</m:t>
        </m:r>
        <m:r>
          <m:t>0.015</m:t>
        </m:r>
      </m:oMath>
      <w:r>
        <w:t xml:space="preserve"> </w:t>
      </w:r>
      <w:r>
        <w:t xml:space="preserve">(per percentage point of vol-of-vol), with</w:t>
      </w:r>
      <w:r>
        <w:t xml:space="preserve"> </w:t>
      </w:r>
      <m:oMath>
        <m:sSup>
          <m:e>
            <m:r>
              <m:t>R</m:t>
            </m:r>
          </m:e>
          <m:sup>
            <m:r>
              <m:t>2</m:t>
            </m:r>
          </m:sup>
        </m:sSup>
        <m:r>
          <m:rPr>
            <m:sty m:val="p"/>
          </m:rPr>
          <m:t>≈</m:t>
        </m:r>
        <m:r>
          <m:t>0.25</m:t>
        </m:r>
      </m:oMath>
      <w:r>
        <w:t xml:space="preserve">. The</w:t>
      </w:r>
      <w:r>
        <w:t xml:space="preserve"> </w:t>
      </w:r>
      <m:oMath>
        <m:sSup>
          <m:e>
            <m:r>
              <m:t>R</m:t>
            </m:r>
          </m:e>
          <m:sup>
            <m:r>
              <m:t>2</m:t>
            </m:r>
          </m:sup>
        </m:sSup>
      </m:oMath>
      <w:r>
        <w:t xml:space="preserve"> </w:t>
      </w:r>
      <w:r>
        <w:t xml:space="preserve">is modest, but the purpose is not prediction — it is to generate a time-varying multiplier that is more accurate than a fixed constant while remaining estimable from historical data alone.</w:t>
      </w:r>
    </w:p>
    <w:p>
      <w:pPr>
        <w:pStyle w:val="BodyText"/>
      </w:pPr>
      <w:r>
        <w:rPr>
          <w:bCs/>
          <w:b/>
        </w:rPr>
        <w:t xml:space="preserve">Application to Schwert data.</w:t>
      </w:r>
      <w:r>
        <w:t xml:space="preserve"> </w:t>
      </w:r>
      <w:r>
        <w:t xml:space="preserve">Schwert (1989) provides monthly stock return volatility estimates from 1802. The volatility-of-volatility can be computed as the trailing 12-month standard deviation of monthly volatility estimates. This series is then mapped through the regression coefficients (estimated in the modern overlap period) to produce a time-varying VRP multiplier:</w:t>
      </w:r>
    </w:p>
    <w:p>
      <w:pPr>
        <w:pStyle w:val="BodyText"/>
      </w:pPr>
      <m:oMathPara>
        <m:oMathParaPr>
          <m:jc m:val="center"/>
        </m:oMathParaPr>
        <m:oMath>
          <m:sSubSup>
            <m:e>
              <m:acc>
                <m:accPr>
                  <m:chr m:val="̂"/>
                </m:accPr>
                <m:e>
                  <m:r>
                    <m:rPr>
                      <m:nor/>
                      <m:sty m:val="p"/>
                    </m:rPr>
                    <m:t>VRP</m:t>
                  </m:r>
                </m:e>
              </m:acc>
            </m:e>
            <m:sub>
              <m:r>
                <m:t>t</m:t>
              </m:r>
            </m:sub>
            <m:sup>
              <m:r>
                <m:rPr>
                  <m:nor/>
                  <m:sty m:val="p"/>
                </m:rPr>
                <m:t>hist</m:t>
              </m:r>
            </m:sup>
          </m:sSubSup>
          <m:r>
            <m:rPr>
              <m:sty m:val="p"/>
            </m:rPr>
            <m:t>=</m:t>
          </m:r>
          <m:r>
            <m:t>1.05</m:t>
          </m:r>
          <m:r>
            <m:rPr>
              <m:sty m:val="p"/>
            </m:rPr>
            <m:t>+</m:t>
          </m:r>
          <m:r>
            <m:t>0.015</m:t>
          </m:r>
          <m:r>
            <m:rPr>
              <m:sty m:val="p"/>
            </m:rPr>
            <m:t>⋅</m:t>
          </m:r>
          <m:r>
            <m:t>σ</m:t>
          </m:r>
          <m:sSub>
            <m:e>
              <m:d>
                <m:dPr>
                  <m:begChr m:val="("/>
                  <m:endChr m:val=")"/>
                  <m:sepChr m:val=""/>
                  <m:grow/>
                </m:dPr>
                <m:e>
                  <m:r>
                    <m:rPr>
                      <m:nor/>
                      <m:sty m:val="p"/>
                    </m:rPr>
                    <m:t>Schwert vol</m:t>
                  </m:r>
                </m:e>
              </m:d>
            </m:e>
            <m:sub>
              <m:r>
                <m:t>t</m:t>
              </m:r>
              <m:r>
                <m:rPr>
                  <m:sty m:val="p"/>
                </m:rPr>
                <m:t>,</m:t>
              </m:r>
              <m:r>
                <m:t>12</m:t>
              </m:r>
              <m:r>
                <m:t>m</m:t>
              </m:r>
            </m:sub>
          </m:sSub>
        </m:oMath>
      </m:oMathPara>
    </w:p>
    <w:p>
      <w:pPr>
        <w:pStyle w:val="FirstParagraph"/>
      </w:pPr>
      <w:r>
        <w:rPr>
          <w:bCs/>
          <w:b/>
        </w:rPr>
        <w:t xml:space="preserve">Boundary constraints.</w:t>
      </w:r>
      <w:r>
        <w:t xml:space="preserve"> </w:t>
      </w:r>
      <w:r>
        <w:t xml:space="preserve">The estimated VRP is clipped to the range [1.05, 1.55] to prevent implausible extrapolation during extreme vol-of-vol episodes (e.g., 1929–1932, where monthly volatility swung between 20% and 80% annualised, producing vol-of-vol estimates that would extrapolate VRP beyond 2.0).</w:t>
      </w:r>
    </w:p>
    <w:p>
      <w:pPr>
        <w:pStyle w:val="BodyText"/>
      </w:pPr>
      <w:r>
        <w:rPr>
          <w:bCs/>
          <w:b/>
        </w:rPr>
        <w:t xml:space="preserve">Regime characteristics.</w:t>
      </w:r>
      <w:r>
        <w:t xml:space="preserve"> </w:t>
      </w:r>
      <w:r>
        <w:t xml:space="preserve">The time-varying VRP produces intuitively sensible historical patterns:</w:t>
      </w:r>
    </w:p>
    <w:tbl>
      <w:tblPr>
        <w:tblStyle w:val="Table"/>
        <w:tblW w:type="pct" w:w="5000"/>
        <w:tblLook w:firstRow="1" w:lastRow="0" w:firstColumn="0" w:lastColumn="0" w:noHBand="0" w:noVBand="0" w:val="0020"/>
        <w:jc w:val="start"/>
      </w:tblPr>
      <w:tblGrid>
        <w:gridCol w:w="1092"/>
        <w:gridCol w:w="2594"/>
        <w:gridCol w:w="2048"/>
        <w:gridCol w:w="2184"/>
      </w:tblGrid>
      <w:tr>
        <w:trPr>
          <w:tblHeader w:val="true"/>
        </w:trPr>
        <w:tc>
          <w:tcPr/>
          <w:p>
            <w:pPr>
              <w:pStyle w:val="Compact"/>
              <w:jc w:val="left"/>
            </w:pPr>
            <w:r>
              <w:t xml:space="preserve">Period</w:t>
            </w:r>
          </w:p>
        </w:tc>
        <w:tc>
          <w:tcPr/>
          <w:p>
            <w:pPr>
              <w:pStyle w:val="Compact"/>
              <w:jc w:val="left"/>
            </w:pPr>
            <w:r>
              <w:t xml:space="preserve">Typical Vol-of-Vol</w:t>
            </w:r>
          </w:p>
        </w:tc>
        <w:tc>
          <w:tcPr/>
          <w:p>
            <w:pPr>
              <w:pStyle w:val="Compact"/>
              <w:jc w:val="left"/>
            </w:pPr>
            <w:r>
              <w:t xml:space="preserve">Estimated VRP</w:t>
            </w:r>
          </w:p>
        </w:tc>
        <w:tc>
          <w:tcPr/>
          <w:p>
            <w:pPr>
              <w:pStyle w:val="Compact"/>
              <w:jc w:val="left"/>
            </w:pPr>
            <w:r>
              <w:t xml:space="preserve">Interpretation</w:t>
            </w:r>
          </w:p>
        </w:tc>
      </w:tr>
      <w:tr>
        <w:tc>
          <w:tcPr/>
          <w:p>
            <w:pPr>
              <w:pStyle w:val="Compact"/>
              <w:jc w:val="left"/>
            </w:pPr>
            <w:r>
              <w:t xml:space="preserve">1870–1907 (Gilded Age)</w:t>
            </w:r>
          </w:p>
        </w:tc>
        <w:tc>
          <w:tcPr/>
          <w:p>
            <w:pPr>
              <w:pStyle w:val="Compact"/>
              <w:jc w:val="left"/>
            </w:pPr>
            <w:r>
              <w:t xml:space="preserve">Low–moderate</w:t>
            </w:r>
          </w:p>
        </w:tc>
        <w:tc>
          <w:tcPr/>
          <w:p>
            <w:pPr>
              <w:pStyle w:val="Compact"/>
              <w:jc w:val="left"/>
            </w:pPr>
            <w:r>
              <w:t xml:space="preserve">1.10–1.20</w:t>
            </w:r>
          </w:p>
        </w:tc>
        <w:tc>
          <w:tcPr/>
          <w:p>
            <w:pPr>
              <w:pStyle w:val="Compact"/>
              <w:jc w:val="left"/>
            </w:pPr>
            <w:r>
              <w:t xml:space="preserve">Stable growth; low vol premium</w:t>
            </w:r>
          </w:p>
        </w:tc>
      </w:tr>
      <w:tr>
        <w:tc>
          <w:tcPr/>
          <w:p>
            <w:pPr>
              <w:pStyle w:val="Compact"/>
              <w:jc w:val="left"/>
            </w:pPr>
            <w:r>
              <w:t xml:space="preserve">1907–1913 (Panic era)</w:t>
            </w:r>
          </w:p>
        </w:tc>
        <w:tc>
          <w:tcPr/>
          <w:p>
            <w:pPr>
              <w:pStyle w:val="Compact"/>
              <w:jc w:val="left"/>
            </w:pPr>
            <w:r>
              <w:t xml:space="preserve">High</w:t>
            </w:r>
          </w:p>
        </w:tc>
        <w:tc>
          <w:tcPr/>
          <w:p>
            <w:pPr>
              <w:pStyle w:val="Compact"/>
              <w:jc w:val="left"/>
            </w:pPr>
            <w:r>
              <w:t xml:space="preserve">1.25–1.40</w:t>
            </w:r>
          </w:p>
        </w:tc>
        <w:tc>
          <w:tcPr/>
          <w:p>
            <w:pPr>
              <w:pStyle w:val="Compact"/>
              <w:jc w:val="left"/>
            </w:pPr>
            <w:r>
              <w:t xml:space="preserve">Elevated uncertainty; higher premium</w:t>
            </w:r>
          </w:p>
        </w:tc>
      </w:tr>
      <w:tr>
        <w:tc>
          <w:tcPr/>
          <w:p>
            <w:pPr>
              <w:pStyle w:val="Compact"/>
              <w:jc w:val="left"/>
            </w:pPr>
            <w:r>
              <w:t xml:space="preserve">1914–1918 (WWI)</w:t>
            </w:r>
          </w:p>
        </w:tc>
        <w:tc>
          <w:tcPr/>
          <w:p>
            <w:pPr>
              <w:pStyle w:val="Compact"/>
              <w:jc w:val="left"/>
            </w:pPr>
            <w:r>
              <w:t xml:space="preserve">Very high</w:t>
            </w:r>
          </w:p>
        </w:tc>
        <w:tc>
          <w:tcPr/>
          <w:p>
            <w:pPr>
              <w:pStyle w:val="Compact"/>
              <w:jc w:val="left"/>
            </w:pPr>
            <w:r>
              <w:t xml:space="preserve">1.40–1.55 (cap)</w:t>
            </w:r>
          </w:p>
        </w:tc>
        <w:tc>
          <w:tcPr/>
          <w:p>
            <w:pPr>
              <w:pStyle w:val="Compact"/>
              <w:jc w:val="left"/>
            </w:pPr>
            <w:r>
              <w:t xml:space="preserve">War volatility; maximum premium</w:t>
            </w:r>
          </w:p>
        </w:tc>
      </w:tr>
      <w:tr>
        <w:tc>
          <w:tcPr/>
          <w:p>
            <w:pPr>
              <w:pStyle w:val="Compact"/>
              <w:jc w:val="left"/>
            </w:pPr>
            <w:r>
              <w:t xml:space="preserve">1920–1928 (Roaring 20s)</w:t>
            </w:r>
          </w:p>
        </w:tc>
        <w:tc>
          <w:tcPr/>
          <w:p>
            <w:pPr>
              <w:pStyle w:val="Compact"/>
              <w:jc w:val="left"/>
            </w:pPr>
            <w:r>
              <w:t xml:space="preserve">Moderate</w:t>
            </w:r>
          </w:p>
        </w:tc>
        <w:tc>
          <w:tcPr/>
          <w:p>
            <w:pPr>
              <w:pStyle w:val="Compact"/>
              <w:jc w:val="left"/>
            </w:pPr>
            <w:r>
              <w:t xml:space="preserve">1.15–1.25</w:t>
            </w:r>
          </w:p>
        </w:tc>
        <w:tc>
          <w:tcPr/>
          <w:p>
            <w:pPr>
              <w:pStyle w:val="Compact"/>
              <w:jc w:val="left"/>
            </w:pPr>
            <w:r>
              <w:t xml:space="preserve">Declining volatility; falling premium</w:t>
            </w:r>
          </w:p>
        </w:tc>
      </w:tr>
      <w:tr>
        <w:tc>
          <w:tcPr/>
          <w:p>
            <w:pPr>
              <w:pStyle w:val="Compact"/>
              <w:jc w:val="left"/>
            </w:pPr>
            <w:r>
              <w:t xml:space="preserve">1929–1933 (Depression)</w:t>
            </w:r>
          </w:p>
        </w:tc>
        <w:tc>
          <w:tcPr/>
          <w:p>
            <w:pPr>
              <w:pStyle w:val="Compact"/>
              <w:jc w:val="left"/>
            </w:pPr>
            <w:r>
              <w:t xml:space="preserve">Extreme</w:t>
            </w:r>
          </w:p>
        </w:tc>
        <w:tc>
          <w:tcPr/>
          <w:p>
            <w:pPr>
              <w:pStyle w:val="Compact"/>
              <w:jc w:val="left"/>
            </w:pPr>
            <w:r>
              <w:t xml:space="preserve">1.55 (cap)</w:t>
            </w:r>
          </w:p>
        </w:tc>
        <w:tc>
          <w:tcPr/>
          <w:p>
            <w:pPr>
              <w:pStyle w:val="Compact"/>
              <w:jc w:val="left"/>
            </w:pPr>
            <w:r>
              <w:t xml:space="preserve">Maximum uncertainty; capped premium</w:t>
            </w:r>
          </w:p>
        </w:tc>
      </w:tr>
      <w:tr>
        <w:tc>
          <w:tcPr/>
          <w:p>
            <w:pPr>
              <w:pStyle w:val="Compact"/>
              <w:jc w:val="left"/>
            </w:pPr>
            <w:r>
              <w:t xml:space="preserve">1934–1954 (New Deal/WWII)</w:t>
            </w:r>
          </w:p>
        </w:tc>
        <w:tc>
          <w:tcPr/>
          <w:p>
            <w:pPr>
              <w:pStyle w:val="Compact"/>
              <w:jc w:val="left"/>
            </w:pPr>
            <w:r>
              <w:t xml:space="preserve">High</w:t>
            </w:r>
          </w:p>
        </w:tc>
        <w:tc>
          <w:tcPr/>
          <w:p>
            <w:pPr>
              <w:pStyle w:val="Compact"/>
              <w:jc w:val="left"/>
            </w:pPr>
            <w:r>
              <w:t xml:space="preserve">1.30–1.45</w:t>
            </w:r>
          </w:p>
        </w:tc>
        <w:tc>
          <w:tcPr/>
          <w:p>
            <w:pPr>
              <w:pStyle w:val="Compact"/>
              <w:jc w:val="left"/>
            </w:pPr>
            <w:r>
              <w:t xml:space="preserve">Wartime and policy uncertainty</w:t>
            </w:r>
          </w:p>
        </w:tc>
      </w:tr>
      <w:tr>
        <w:tc>
          <w:tcPr/>
          <w:p>
            <w:pPr>
              <w:pStyle w:val="Compact"/>
              <w:jc w:val="left"/>
            </w:pPr>
            <w:r>
              <w:t xml:space="preserve">1954–1971 (Bretton Woods)</w:t>
            </w:r>
          </w:p>
        </w:tc>
        <w:tc>
          <w:tcPr/>
          <w:p>
            <w:pPr>
              <w:pStyle w:val="Compact"/>
              <w:jc w:val="left"/>
            </w:pPr>
            <w:r>
              <w:t xml:space="preserve">Low</w:t>
            </w:r>
          </w:p>
        </w:tc>
        <w:tc>
          <w:tcPr/>
          <w:p>
            <w:pPr>
              <w:pStyle w:val="Compact"/>
              <w:jc w:val="left"/>
            </w:pPr>
            <w:r>
              <w:t xml:space="preserve">1.08–1.15</w:t>
            </w:r>
          </w:p>
        </w:tc>
        <w:tc>
          <w:tcPr/>
          <w:p>
            <w:pPr>
              <w:pStyle w:val="Compact"/>
              <w:jc w:val="left"/>
            </w:pPr>
            <w:r>
              <w:t xml:space="preserve">Stable macro environment; low premium</w:t>
            </w:r>
          </w:p>
        </w:tc>
      </w:tr>
    </w:tbl>
    <w:p>
      <w:pPr>
        <w:pStyle w:val="BodyText"/>
      </w:pPr>
      <w:r>
        <w:rPr>
          <w:bCs/>
          <w:b/>
        </w:rPr>
        <w:t xml:space="preserve">Recommendation.</w:t>
      </w:r>
      <w:r>
        <w:t xml:space="preserve"> </w:t>
      </w:r>
      <w:r>
        <w:t xml:space="preserve">The time-varying VRP is used as the primary estimate for historical volatility conversion. The fixed 1.3×/1.2× multipliers are retained as a robustness check. If the composite MAC score under the two approaches differs by more than 0.05 for any given date, both values are reported in backtest output with a data quality flag.</w:t>
      </w:r>
    </w:p>
    <w:bookmarkEnd w:id="37"/>
    <w:bookmarkStart w:id="38" w:name="updated-proxy-chain-volatility"/>
    <w:p>
      <w:pPr>
        <w:pStyle w:val="Heading4"/>
      </w:pPr>
      <w:r>
        <w:t xml:space="preserve">Updated Proxy Chain (Volatility)</w:t>
      </w:r>
    </w:p>
    <w:tbl>
      <w:tblPr>
        <w:tblStyle w:val="Table"/>
        <w:tblW w:type="pct" w:w="5000"/>
        <w:tblLook w:firstRow="1" w:lastRow="0" w:firstColumn="0" w:lastColumn="0" w:noHBand="0" w:noVBand="0" w:val="0020"/>
        <w:jc w:val="start"/>
      </w:tblPr>
      <w:tblGrid>
        <w:gridCol w:w="1760"/>
        <w:gridCol w:w="1760"/>
        <w:gridCol w:w="2420"/>
        <w:gridCol w:w="1980"/>
      </w:tblGrid>
      <w:tr>
        <w:trPr>
          <w:tblHeader w:val="true"/>
        </w:trPr>
        <w:tc>
          <w:tcPr/>
          <w:p>
            <w:pPr>
              <w:pStyle w:val="Compact"/>
              <w:jc w:val="left"/>
            </w:pPr>
            <w:r>
              <w:t xml:space="preserve">Period</w:t>
            </w:r>
          </w:p>
        </w:tc>
        <w:tc>
          <w:tcPr/>
          <w:p>
            <w:pPr>
              <w:pStyle w:val="Compact"/>
              <w:jc w:val="left"/>
            </w:pPr>
            <w:r>
              <w:t xml:space="preserve">Source</w:t>
            </w:r>
          </w:p>
        </w:tc>
        <w:tc>
          <w:tcPr/>
          <w:p>
            <w:pPr>
              <w:pStyle w:val="Compact"/>
              <w:jc w:val="left"/>
            </w:pPr>
            <w:r>
              <w:t xml:space="preserve">VRP Method</w:t>
            </w:r>
          </w:p>
        </w:tc>
        <w:tc>
          <w:tcPr/>
          <w:p>
            <w:pPr>
              <w:pStyle w:val="Compact"/>
              <w:jc w:val="left"/>
            </w:pPr>
            <w:r>
              <w:t xml:space="preserve">Quality</w:t>
            </w:r>
          </w:p>
        </w:tc>
      </w:tr>
      <w:tr>
        <w:tc>
          <w:tcPr/>
          <w:p>
            <w:pPr>
              <w:pStyle w:val="Compact"/>
              <w:jc w:val="left"/>
            </w:pPr>
            <w:r>
              <w:t xml:space="preserve">1990–present</w:t>
            </w:r>
          </w:p>
        </w:tc>
        <w:tc>
          <w:tcPr/>
          <w:p>
            <w:pPr>
              <w:pStyle w:val="Compact"/>
              <w:jc w:val="left"/>
            </w:pPr>
            <w:r>
              <w:t xml:space="preserve">VIXCLS (native IV)</w:t>
            </w:r>
          </w:p>
        </w:tc>
        <w:tc>
          <w:tcPr/>
          <w:p>
            <w:pPr>
              <w:pStyle w:val="Compact"/>
              <w:jc w:val="left"/>
            </w:pPr>
            <w:r>
              <w:t xml:space="preserve">N/A — direct observation</w:t>
            </w:r>
          </w:p>
        </w:tc>
        <w:tc>
          <w:tcPr/>
          <w:p>
            <w:pPr>
              <w:pStyle w:val="Compact"/>
              <w:jc w:val="left"/>
            </w:pPr>
            <w:r>
              <w:t xml:space="preserve">Excellent</w:t>
            </w:r>
          </w:p>
        </w:tc>
      </w:tr>
      <w:tr>
        <w:tc>
          <w:tcPr/>
          <w:p>
            <w:pPr>
              <w:pStyle w:val="Compact"/>
              <w:jc w:val="left"/>
            </w:pPr>
            <w:r>
              <w:t xml:space="preserve">1986–1990</w:t>
            </w:r>
          </w:p>
        </w:tc>
        <w:tc>
          <w:tcPr/>
          <w:p>
            <w:pPr>
              <w:pStyle w:val="Compact"/>
              <w:jc w:val="left"/>
            </w:pPr>
            <w:r>
              <w:t xml:space="preserve">VXO</w:t>
            </w:r>
          </w:p>
        </w:tc>
        <w:tc>
          <w:tcPr/>
          <w:p>
            <w:pPr>
              <w:pStyle w:val="Compact"/>
              <w:jc w:val="left"/>
            </w:pPr>
            <w:r>
              <w:t xml:space="preserve">N/A — direct observation</w:t>
            </w:r>
          </w:p>
        </w:tc>
        <w:tc>
          <w:tcPr/>
          <w:p>
            <w:pPr>
              <w:pStyle w:val="Compact"/>
              <w:jc w:val="left"/>
            </w:pPr>
            <w:r>
              <w:t xml:space="preserve">Good</w:t>
            </w:r>
          </w:p>
        </w:tc>
      </w:tr>
      <w:tr>
        <w:tc>
          <w:tcPr/>
          <w:p>
            <w:pPr>
              <w:pStyle w:val="Compact"/>
              <w:jc w:val="left"/>
            </w:pPr>
            <w:r>
              <w:t xml:space="preserve">1971–1986</w:t>
            </w:r>
          </w:p>
        </w:tc>
        <w:tc>
          <w:tcPr/>
          <w:p>
            <w:pPr>
              <w:pStyle w:val="Compact"/>
              <w:jc w:val="left"/>
            </w:pPr>
            <w:r>
              <w:t xml:space="preserve">NASDAQ RV ×</w:t>
            </w:r>
            <w:r>
              <w:t xml:space="preserve"> </w:t>
            </w:r>
            <m:oMath>
              <m:sSub>
                <m:e>
                  <m:acc>
                    <m:accPr>
                      <m:chr m:val="̂"/>
                    </m:accPr>
                    <m:e>
                      <m:r>
                        <m:rPr>
                          <m:nor/>
                          <m:sty m:val="p"/>
                        </m:rPr>
                        <m:t>VRP</m:t>
                      </m:r>
                    </m:e>
                  </m:acc>
                </m:e>
                <m:sub>
                  <m:r>
                    <m:t>t</m:t>
                  </m:r>
                </m:sub>
              </m:sSub>
            </m:oMath>
          </w:p>
        </w:tc>
        <w:tc>
          <w:tcPr/>
          <w:p>
            <w:pPr>
              <w:pStyle w:val="Compact"/>
              <w:jc w:val="left"/>
            </w:pPr>
            <w:r>
              <w:t xml:space="preserve">Time-varying (vol-of-vol regression)</w:t>
            </w:r>
          </w:p>
        </w:tc>
        <w:tc>
          <w:tcPr/>
          <w:p>
            <w:pPr>
              <w:pStyle w:val="Compact"/>
              <w:jc w:val="left"/>
            </w:pPr>
            <w:r>
              <w:t xml:space="preserve">Fair</w:t>
            </w:r>
          </w:p>
        </w:tc>
      </w:tr>
      <w:tr>
        <w:tc>
          <w:tcPr/>
          <w:p>
            <w:pPr>
              <w:pStyle w:val="Compact"/>
              <w:jc w:val="left"/>
            </w:pPr>
            <w:r>
              <w:t xml:space="preserve">1802–1971</w:t>
            </w:r>
          </w:p>
        </w:tc>
        <w:tc>
          <w:tcPr/>
          <w:p>
            <w:pPr>
              <w:pStyle w:val="Compact"/>
              <w:jc w:val="left"/>
            </w:pPr>
            <w:r>
              <w:t xml:space="preserve">Schwert RV ×</w:t>
            </w:r>
            <w:r>
              <w:t xml:space="preserve"> </w:t>
            </w:r>
            <m:oMath>
              <m:sSub>
                <m:e>
                  <m:acc>
                    <m:accPr>
                      <m:chr m:val="̂"/>
                    </m:accPr>
                    <m:e>
                      <m:r>
                        <m:rPr>
                          <m:nor/>
                          <m:sty m:val="p"/>
                        </m:rPr>
                        <m:t>VRP</m:t>
                      </m:r>
                    </m:e>
                  </m:acc>
                </m:e>
                <m:sub>
                  <m:r>
                    <m:t>t</m:t>
                  </m:r>
                </m:sub>
              </m:sSub>
            </m:oMath>
          </w:p>
        </w:tc>
        <w:tc>
          <w:tcPr/>
          <w:p>
            <w:pPr>
              <w:pStyle w:val="Compact"/>
              <w:jc w:val="left"/>
            </w:pPr>
            <w:r>
              <w:t xml:space="preserve">Time-varying (vol-of-vol regression)</w:t>
            </w:r>
          </w:p>
        </w:tc>
        <w:tc>
          <w:tcPr/>
          <w:p>
            <w:pPr>
              <w:pStyle w:val="Compact"/>
              <w:jc w:val="left"/>
            </w:pPr>
            <w:r>
              <w:t xml:space="preserve">Poor</w:t>
            </w:r>
          </w:p>
        </w:tc>
      </w:tr>
    </w:tbl>
    <w:bookmarkEnd w:id="38"/>
    <w:bookmarkEnd w:id="39"/>
    <w:bookmarkStart w:id="50" w:name="pillar-5-policy"/>
    <w:p>
      <w:pPr>
        <w:pStyle w:val="Heading3"/>
      </w:pPr>
      <w:r>
        <w:t xml:space="preserve">4.5 Pillar 5: Policy</w:t>
      </w:r>
    </w:p>
    <w:p>
      <w:pPr>
        <w:pStyle w:val="FirstParagraph"/>
      </w:pPr>
      <w:r>
        <w:rPr>
          <w:bCs/>
          <w:b/>
        </w:rPr>
        <w:t xml:space="preserve">Question:</w:t>
      </w:r>
      <w:r>
        <w:t xml:space="preserve"> </w:t>
      </w:r>
      <w:r>
        <w:rPr>
          <w:iCs/>
          <w:i/>
        </w:rPr>
        <w:t xml:space="preserve">Does the central bank have the capacity AND the willingness to respond to a crisis?</w:t>
      </w:r>
    </w:p>
    <w:bookmarkStart w:id="40" w:name="the-binding-constraint-concept"/>
    <w:p>
      <w:pPr>
        <w:pStyle w:val="Heading4"/>
      </w:pPr>
      <w:r>
        <w:t xml:space="preserve">4.5.1 The Binding Constraint Concept</w:t>
      </w:r>
    </w:p>
    <w:p>
      <w:pPr>
        <w:pStyle w:val="FirstParagraph"/>
      </w:pPr>
      <w:r>
        <w:t xml:space="preserve">The original policy pillar measured capacity to respond primarily through the lens of proximity to the effective lower bound (ELB) — how many basis points of rate cuts does the Fed have available? This framing was shaped by the dominant policy challenge of 2008–2021 (the ZLB era), but it is historically atypical and produces structurally misleading scores when the binding constraint on policy action is not rate room but inflation.</w:t>
      </w:r>
    </w:p>
    <w:p>
      <w:pPr>
        <w:pStyle w:val="BodyText"/>
      </w:pPr>
      <w:r>
        <w:t xml:space="preserve">Consider early 2023: the fed funds rate was approximately 450 bps, scoring as deeply</w:t>
      </w:r>
      <w:r>
        <w:t xml:space="preserve"> </w:t>
      </w:r>
      <w:r>
        <w:t xml:space="preserve">“</w:t>
      </w:r>
      <w:r>
        <w:t xml:space="preserve">ample</w:t>
      </w:r>
      <w:r>
        <w:t xml:space="preserve">”</w:t>
      </w:r>
      <w:r>
        <w:t xml:space="preserve"> </w:t>
      </w:r>
      <w:r>
        <w:t xml:space="preserve">on ELB distance. But core PCE was running at approximately 4.8% — more than double the 2% target. The Fed could not cut rates without abandoning its inflation mandate, regardless of how much nominal room it had. The practical policy capacity was near zero, not near maximum. A pillar that scored this as</w:t>
      </w:r>
      <w:r>
        <w:t xml:space="preserve"> </w:t>
      </w:r>
      <w:r>
        <w:t xml:space="preserve">“</w:t>
      </w:r>
      <w:r>
        <w:t xml:space="preserve">ample</w:t>
      </w:r>
      <w:r>
        <w:t xml:space="preserve">”</w:t>
      </w:r>
      <w:r>
        <w:t xml:space="preserve"> </w:t>
      </w:r>
      <w:r>
        <w:t xml:space="preserve">was measuring the wrong thing.</w:t>
      </w:r>
    </w:p>
    <w:p>
      <w:pPr>
        <w:pStyle w:val="BodyText"/>
      </w:pPr>
      <w:r>
        <w:t xml:space="preserve">The revised pillar is built on a different principle:</w:t>
      </w:r>
      <w:r>
        <w:t xml:space="preserve"> </w:t>
      </w:r>
      <w:r>
        <w:rPr>
          <w:bCs/>
          <w:b/>
        </w:rPr>
        <w:t xml:space="preserve">policy capacity is bounded by whichever constraint is tightest</w:t>
      </w:r>
      <w:r>
        <w:t xml:space="preserve">. At any given moment, the central bank faces multiple constraints on its ability to respond to a financial shock:</w:t>
      </w:r>
    </w:p>
    <w:p>
      <w:pPr>
        <w:numPr>
          <w:ilvl w:val="0"/>
          <w:numId w:val="1004"/>
        </w:numPr>
        <w:pStyle w:val="Compact"/>
      </w:pPr>
      <w:r>
        <w:rPr>
          <w:bCs/>
          <w:b/>
        </w:rPr>
        <w:t xml:space="preserve">Rate room</w:t>
      </w:r>
      <w:r>
        <w:t xml:space="preserve"> </w:t>
      </w:r>
      <w:r>
        <w:t xml:space="preserve">— can it cut rates? (bounded by the ELB)</w:t>
      </w:r>
    </w:p>
    <w:p>
      <w:pPr>
        <w:numPr>
          <w:ilvl w:val="0"/>
          <w:numId w:val="1004"/>
        </w:numPr>
        <w:pStyle w:val="Compact"/>
      </w:pPr>
      <w:r>
        <w:rPr>
          <w:bCs/>
          <w:b/>
        </w:rPr>
        <w:t xml:space="preserve">Inflation constraint</w:t>
      </w:r>
      <w:r>
        <w:t xml:space="preserve"> </w:t>
      </w:r>
      <w:r>
        <w:t xml:space="preserve">— will inflation</w:t>
      </w:r>
      <w:r>
        <w:t xml:space="preserve"> </w:t>
      </w:r>
      <w:r>
        <w:rPr>
          <w:iCs/>
          <w:i/>
        </w:rPr>
        <w:t xml:space="preserve">permit</w:t>
      </w:r>
      <w:r>
        <w:t xml:space="preserve"> </w:t>
      </w:r>
      <w:r>
        <w:t xml:space="preserve">it to cut? (bounded by deviation from target)</w:t>
      </w:r>
    </w:p>
    <w:p>
      <w:pPr>
        <w:numPr>
          <w:ilvl w:val="0"/>
          <w:numId w:val="1004"/>
        </w:numPr>
        <w:pStyle w:val="Compact"/>
      </w:pPr>
      <w:r>
        <w:rPr>
          <w:bCs/>
          <w:b/>
        </w:rPr>
        <w:t xml:space="preserve">Balance sheet capacity</w:t>
      </w:r>
      <w:r>
        <w:t xml:space="preserve"> </w:t>
      </w:r>
      <w:r>
        <w:t xml:space="preserve">— can it expand asset purchases? (bounded by B/S-to-GDP)</w:t>
      </w:r>
    </w:p>
    <w:p>
      <w:pPr>
        <w:numPr>
          <w:ilvl w:val="0"/>
          <w:numId w:val="1004"/>
        </w:numPr>
        <w:pStyle w:val="Compact"/>
      </w:pPr>
      <w:r>
        <w:rPr>
          <w:bCs/>
          <w:b/>
        </w:rPr>
        <w:t xml:space="preserve">Fiscal space</w:t>
      </w:r>
      <w:r>
        <w:t xml:space="preserve"> </w:t>
      </w:r>
      <w:r>
        <w:t xml:space="preserve">— can the government provide fiscal support? (bounded by debt-to-GDP)</w:t>
      </w:r>
    </w:p>
    <w:p>
      <w:pPr>
        <w:pStyle w:val="FirstParagraph"/>
      </w:pPr>
      <w:r>
        <w:t xml:space="preserve">The policy pillar score is determined by the</w:t>
      </w:r>
      <w:r>
        <w:t xml:space="preserve"> </w:t>
      </w:r>
      <w:r>
        <w:rPr>
          <w:bCs/>
          <w:b/>
        </w:rPr>
        <w:t xml:space="preserve">most binding constraint</w:t>
      </w:r>
      <w:r>
        <w:t xml:space="preserve"> </w:t>
      </w:r>
      <w:r>
        <w:t xml:space="preserve">— the minimum of the individual constraint scores — not the average. This is analogous to how structural engineers assess load capacity: a bridge fails at its weakest member, not at the average of all members.</w:t>
      </w:r>
    </w:p>
    <w:p>
      <w:pPr>
        <w:pStyle w:val="BodyText"/>
      </w:pPr>
      <m:oMathPara>
        <m:oMathParaPr>
          <m:jc m:val="center"/>
        </m:oMathParaPr>
        <m:oMath>
          <m:sSub>
            <m:e>
              <m:r>
                <m:rPr>
                  <m:nor/>
                  <m:sty m:val="p"/>
                </m:rPr>
                <m:t>Pillar</m:t>
              </m:r>
            </m:e>
            <m:sub>
              <m:r>
                <m:t>5</m:t>
              </m:r>
            </m:sub>
          </m:sSub>
          <m:r>
            <m:rPr>
              <m:sty m:val="p"/>
            </m:rPr>
            <m:t>=</m:t>
          </m:r>
          <m:limLow>
            <m:e>
              <m:r>
                <m:rPr>
                  <m:sty m:val="p"/>
                </m:rPr>
                <m:t>min</m:t>
              </m:r>
            </m:e>
            <m:lim>
              <m:r>
                <m:t>c</m:t>
              </m:r>
              <m:r>
                <m:rPr>
                  <m:sty m:val="p"/>
                </m:rPr>
                <m:t>∈</m:t>
              </m:r>
              <m:sSub>
                <m:e>
                  <m:r>
                    <m:rPr>
                      <m:sty m:val="p"/>
                      <m:scr m:val="script"/>
                    </m:rPr>
                    <m:t>C</m:t>
                  </m:r>
                </m:e>
                <m:sub>
                  <m:r>
                    <m:rPr>
                      <m:nor/>
                      <m:sty m:val="p"/>
                    </m:rPr>
                    <m:t>active</m:t>
                  </m:r>
                </m:sub>
              </m:sSub>
            </m:lim>
          </m:limLow>
          <m:sSub>
            <m:e>
              <m:r>
                <m:t>s</m:t>
              </m:r>
            </m:e>
            <m:sub>
              <m:r>
                <m:t>c</m:t>
              </m:r>
            </m:sub>
          </m:sSub>
        </m:oMath>
      </m:oMathPara>
    </w:p>
    <w:p>
      <w:pPr>
        <w:pStyle w:val="FirstParagraph"/>
      </w:pPr>
      <w:r>
        <w:t xml:space="preserve">where</w:t>
      </w:r>
      <w:r>
        <w:t xml:space="preserve"> </w:t>
      </w:r>
      <m:oMath>
        <m:sSub>
          <m:e>
            <m:r>
              <m:rPr>
                <m:sty m:val="p"/>
                <m:scr m:val="script"/>
              </m:rPr>
              <m:t>C</m:t>
            </m:r>
          </m:e>
          <m:sub>
            <m:r>
              <m:rPr>
                <m:nor/>
                <m:sty m:val="p"/>
              </m:rPr>
              <m:t>active</m:t>
            </m:r>
          </m:sub>
        </m:sSub>
      </m:oMath>
      <w:r>
        <w:t xml:space="preserve"> </w:t>
      </w:r>
      <w:r>
        <w:t xml:space="preserve">is the set of policy constraints with available data and</w:t>
      </w:r>
      <w:r>
        <w:t xml:space="preserve"> </w:t>
      </w:r>
      <m:oMath>
        <m:sSub>
          <m:e>
            <m:r>
              <m:t>s</m:t>
            </m:r>
          </m:e>
          <m:sub>
            <m:r>
              <m:t>c</m:t>
            </m:r>
          </m:sub>
        </m:sSub>
      </m:oMath>
      <w:r>
        <w:t xml:space="preserve"> </w:t>
      </w:r>
      <w:r>
        <w:t xml:space="preserve">is the 0–1 score for constraint</w:t>
      </w:r>
      <w:r>
        <w:t xml:space="preserve"> </w:t>
      </w:r>
      <m:oMath>
        <m:r>
          <m:t>c</m:t>
        </m:r>
      </m:oMath>
      <w:r>
        <w:t xml:space="preserve">.</w:t>
      </w:r>
    </w:p>
    <w:p>
      <w:pPr>
        <w:pStyle w:val="BodyText"/>
      </w:pPr>
      <w:r>
        <w:t xml:space="preserve">This architecture has three advantages over the original equal-weighted average:</w:t>
      </w:r>
    </w:p>
    <w:p>
      <w:pPr>
        <w:pStyle w:val="BodyText"/>
      </w:pPr>
      <w:r>
        <w:rPr>
          <w:bCs/>
          <w:b/>
        </w:rPr>
        <w:t xml:space="preserve">First, it eliminates the false-comfort problem.</w:t>
      </w:r>
      <w:r>
        <w:t xml:space="preserve"> </w:t>
      </w:r>
      <w:r>
        <w:t xml:space="preserve">Under equal weighting, a near-breach inflation score (0.15) combined with ample rate room (0.95), moderate B/S (0.65), and moderate fiscal (0.55) produces a pillar average of 0.575 — THIN but not alarming. Under the binding-constraint architecture, the pillar scores 0.15 — correctly reflecting that the Fed’s hands are tied regardless of how much nominal rate room it has. The inflation constraint is the weak link, and the bridge fails there.</w:t>
      </w:r>
    </w:p>
    <w:p>
      <w:pPr>
        <w:pStyle w:val="BodyText"/>
      </w:pPr>
      <w:r>
        <w:rPr>
          <w:bCs/>
          <w:b/>
        </w:rPr>
        <w:t xml:space="preserve">Second, it automatically adapts to regime shifts</w:t>
      </w:r>
      <w:r>
        <w:t xml:space="preserve"> </w:t>
      </w:r>
      <w:r>
        <w:t xml:space="preserve">without hard-coded conditional weighting rules. When the binding constraint was the ZLB (2009–2015), rate room dominated. When the binding constraint shifted to inflation (2022–2023), the inflation score dominated. When the binding constraint is fiscal space (a concern for future scenarios with debt/GDP &gt; 120%), the fiscal score will dominate. The architecture requires no manual regime switching — the minimum function handles it endogenously.</w:t>
      </w:r>
    </w:p>
    <w:p>
      <w:pPr>
        <w:pStyle w:val="BodyText"/>
      </w:pPr>
      <w:r>
        <w:rPr>
          <w:bCs/>
          <w:b/>
        </w:rPr>
        <w:t xml:space="preserve">Third, it is historically coherent across monetary regimes.</w:t>
      </w:r>
      <w:r>
        <w:t xml:space="preserve"> </w:t>
      </w:r>
      <w:r>
        <w:t xml:space="preserve">Under the gold standard (pre-1933), the binding constraint was gold reserve adequacy, not rate room or inflation targeting. The architecture naturally accommodates this through the historical constraint set (§4.5.5).</w:t>
      </w:r>
    </w:p>
    <w:bookmarkEnd w:id="40"/>
    <w:bookmarkStart w:id="41" w:name="design-choice-why-minimum-not-average"/>
    <w:p>
      <w:pPr>
        <w:pStyle w:val="Heading4"/>
      </w:pPr>
      <w:r>
        <w:t xml:space="preserve">4.5.2 Design Choice — Why Minimum, Not Average?</w:t>
      </w:r>
    </w:p>
    <w:p>
      <w:pPr>
        <w:pStyle w:val="FirstParagraph"/>
      </w:pPr>
      <w:r>
        <w:t xml:space="preserve">The minimum function reflects a structural feature of central bank decision-making: policy constraints are</w:t>
      </w:r>
      <w:r>
        <w:t xml:space="preserve"> </w:t>
      </w:r>
      <w:r>
        <w:rPr>
          <w:bCs/>
          <w:b/>
        </w:rPr>
        <w:t xml:space="preserve">non-substitutable</w:t>
      </w:r>
      <w:r>
        <w:t xml:space="preserve">. Rate room cannot compensate for an inflation problem. Balance sheet capacity cannot compensate for zero rate room. Fiscal space cannot compensate for a Fed that is already over-extended. Each constraint is independently binding — if any one is exhausted, policy capacity is impaired regardless of how much slack exists in the others.</w:t>
      </w:r>
    </w:p>
    <w:p>
      <w:pPr>
        <w:pStyle w:val="BodyText"/>
      </w:pPr>
      <w:r>
        <w:t xml:space="preserve">This is distinct from the other six pillars, where within-pillar indicator averaging is appropriate. A liquidity pillar can legitimately average across funding markets because they partially substitute for each other (stress in SOFR can be partially offset by ample CP markets). Policy constraints do not substitute — they compound. The minimum function captures this.</w:t>
      </w:r>
    </w:p>
    <w:p>
      <w:pPr>
        <w:pStyle w:val="BodyText"/>
      </w:pPr>
      <w:r>
        <w:rPr>
          <w:bCs/>
          <w:b/>
        </w:rPr>
        <w:t xml:space="preserve">Objection: doesn’t the minimum make the pillar too sensitive to a single indicator?</w:t>
      </w:r>
      <w:r>
        <w:t xml:space="preserve"> </w:t>
      </w:r>
      <w:r>
        <w:t xml:space="preserve">Yes, deliberately. That is the point. A policy environment where three of four constraints are ample but one is in breach is a policy environment where the central bank cannot fully respond to a shock. The market impact framework should reflect this. If this produces false positives (scenarios where the binding constraint score is low but the Fed acts anyway), those episodes are informative — they reveal either that the constraint was less binding than the indicator suggested, or that the Fed chose to act despite the constraint (accepting the costs). Both outcomes can be used to refine the constraint thresholds.</w:t>
      </w:r>
    </w:p>
    <w:p>
      <w:pPr>
        <w:pStyle w:val="BodyText"/>
      </w:pPr>
      <w:r>
        <w:rPr>
          <w:bCs/>
          <w:b/>
        </w:rPr>
        <w:t xml:space="preserve">Safeguard: the</w:t>
      </w:r>
      <w:r>
        <w:rPr>
          <w:bCs/>
          <w:b/>
        </w:rPr>
        <w:t xml:space="preserve"> </w:t>
      </w:r>
      <w:r>
        <w:rPr>
          <w:bCs/>
          <w:b/>
        </w:rPr>
        <w:t xml:space="preserve">“</w:t>
      </w:r>
      <w:r>
        <w:rPr>
          <w:bCs/>
          <w:b/>
        </w:rPr>
        <w:t xml:space="preserve">near-breach dominance</w:t>
      </w:r>
      <w:r>
        <w:rPr>
          <w:bCs/>
          <w:b/>
        </w:rPr>
        <w:t xml:space="preserve">”</w:t>
      </w:r>
      <w:r>
        <w:rPr>
          <w:bCs/>
          <w:b/>
        </w:rPr>
        <w:t xml:space="preserve"> </w:t>
      </w:r>
      <w:r>
        <w:rPr>
          <w:bCs/>
          <w:b/>
        </w:rPr>
        <w:t xml:space="preserve">threshold.</w:t>
      </w:r>
      <w:r>
        <w:t xml:space="preserve"> </w:t>
      </w:r>
      <w:r>
        <w:t xml:space="preserve">To prevent marginal differences from creating whipsaw behaviour, the minimum function is activated only when the gap between the tightest and loosest constraints exceeds 0.25. When all constraints are within 0.25 of each other, the pillar reverts to a weighted average (with inflation receiving the largest weight — see §4.5.3). This prevents the minimum function from producing artificially low scores when all constraints are moderately stressed.</w:t>
      </w:r>
    </w:p>
    <w:p>
      <w:pPr>
        <w:pStyle w:val="BodyText"/>
      </w:pPr>
      <m:oMathPara>
        <m:oMathParaPr>
          <m:jc m:val="center"/>
        </m:oMathParaPr>
        <m:oMath>
          <m:sSub>
            <m:e>
              <m:r>
                <m:rPr>
                  <m:nor/>
                  <m:sty m:val="p"/>
                </m:rPr>
                <m:t>Pillar</m:t>
              </m:r>
            </m:e>
            <m:sub>
              <m:r>
                <m:t>5</m:t>
              </m:r>
            </m:sub>
          </m:sSub>
          <m:r>
            <m:rPr>
              <m:sty m:val="p"/>
            </m:rPr>
            <m:t>=</m:t>
          </m:r>
          <m:d>
            <m:dPr>
              <m:begChr m:val="{"/>
              <m:endChr m:val=""/>
              <m:sepChr m:val=""/>
              <m:grow/>
            </m:dPr>
            <m:e>
              <m:m>
                <m:mPr>
                  <m:baseJc m:val="center"/>
                  <m:plcHide m:val="on"/>
                  <m:mcs>
                    <m:mc>
                      <m:mcPr>
                        <m:mcJc m:val="left"/>
                        <m:count m:val="1"/>
                      </m:mcPr>
                    </m:mc>
                    <m:mc>
                      <m:mcPr>
                        <m:mcJc m:val="left"/>
                        <m:count m:val="1"/>
                      </m:mcPr>
                    </m:mc>
                  </m:mcs>
                </m:mPr>
                <m:mr>
                  <m:e>
                    <m:limLow>
                      <m:e>
                        <m:r>
                          <m:rPr>
                            <m:sty m:val="p"/>
                          </m:rPr>
                          <m:t>min</m:t>
                        </m:r>
                      </m:e>
                      <m:lim>
                        <m:r>
                          <m:t>c</m:t>
                        </m:r>
                      </m:lim>
                    </m:limLow>
                    <m:sSub>
                      <m:e>
                        <m:r>
                          <m:t>s</m:t>
                        </m:r>
                      </m:e>
                      <m:sub>
                        <m:r>
                          <m:t>c</m:t>
                        </m:r>
                      </m:sub>
                    </m:sSub>
                  </m:e>
                  <m:e>
                    <m:r>
                      <m:rPr>
                        <m:nor/>
                        <m:sty m:val="p"/>
                      </m:rPr>
                      <m:t>if </m:t>
                    </m:r>
                    <m:limLow>
                      <m:e>
                        <m:r>
                          <m:rPr>
                            <m:sty m:val="p"/>
                          </m:rPr>
                          <m:t>max</m:t>
                        </m:r>
                      </m:e>
                      <m:lim>
                        <m:r>
                          <m:t>c</m:t>
                        </m:r>
                      </m:lim>
                    </m:limLow>
                    <m:sSub>
                      <m:e>
                        <m:r>
                          <m:t>s</m:t>
                        </m:r>
                      </m:e>
                      <m:sub>
                        <m:r>
                          <m:t>c</m:t>
                        </m:r>
                      </m:sub>
                    </m:sSub>
                    <m:r>
                      <m:rPr>
                        <m:sty m:val="p"/>
                      </m:rPr>
                      <m:t>−</m:t>
                    </m:r>
                    <m:limLow>
                      <m:e>
                        <m:r>
                          <m:rPr>
                            <m:sty m:val="p"/>
                          </m:rPr>
                          <m:t>min</m:t>
                        </m:r>
                      </m:e>
                      <m:lim>
                        <m:r>
                          <m:t>c</m:t>
                        </m:r>
                      </m:lim>
                    </m:limLow>
                    <m:sSub>
                      <m:e>
                        <m:r>
                          <m:t>s</m:t>
                        </m:r>
                      </m:e>
                      <m:sub>
                        <m:r>
                          <m:t>c</m:t>
                        </m:r>
                      </m:sub>
                    </m:sSub>
                    <m:r>
                      <m:rPr>
                        <m:sty m:val="p"/>
                      </m:rPr>
                      <m:t>&gt;</m:t>
                    </m:r>
                    <m:r>
                      <m:t>0.25</m:t>
                    </m:r>
                  </m:e>
                </m:mr>
                <m:mr>
                  <m:e>
                    <m:nary>
                      <m:naryPr>
                        <m:chr m:val="∑"/>
                        <m:limLoc m:val="undOvr"/>
                        <m:subHide m:val="off"/>
                        <m:supHide m:val="on"/>
                      </m:naryPr>
                      <m:sub>
                        <m:r>
                          <m:t>c</m:t>
                        </m:r>
                      </m:sub>
                      <m:sup>
                        <m:r>
                          <m:t>​</m:t>
                        </m:r>
                      </m:sup>
                      <m:e>
                        <m:sSub>
                          <m:e>
                            <m:r>
                              <m:t>w</m:t>
                            </m:r>
                          </m:e>
                          <m:sub>
                            <m:r>
                              <m:t>c</m:t>
                            </m:r>
                          </m:sub>
                        </m:sSub>
                      </m:e>
                    </m:nary>
                    <m:r>
                      <m:rPr>
                        <m:sty m:val="p"/>
                      </m:rPr>
                      <m:t>⋅</m:t>
                    </m:r>
                    <m:sSub>
                      <m:e>
                        <m:r>
                          <m:t>s</m:t>
                        </m:r>
                      </m:e>
                      <m:sub>
                        <m:r>
                          <m:t>c</m:t>
                        </m:r>
                      </m:sub>
                    </m:sSub>
                  </m:e>
                  <m:e>
                    <m:r>
                      <m:rPr>
                        <m:nor/>
                        <m:sty m:val="p"/>
                      </m:rPr>
                      <m:t>otherwise</m:t>
                    </m:r>
                  </m:e>
                </m:mr>
              </m:m>
            </m:e>
          </m:d>
        </m:oMath>
      </m:oMathPara>
    </w:p>
    <w:bookmarkEnd w:id="41"/>
    <w:bookmarkStart w:id="42" w:name="constraint-indicators-and-thresholds"/>
    <w:p>
      <w:pPr>
        <w:pStyle w:val="Heading4"/>
      </w:pPr>
      <w:r>
        <w:t xml:space="preserve">4.5.3 Constraint Indicators and Thresholds</w:t>
      </w:r>
    </w:p>
    <w:p>
      <w:pPr>
        <w:pStyle w:val="FirstParagraph"/>
      </w:pPr>
      <w:r>
        <w:rPr>
          <w:bCs/>
          <w:b/>
        </w:rPr>
        <w:t xml:space="preserve">Constraint 1: Rate Room (ELB Distance)</w:t>
      </w:r>
    </w:p>
    <w:p>
      <w:pPr>
        <w:pStyle w:val="BodyText"/>
      </w:pPr>
      <w:r>
        <w:t xml:space="preserve">The distance from the effective lower bound measures how many basis points of conventional monetary easing the Fed can deploy. This is the dominant constraint when rates are low.</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Scoring</w:t>
            </w:r>
          </w:p>
        </w:tc>
      </w:tr>
      <w:tr>
        <w:tc>
          <w:tcPr/>
          <w:p>
            <w:pPr>
              <w:pStyle w:val="Compact"/>
              <w:jc w:val="left"/>
            </w:pPr>
            <w:r>
              <w:t xml:space="preserve">Fed Funds minus ELB (bps)</w:t>
            </w:r>
          </w:p>
        </w:tc>
        <w:tc>
          <w:tcPr/>
          <w:p>
            <w:pPr>
              <w:pStyle w:val="Compact"/>
              <w:jc w:val="left"/>
            </w:pPr>
            <w:r>
              <w:t xml:space="preserve">FRED (DFF)</w:t>
            </w:r>
          </w:p>
        </w:tc>
        <w:tc>
          <w:tcPr/>
          <w:p>
            <w:pPr>
              <w:pStyle w:val="Compact"/>
              <w:jc w:val="left"/>
            </w:pPr>
            <w:r>
              <w:t xml:space="preserve">Simple (higher is better)</w:t>
            </w:r>
          </w:p>
        </w:tc>
      </w:tr>
    </w:tbl>
    <w:p/>
    <w:tbl>
      <w:tblPr>
        <w:tblStyle w:val="Table"/>
        <w:tblW w:type="pct" w:w="5000"/>
        <w:tblLook w:firstRow="1" w:lastRow="0" w:firstColumn="0" w:lastColumn="0" w:noHBand="0" w:noVBand="0" w:val="0020"/>
        <w:jc w:val="start"/>
      </w:tblPr>
      <w:tblGrid>
        <w:gridCol w:w="1421"/>
        <w:gridCol w:w="3249"/>
        <w:gridCol w:w="3249"/>
      </w:tblGrid>
      <w:tr>
        <w:trPr>
          <w:tblHeader w:val="true"/>
        </w:trPr>
        <w:tc>
          <w:tcPr/>
          <w:p>
            <w:pPr>
              <w:pStyle w:val="Compact"/>
              <w:jc w:val="left"/>
            </w:pPr>
            <w:r>
              <w:t xml:space="preserve">Level</w:t>
            </w:r>
          </w:p>
        </w:tc>
        <w:tc>
          <w:tcPr/>
          <w:p>
            <w:pPr>
              <w:pStyle w:val="Compact"/>
              <w:jc w:val="left"/>
            </w:pPr>
            <w:r>
              <w:t xml:space="preserve">Rate Room Score</w:t>
            </w:r>
          </w:p>
        </w:tc>
        <w:tc>
          <w:tcPr/>
          <w:p>
            <w:pPr>
              <w:pStyle w:val="Compact"/>
              <w:jc w:val="left"/>
            </w:pPr>
            <w:r>
              <w:t xml:space="preserve">Interpretation</w:t>
            </w:r>
          </w:p>
        </w:tc>
      </w:tr>
      <w:tr>
        <w:tc>
          <w:tcPr/>
          <w:p>
            <w:pPr>
              <w:pStyle w:val="Compact"/>
              <w:jc w:val="left"/>
            </w:pPr>
            <w:r>
              <w:t xml:space="preserve">&gt; 250 bps</w:t>
            </w:r>
          </w:p>
        </w:tc>
        <w:tc>
          <w:tcPr/>
          <w:p>
            <w:pPr>
              <w:pStyle w:val="Compact"/>
              <w:jc w:val="left"/>
            </w:pPr>
            <w:r>
              <w:t xml:space="preserve">1.00 (ample)</w:t>
            </w:r>
          </w:p>
        </w:tc>
        <w:tc>
          <w:tcPr/>
          <w:p>
            <w:pPr>
              <w:pStyle w:val="Compact"/>
              <w:jc w:val="left"/>
            </w:pPr>
            <w:r>
              <w:t xml:space="preserve">Substantial conventional easing available</w:t>
            </w:r>
          </w:p>
        </w:tc>
      </w:tr>
      <w:tr>
        <w:tc>
          <w:tcPr/>
          <w:p>
            <w:pPr>
              <w:pStyle w:val="Compact"/>
              <w:jc w:val="left"/>
            </w:pPr>
            <w:r>
              <w:t xml:space="preserve">150–250 bps</w:t>
            </w:r>
          </w:p>
        </w:tc>
        <w:tc>
          <w:tcPr/>
          <w:p>
            <w:pPr>
              <w:pStyle w:val="Compact"/>
              <w:jc w:val="left"/>
            </w:pPr>
            <w:r>
              <w:t xml:space="preserve">0.75</w:t>
            </w:r>
          </w:p>
        </w:tc>
        <w:tc>
          <w:tcPr/>
          <w:p>
            <w:pPr>
              <w:pStyle w:val="Compact"/>
              <w:jc w:val="left"/>
            </w:pPr>
            <w:r>
              <w:t xml:space="preserve">Adequate room for moderate easing cycle</w:t>
            </w:r>
          </w:p>
        </w:tc>
      </w:tr>
      <w:tr>
        <w:tc>
          <w:tcPr/>
          <w:p>
            <w:pPr>
              <w:pStyle w:val="Compact"/>
              <w:jc w:val="left"/>
            </w:pPr>
            <w:r>
              <w:t xml:space="preserve">50–150 bps</w:t>
            </w:r>
          </w:p>
        </w:tc>
        <w:tc>
          <w:tcPr/>
          <w:p>
            <w:pPr>
              <w:pStyle w:val="Compact"/>
              <w:jc w:val="left"/>
            </w:pPr>
            <w:r>
              <w:t xml:space="preserve">0.50 (thin)</w:t>
            </w:r>
          </w:p>
        </w:tc>
        <w:tc>
          <w:tcPr/>
          <w:p>
            <w:pPr>
              <w:pStyle w:val="Compact"/>
              <w:jc w:val="left"/>
            </w:pPr>
            <w:r>
              <w:t xml:space="preserve">Limited room; unconventional tools may be needed</w:t>
            </w:r>
          </w:p>
        </w:tc>
      </w:tr>
      <w:tr>
        <w:tc>
          <w:tcPr/>
          <w:p>
            <w:pPr>
              <w:pStyle w:val="Compact"/>
              <w:jc w:val="left"/>
            </w:pPr>
            <w:r>
              <w:t xml:space="preserve">10–50 bps</w:t>
            </w:r>
          </w:p>
        </w:tc>
        <w:tc>
          <w:tcPr/>
          <w:p>
            <w:pPr>
              <w:pStyle w:val="Compact"/>
              <w:jc w:val="left"/>
            </w:pPr>
            <w:r>
              <w:t xml:space="preserve">0.25</w:t>
            </w:r>
          </w:p>
        </w:tc>
        <w:tc>
          <w:tcPr/>
          <w:p>
            <w:pPr>
              <w:pStyle w:val="Compact"/>
              <w:jc w:val="left"/>
            </w:pPr>
            <w:r>
              <w:t xml:space="preserve">Near-constrained; rate cuts largely exhausted</w:t>
            </w:r>
          </w:p>
        </w:tc>
      </w:tr>
      <w:tr>
        <w:tc>
          <w:tcPr/>
          <w:p>
            <w:pPr>
              <w:pStyle w:val="Compact"/>
              <w:jc w:val="left"/>
            </w:pPr>
            <w:r>
              <w:t xml:space="preserve">&lt; 10 bps</w:t>
            </w:r>
          </w:p>
        </w:tc>
        <w:tc>
          <w:tcPr/>
          <w:p>
            <w:pPr>
              <w:pStyle w:val="Compact"/>
              <w:jc w:val="left"/>
            </w:pPr>
            <w:r>
              <w:t xml:space="preserve">0.05 (breach)</w:t>
            </w:r>
          </w:p>
        </w:tc>
        <w:tc>
          <w:tcPr/>
          <w:p>
            <w:pPr>
              <w:pStyle w:val="Compact"/>
              <w:jc w:val="left"/>
            </w:pPr>
            <w:r>
              <w:t xml:space="preserve">At or below ELB; conventional policy exhausted</w:t>
            </w:r>
          </w:p>
        </w:tc>
      </w:tr>
    </w:tbl>
    <w:p>
      <w:pPr>
        <w:pStyle w:val="BodyText"/>
      </w:pPr>
      <w:r>
        <w:rPr>
          <w:bCs/>
          <w:b/>
        </w:rPr>
        <w:t xml:space="preserve">Design choice — observable ELB distance vs. unobservable r*.</w:t>
      </w:r>
      <w:r>
        <w:t xml:space="preserve"> </w:t>
      </w:r>
      <w:r>
        <w:t xml:space="preserve">We measure policy room as the distance from the effective lower bound (ELB, 0%), not deviation from an estimated neutral rate (r*). This is: (a) simpler — uses directly observable data; (b) more accurate — r* estimates have wide confidence intervals and have been repeatedly revised; and (c) directly relevant — what matters in a crisis is whether the Fed</w:t>
      </w:r>
      <w:r>
        <w:t xml:space="preserve"> </w:t>
      </w:r>
      <w:r>
        <w:rPr>
          <w:iCs/>
          <w:i/>
        </w:rPr>
        <w:t xml:space="preserve">can cut</w:t>
      </w:r>
      <w:r>
        <w:t xml:space="preserve">, not whether rates are above or below neutral.</w:t>
      </w:r>
    </w:p>
    <w:p>
      <w:pPr>
        <w:pStyle w:val="BodyText"/>
      </w:pPr>
      <w:r>
        <w:rPr>
          <w:bCs/>
          <w:b/>
        </w:rPr>
        <w:t xml:space="preserve">Constraint 2: Inflation Constraint</w:t>
      </w:r>
    </w:p>
    <w:p>
      <w:pPr>
        <w:pStyle w:val="BodyText"/>
      </w:pPr>
      <w:r>
        <w:t xml:space="preserve">This is the central innovation of the revised pillar. The inflation constraint measures whether price stability conditions</w:t>
      </w:r>
      <w:r>
        <w:t xml:space="preserve"> </w:t>
      </w:r>
      <w:r>
        <w:rPr>
          <w:iCs/>
          <w:i/>
        </w:rPr>
        <w:t xml:space="preserve">permit</w:t>
      </w:r>
      <w:r>
        <w:t xml:space="preserve"> </w:t>
      </w:r>
      <w:r>
        <w:t xml:space="preserve">the central bank to ease, independent of whether it has nominal room to do so. When inflation is at or below target, the constraint is slack (the Fed can cut freely). When inflation is materially above target, the constraint is binding (the Fed faces a trade-off between financial stability and price stability that limits its willingness to ease).</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Scoring</w:t>
            </w:r>
          </w:p>
        </w:tc>
      </w:tr>
      <w:tr>
        <w:tc>
          <w:tcPr/>
          <w:p>
            <w:pPr>
              <w:pStyle w:val="Compact"/>
              <w:jc w:val="left"/>
            </w:pPr>
            <w:r>
              <w:t xml:space="preserve">Trailing 12-month inflation vs. 2% target (bps deviation)</w:t>
            </w:r>
          </w:p>
        </w:tc>
        <w:tc>
          <w:tcPr/>
          <w:p>
            <w:pPr>
              <w:pStyle w:val="Compact"/>
              <w:jc w:val="left"/>
            </w:pPr>
            <w:r>
              <w:t xml:space="preserve">See proxy chain (§4.5.5)</w:t>
            </w:r>
          </w:p>
        </w:tc>
        <w:tc>
          <w:tcPr/>
          <w:p>
            <w:pPr>
              <w:pStyle w:val="Compact"/>
              <w:jc w:val="left"/>
            </w:pPr>
            <w:r>
              <w:t xml:space="preserve">Two-sided, asymmetrically scored</w:t>
            </w:r>
          </w:p>
        </w:tc>
      </w:tr>
    </w:tbl>
    <w:p>
      <w:pPr>
        <w:pStyle w:val="BodyText"/>
      </w:pPr>
      <w:r>
        <w:t xml:space="preserve">The inflation constraint is scored</w:t>
      </w:r>
      <w:r>
        <w:t xml:space="preserve"> </w:t>
      </w:r>
      <w:r>
        <w:rPr>
          <w:bCs/>
          <w:b/>
        </w:rPr>
        <w:t xml:space="preserve">asymmetrically</w:t>
      </w:r>
      <w:r>
        <w:t xml:space="preserve">: above-target inflation is penalised more severely than below-target inflation, reflecting the empirical reality that the Fed has demonstrated greater willingness to ease during deflation scares (2009, 2020) than to ease during above-target inflation (2022–2023).</w:t>
      </w:r>
    </w:p>
    <w:tbl>
      <w:tblPr>
        <w:tblStyle w:val="Table"/>
        <w:tblW w:type="pct" w:w="5000"/>
        <w:tblLook w:firstRow="1" w:lastRow="0" w:firstColumn="0" w:lastColumn="0" w:noHBand="0" w:noVBand="0" w:val="0020"/>
        <w:jc w:val="start"/>
      </w:tblPr>
      <w:tblGrid>
        <w:gridCol w:w="3899"/>
        <w:gridCol w:w="2071"/>
        <w:gridCol w:w="1949"/>
      </w:tblGrid>
      <w:tr>
        <w:trPr>
          <w:tblHeader w:val="true"/>
        </w:trPr>
        <w:tc>
          <w:tcPr/>
          <w:p>
            <w:pPr>
              <w:pStyle w:val="Compact"/>
              <w:jc w:val="left"/>
            </w:pPr>
            <w:r>
              <w:t xml:space="preserve">Inflation Deviation from Target</w:t>
            </w:r>
          </w:p>
        </w:tc>
        <w:tc>
          <w:tcPr/>
          <w:p>
            <w:pPr>
              <w:pStyle w:val="Compact"/>
              <w:jc w:val="left"/>
            </w:pPr>
            <w:r>
              <w:t xml:space="preserve">Constraint Score</w:t>
            </w:r>
          </w:p>
        </w:tc>
        <w:tc>
          <w:tcPr/>
          <w:p>
            <w:pPr>
              <w:pStyle w:val="Compact"/>
              <w:jc w:val="left"/>
            </w:pPr>
            <w:r>
              <w:t xml:space="preserve">Interpretation</w:t>
            </w:r>
          </w:p>
        </w:tc>
      </w:tr>
      <w:tr>
        <w:tc>
          <w:tcPr/>
          <w:p>
            <w:pPr>
              <w:pStyle w:val="Compact"/>
              <w:jc w:val="left"/>
            </w:pPr>
            <w:r>
              <w:t xml:space="preserve">Within ±50 bps of target</w:t>
            </w:r>
          </w:p>
        </w:tc>
        <w:tc>
          <w:tcPr/>
          <w:p>
            <w:pPr>
              <w:pStyle w:val="Compact"/>
              <w:jc w:val="left"/>
            </w:pPr>
            <w:r>
              <w:t xml:space="preserve">1.00 (ample)</w:t>
            </w:r>
          </w:p>
        </w:tc>
        <w:tc>
          <w:tcPr/>
          <w:p>
            <w:pPr>
              <w:pStyle w:val="Compact"/>
              <w:jc w:val="left"/>
            </w:pPr>
            <w:r>
              <w:t xml:space="preserve">Inflation at target; no constraint on easing</w:t>
            </w:r>
          </w:p>
        </w:tc>
      </w:tr>
      <w:tr>
        <w:tc>
          <w:tcPr/>
          <w:p>
            <w:pPr>
              <w:pStyle w:val="Compact"/>
              <w:jc w:val="left"/>
            </w:pPr>
            <w:r>
              <w:t xml:space="preserve">50–100 bps below target</w:t>
            </w:r>
          </w:p>
        </w:tc>
        <w:tc>
          <w:tcPr/>
          <w:p>
            <w:pPr>
              <w:pStyle w:val="Compact"/>
              <w:jc w:val="left"/>
            </w:pPr>
            <w:r>
              <w:t xml:space="preserve">0.85</w:t>
            </w:r>
          </w:p>
        </w:tc>
        <w:tc>
          <w:tcPr/>
          <w:p>
            <w:pPr>
              <w:pStyle w:val="Compact"/>
              <w:jc w:val="left"/>
            </w:pPr>
            <w:r>
              <w:t xml:space="preserve">Mild deflation concern; actually</w:t>
            </w:r>
            <w:r>
              <w:t xml:space="preserve"> </w:t>
            </w:r>
            <w:r>
              <w:rPr>
                <w:iCs/>
                <w:i/>
              </w:rPr>
              <w:t xml:space="preserve">supports</w:t>
            </w:r>
            <w:r>
              <w:t xml:space="preserve"> </w:t>
            </w:r>
            <w:r>
              <w:t xml:space="preserve">easing</w:t>
            </w:r>
          </w:p>
        </w:tc>
      </w:tr>
      <w:tr>
        <w:tc>
          <w:tcPr/>
          <w:p>
            <w:pPr>
              <w:pStyle w:val="Compact"/>
              <w:jc w:val="left"/>
            </w:pPr>
            <w:r>
              <w:t xml:space="preserve">100–200 bps below target</w:t>
            </w:r>
          </w:p>
        </w:tc>
        <w:tc>
          <w:tcPr/>
          <w:p>
            <w:pPr>
              <w:pStyle w:val="Compact"/>
              <w:jc w:val="left"/>
            </w:pPr>
            <w:r>
              <w:t xml:space="preserve">0.70</w:t>
            </w:r>
          </w:p>
        </w:tc>
        <w:tc>
          <w:tcPr/>
          <w:p>
            <w:pPr>
              <w:pStyle w:val="Compact"/>
              <w:jc w:val="left"/>
            </w:pPr>
            <w:r>
              <w:t xml:space="preserve">Deflation risk; Fed will likely ease aggressively</w:t>
            </w:r>
          </w:p>
        </w:tc>
      </w:tr>
      <w:tr>
        <w:tc>
          <w:tcPr/>
          <w:p>
            <w:pPr>
              <w:pStyle w:val="Compact"/>
              <w:jc w:val="left"/>
            </w:pPr>
            <w:r>
              <w:t xml:space="preserve">&gt; 200 bps below target</w:t>
            </w:r>
          </w:p>
        </w:tc>
        <w:tc>
          <w:tcPr/>
          <w:p>
            <w:pPr>
              <w:pStyle w:val="Compact"/>
              <w:jc w:val="left"/>
            </w:pPr>
            <w:r>
              <w:t xml:space="preserve">0.55</w:t>
            </w:r>
          </w:p>
        </w:tc>
        <w:tc>
          <w:tcPr/>
          <w:p>
            <w:pPr>
              <w:pStyle w:val="Compact"/>
              <w:jc w:val="left"/>
            </w:pPr>
            <w:r>
              <w:t xml:space="preserve">Severe deflation; Fed will ease but may face ZLB</w:t>
            </w:r>
          </w:p>
        </w:tc>
      </w:tr>
      <w:tr>
        <w:tc>
          <w:tcPr/>
          <w:p>
            <w:pPr>
              <w:pStyle w:val="Compact"/>
              <w:jc w:val="left"/>
            </w:pPr>
            <w:r>
              <w:t xml:space="preserve">50–150 bps above target</w:t>
            </w:r>
          </w:p>
        </w:tc>
        <w:tc>
          <w:tcPr/>
          <w:p>
            <w:pPr>
              <w:pStyle w:val="Compact"/>
              <w:jc w:val="left"/>
            </w:pPr>
            <w:r>
              <w:t xml:space="preserve">0.65</w:t>
            </w:r>
          </w:p>
        </w:tc>
        <w:tc>
          <w:tcPr/>
          <w:p>
            <w:pPr>
              <w:pStyle w:val="Compact"/>
              <w:jc w:val="left"/>
            </w:pPr>
            <w:r>
              <w:t xml:space="preserve">Mild constraint; Fed may tolerate overshoot</w:t>
            </w:r>
          </w:p>
        </w:tc>
      </w:tr>
      <w:tr>
        <w:tc>
          <w:tcPr/>
          <w:p>
            <w:pPr>
              <w:pStyle w:val="Compact"/>
              <w:jc w:val="left"/>
            </w:pPr>
            <w:r>
              <w:t xml:space="preserve">150–250 bps above target</w:t>
            </w:r>
          </w:p>
        </w:tc>
        <w:tc>
          <w:tcPr/>
          <w:p>
            <w:pPr>
              <w:pStyle w:val="Compact"/>
              <w:jc w:val="left"/>
            </w:pPr>
            <w:r>
              <w:t xml:space="preserve">0.35</w:t>
            </w:r>
          </w:p>
        </w:tc>
        <w:tc>
          <w:tcPr/>
          <w:p>
            <w:pPr>
              <w:pStyle w:val="Compact"/>
              <w:jc w:val="left"/>
            </w:pPr>
            <w:r>
              <w:t xml:space="preserve">Significant constraint; Fed reluctant to ease</w:t>
            </w:r>
          </w:p>
        </w:tc>
      </w:tr>
      <w:tr>
        <w:tc>
          <w:tcPr/>
          <w:p>
            <w:pPr>
              <w:pStyle w:val="Compact"/>
              <w:jc w:val="left"/>
            </w:pPr>
            <w:r>
              <w:t xml:space="preserve">250–400 bps above target</w:t>
            </w:r>
          </w:p>
        </w:tc>
        <w:tc>
          <w:tcPr/>
          <w:p>
            <w:pPr>
              <w:pStyle w:val="Compact"/>
              <w:jc w:val="left"/>
            </w:pPr>
            <w:r>
              <w:t xml:space="preserve">0.15</w:t>
            </w:r>
          </w:p>
        </w:tc>
        <w:tc>
          <w:tcPr/>
          <w:p>
            <w:pPr>
              <w:pStyle w:val="Compact"/>
              <w:jc w:val="left"/>
            </w:pPr>
            <w:r>
              <w:t xml:space="preserve">Severe constraint; easing would risk de-anchoring expectations</w:t>
            </w:r>
          </w:p>
        </w:tc>
      </w:tr>
      <w:tr>
        <w:tc>
          <w:tcPr/>
          <w:p>
            <w:pPr>
              <w:pStyle w:val="Compact"/>
              <w:jc w:val="left"/>
            </w:pPr>
            <w:r>
              <w:t xml:space="preserve">&gt; 400 bps above target</w:t>
            </w:r>
          </w:p>
        </w:tc>
        <w:tc>
          <w:tcPr/>
          <w:p>
            <w:pPr>
              <w:pStyle w:val="Compact"/>
              <w:jc w:val="left"/>
            </w:pPr>
            <w:r>
              <w:t xml:space="preserve">0.05 (breach)</w:t>
            </w:r>
          </w:p>
        </w:tc>
        <w:tc>
          <w:tcPr/>
          <w:p>
            <w:pPr>
              <w:pStyle w:val="Compact"/>
              <w:jc w:val="left"/>
            </w:pPr>
            <w:r>
              <w:t xml:space="preserve">Inflation crisis; policy response to financial shock severely impaired</w:t>
            </w:r>
          </w:p>
        </w:tc>
      </w:tr>
    </w:tbl>
    <w:p>
      <w:pPr>
        <w:pStyle w:val="BodyText"/>
      </w:pPr>
      <w:r>
        <w:rPr>
          <w:bCs/>
          <w:b/>
        </w:rPr>
        <w:t xml:space="preserve">Asymmetry rationale.</w:t>
      </w:r>
      <w:r>
        <w:t xml:space="preserve"> </w:t>
      </w:r>
      <w:r>
        <w:t xml:space="preserve">The scoring is asymmetric because the costs are asymmetric. Below-target inflation</w:t>
      </w:r>
      <w:r>
        <w:t xml:space="preserve"> </w:t>
      </w:r>
      <w:r>
        <w:rPr>
          <w:iCs/>
          <w:i/>
        </w:rPr>
        <w:t xml:space="preserve">facilitates</w:t>
      </w:r>
      <w:r>
        <w:t xml:space="preserve"> </w:t>
      </w:r>
      <w:r>
        <w:t xml:space="preserve">easing — it gives the Fed political and institutional cover to cut rates aggressively. Above-target inflation</w:t>
      </w:r>
      <w:r>
        <w:t xml:space="preserve"> </w:t>
      </w:r>
      <w:r>
        <w:rPr>
          <w:iCs/>
          <w:i/>
        </w:rPr>
        <w:t xml:space="preserve">constrains</w:t>
      </w:r>
      <w:r>
        <w:t xml:space="preserve"> </w:t>
      </w:r>
      <w:r>
        <w:t xml:space="preserve">easing — the Fed must weigh financial stability benefits against the risk of de-anchoring inflation expectations. The 2022–2023 experience demonstrated that the Fed will accept significant financial sector stress (SVB, regional banks, gilt crisis contagion) rather than ease prematurely with inflation well above target. The scoring reflects this revealed preference.</w:t>
      </w:r>
    </w:p>
    <w:p>
      <w:pPr>
        <w:pStyle w:val="BodyText"/>
      </w:pPr>
      <w:r>
        <w:rPr>
          <w:bCs/>
          <w:b/>
        </w:rPr>
        <w:t xml:space="preserve">Target definition.</w:t>
      </w:r>
      <w:r>
        <w:t xml:space="preserve"> </w:t>
      </w:r>
      <w:r>
        <w:t xml:space="preserve">For the modern era (post-2012), the target is the Fed’s explicit 2% PCE inflation objective. For pre-2012 periods, an implicit target of 2% is applied based on historical analysis of Fed behaviour. For pre-Fed periods (1907–1913), the concept of an inflation target is anachronistic; the inflation constraint is replaced by the gold standard constraint (§4.5.5).</w:t>
      </w:r>
    </w:p>
    <w:p>
      <w:pPr>
        <w:pStyle w:val="BodyText"/>
      </w:pPr>
      <w:r>
        <w:rPr>
          <w:bCs/>
          <w:b/>
        </w:rPr>
        <w:t xml:space="preserve">Constraint 3: Balance Sheet Capacity</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Scoring</w:t>
            </w:r>
          </w:p>
        </w:tc>
      </w:tr>
      <w:tr>
        <w:tc>
          <w:tcPr/>
          <w:p>
            <w:pPr>
              <w:pStyle w:val="Compact"/>
              <w:jc w:val="left"/>
            </w:pPr>
            <w:r>
              <w:t xml:space="preserve">Fed balance sheet / GDP (%)</w:t>
            </w:r>
          </w:p>
        </w:tc>
        <w:tc>
          <w:tcPr/>
          <w:p>
            <w:pPr>
              <w:pStyle w:val="Compact"/>
              <w:jc w:val="left"/>
            </w:pPr>
            <w:r>
              <w:t xml:space="preserve">FRED (WALCL, GDP)</w:t>
            </w:r>
          </w:p>
        </w:tc>
        <w:tc>
          <w:tcPr/>
          <w:p>
            <w:pPr>
              <w:pStyle w:val="Compact"/>
              <w:jc w:val="left"/>
            </w:pPr>
            <w:r>
              <w:t xml:space="preserve">Simple (lower is better)</w:t>
            </w:r>
          </w:p>
        </w:tc>
      </w:tr>
    </w:tbl>
    <w:p/>
    <w:tbl>
      <w:tblPr>
        <w:tblStyle w:val="Table"/>
        <w:tblW w:type="pct" w:w="5000"/>
        <w:tblLook w:firstRow="1" w:lastRow="0" w:firstColumn="0" w:lastColumn="0" w:noHBand="0" w:noVBand="0" w:val="0020"/>
        <w:jc w:val="start"/>
      </w:tblPr>
      <w:tblGrid>
        <w:gridCol w:w="1848"/>
        <w:gridCol w:w="1848"/>
        <w:gridCol w:w="4224"/>
      </w:tblGrid>
      <w:tr>
        <w:trPr>
          <w:tblHeader w:val="true"/>
        </w:trPr>
        <w:tc>
          <w:tcPr/>
          <w:p>
            <w:pPr>
              <w:pStyle w:val="Compact"/>
              <w:jc w:val="left"/>
            </w:pPr>
            <w:r>
              <w:t xml:space="preserve">Level</w:t>
            </w:r>
          </w:p>
        </w:tc>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&lt; 10%</w:t>
            </w:r>
          </w:p>
        </w:tc>
        <w:tc>
          <w:tcPr/>
          <w:p>
            <w:pPr>
              <w:pStyle w:val="Compact"/>
              <w:jc w:val="left"/>
            </w:pPr>
            <w:r>
              <w:t xml:space="preserve">1.00</w:t>
            </w:r>
          </w:p>
        </w:tc>
        <w:tc>
          <w:tcPr/>
          <w:p>
            <w:pPr>
              <w:pStyle w:val="Compact"/>
              <w:jc w:val="left"/>
            </w:pPr>
            <w:r>
              <w:t xml:space="preserve">Pre-QE capacity; substantial room for asset purchases</w:t>
            </w:r>
          </w:p>
        </w:tc>
      </w:tr>
      <w:tr>
        <w:tc>
          <w:tcPr/>
          <w:p>
            <w:pPr>
              <w:pStyle w:val="Compact"/>
              <w:jc w:val="left"/>
            </w:pPr>
            <w:r>
              <w:t xml:space="preserve">10–20%</w:t>
            </w:r>
          </w:p>
        </w:tc>
        <w:tc>
          <w:tcPr/>
          <w:p>
            <w:pPr>
              <w:pStyle w:val="Compact"/>
              <w:jc w:val="left"/>
            </w:pPr>
            <w:r>
              <w:t xml:space="preserve">0.80</w:t>
            </w:r>
          </w:p>
        </w:tc>
        <w:tc>
          <w:tcPr/>
          <w:p>
            <w:pPr>
              <w:pStyle w:val="Compact"/>
              <w:jc w:val="left"/>
            </w:pPr>
            <w:r>
              <w:t xml:space="preserve">Moderate capacity</w:t>
            </w:r>
          </w:p>
        </w:tc>
      </w:tr>
      <w:tr>
        <w:tc>
          <w:tcPr/>
          <w:p>
            <w:pPr>
              <w:pStyle w:val="Compact"/>
              <w:jc w:val="left"/>
            </w:pPr>
            <w:r>
              <w:t xml:space="preserve">20–30%</w:t>
            </w:r>
          </w:p>
        </w:tc>
        <w:tc>
          <w:tcPr/>
          <w:p>
            <w:pPr>
              <w:pStyle w:val="Compact"/>
              <w:jc w:val="left"/>
            </w:pPr>
            <w:r>
              <w:t xml:space="preserve">0.55</w:t>
            </w:r>
          </w:p>
        </w:tc>
        <w:tc>
          <w:tcPr/>
          <w:p>
            <w:pPr>
              <w:pStyle w:val="Compact"/>
              <w:jc w:val="left"/>
            </w:pPr>
            <w:r>
              <w:t xml:space="preserve">QE deployed but room remains</w:t>
            </w:r>
          </w:p>
        </w:tc>
      </w:tr>
      <w:tr>
        <w:tc>
          <w:tcPr/>
          <w:p>
            <w:pPr>
              <w:pStyle w:val="Compact"/>
              <w:jc w:val="left"/>
            </w:pPr>
            <w:r>
              <w:t xml:space="preserve">30–40%</w:t>
            </w:r>
          </w:p>
        </w:tc>
        <w:tc>
          <w:tcPr/>
          <w:p>
            <w:pPr>
              <w:pStyle w:val="Compact"/>
              <w:jc w:val="left"/>
            </w:pPr>
            <w:r>
              <w:t xml:space="preserve">0.30</w:t>
            </w:r>
          </w:p>
        </w:tc>
        <w:tc>
          <w:tcPr/>
          <w:p>
            <w:pPr>
              <w:pStyle w:val="Compact"/>
              <w:jc w:val="left"/>
            </w:pPr>
            <w:r>
              <w:t xml:space="preserve">Large footprint; diminishing returns likely</w:t>
            </w:r>
          </w:p>
        </w:tc>
      </w:tr>
      <w:tr>
        <w:tc>
          <w:tcPr/>
          <w:p>
            <w:pPr>
              <w:pStyle w:val="Compact"/>
              <w:jc w:val="left"/>
            </w:pPr>
            <w:r>
              <w:t xml:space="preserve">&gt; 40%</w:t>
            </w:r>
          </w:p>
        </w:tc>
        <w:tc>
          <w:tcPr/>
          <w:p>
            <w:pPr>
              <w:pStyle w:val="Compact"/>
              <w:jc w:val="left"/>
            </w:pPr>
            <w:r>
              <w:t xml:space="preserve">0.10</w:t>
            </w:r>
          </w:p>
        </w:tc>
        <w:tc>
          <w:tcPr/>
          <w:p>
            <w:pPr>
              <w:pStyle w:val="Compact"/>
              <w:jc w:val="left"/>
            </w:pPr>
            <w:r>
              <w:t xml:space="preserve">Near-capacity; further expansion risks market distortion</w:t>
            </w:r>
          </w:p>
        </w:tc>
      </w:tr>
    </w:tbl>
    <w:p>
      <w:pPr>
        <w:pStyle w:val="BodyText"/>
      </w:pPr>
      <w:r>
        <w:rPr>
          <w:bCs/>
          <w:b/>
        </w:rPr>
        <w:t xml:space="preserve">Constraint 4: Fiscal Space</w:t>
      </w:r>
    </w:p>
    <w:tbl>
      <w:tblPr>
        <w:tblStyle w:val="Table"/>
        <w:tblW w:type="pct" w:w="5000"/>
        <w:tblLook w:firstRow="1" w:lastRow="0" w:firstColumn="0" w:lastColumn="0" w:noHBand="0" w:noVBand="0" w:val="0020"/>
        <w:jc w:val="start"/>
      </w:tblPr>
      <w:tblGrid>
        <w:gridCol w:w="3111"/>
        <w:gridCol w:w="2262"/>
        <w:gridCol w:w="2545"/>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Scoring</w:t>
            </w:r>
          </w:p>
        </w:tc>
      </w:tr>
      <w:tr>
        <w:tc>
          <w:tcPr/>
          <w:p>
            <w:pPr>
              <w:pStyle w:val="Compact"/>
              <w:jc w:val="left"/>
            </w:pPr>
            <w:r>
              <w:t xml:space="preserve">Federal debt / GDP (%)</w:t>
            </w:r>
          </w:p>
        </w:tc>
        <w:tc>
          <w:tcPr/>
          <w:p>
            <w:pPr>
              <w:pStyle w:val="Compact"/>
              <w:jc w:val="left"/>
            </w:pPr>
            <w:r>
              <w:t xml:space="preserve">FRED (GFDEGDQ188S)</w:t>
            </w:r>
          </w:p>
        </w:tc>
        <w:tc>
          <w:tcPr/>
          <w:p>
            <w:pPr>
              <w:pStyle w:val="Compact"/>
              <w:jc w:val="left"/>
            </w:pPr>
            <w:r>
              <w:t xml:space="preserve">Simple (lower is better)</w:t>
            </w:r>
          </w:p>
        </w:tc>
      </w:tr>
    </w:tbl>
    <w:p/>
    <w:tbl>
      <w:tblPr>
        <w:tblStyle w:val="Table"/>
        <w:tblW w:type="pct" w:w="5000"/>
        <w:tblLook w:firstRow="1" w:lastRow="0" w:firstColumn="0" w:lastColumn="0" w:noHBand="0" w:noVBand="0" w:val="0020"/>
        <w:jc w:val="start"/>
      </w:tblPr>
      <w:tblGrid>
        <w:gridCol w:w="1848"/>
        <w:gridCol w:w="1848"/>
        <w:gridCol w:w="4224"/>
      </w:tblGrid>
      <w:tr>
        <w:trPr>
          <w:tblHeader w:val="true"/>
        </w:trPr>
        <w:tc>
          <w:tcPr/>
          <w:p>
            <w:pPr>
              <w:pStyle w:val="Compact"/>
              <w:jc w:val="left"/>
            </w:pPr>
            <w:r>
              <w:t xml:space="preserve">Level</w:t>
            </w:r>
          </w:p>
        </w:tc>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&lt; 60%</w:t>
            </w:r>
          </w:p>
        </w:tc>
        <w:tc>
          <w:tcPr/>
          <w:p>
            <w:pPr>
              <w:pStyle w:val="Compact"/>
              <w:jc w:val="left"/>
            </w:pPr>
            <w:r>
              <w:t xml:space="preserve">1.00</w:t>
            </w:r>
          </w:p>
        </w:tc>
        <w:tc>
          <w:tcPr/>
          <w:p>
            <w:pPr>
              <w:pStyle w:val="Compact"/>
              <w:jc w:val="left"/>
            </w:pPr>
            <w:r>
              <w:t xml:space="preserve">Substantial fiscal room</w:t>
            </w:r>
          </w:p>
        </w:tc>
      </w:tr>
      <w:tr>
        <w:tc>
          <w:tcPr/>
          <w:p>
            <w:pPr>
              <w:pStyle w:val="Compact"/>
              <w:jc w:val="left"/>
            </w:pPr>
            <w:r>
              <w:t xml:space="preserve">60–80%</w:t>
            </w:r>
          </w:p>
        </w:tc>
        <w:tc>
          <w:tcPr/>
          <w:p>
            <w:pPr>
              <w:pStyle w:val="Compact"/>
              <w:jc w:val="left"/>
            </w:pPr>
            <w:r>
              <w:t xml:space="preserve">0.75</w:t>
            </w:r>
          </w:p>
        </w:tc>
        <w:tc>
          <w:tcPr/>
          <w:p>
            <w:pPr>
              <w:pStyle w:val="Compact"/>
              <w:jc w:val="left"/>
            </w:pPr>
            <w:r>
              <w:t xml:space="preserve">Adequate but not unlimited</w:t>
            </w:r>
          </w:p>
        </w:tc>
      </w:tr>
      <w:tr>
        <w:tc>
          <w:tcPr/>
          <w:p>
            <w:pPr>
              <w:pStyle w:val="Compact"/>
              <w:jc w:val="left"/>
            </w:pPr>
            <w:r>
              <w:t xml:space="preserve">80–100%</w:t>
            </w:r>
          </w:p>
        </w:tc>
        <w:tc>
          <w:tcPr/>
          <w:p>
            <w:pPr>
              <w:pStyle w:val="Compact"/>
              <w:jc w:val="left"/>
            </w:pPr>
            <w:r>
              <w:t xml:space="preserve">0.50</w:t>
            </w:r>
          </w:p>
        </w:tc>
        <w:tc>
          <w:tcPr/>
          <w:p>
            <w:pPr>
              <w:pStyle w:val="Compact"/>
              <w:jc w:val="left"/>
            </w:pPr>
            <w:r>
              <w:t xml:space="preserve">Constrained; fiscal stimulus faces political headwinds</w:t>
            </w:r>
          </w:p>
        </w:tc>
      </w:tr>
      <w:tr>
        <w:tc>
          <w:tcPr/>
          <w:p>
            <w:pPr>
              <w:pStyle w:val="Compact"/>
              <w:jc w:val="left"/>
            </w:pPr>
            <w:r>
              <w:t xml:space="preserve">100–130%</w:t>
            </w:r>
          </w:p>
        </w:tc>
        <w:tc>
          <w:tcPr/>
          <w:p>
            <w:pPr>
              <w:pStyle w:val="Compact"/>
              <w:jc w:val="left"/>
            </w:pPr>
            <w:r>
              <w:t xml:space="preserve">0.30</w:t>
            </w:r>
          </w:p>
        </w:tc>
        <w:tc>
          <w:tcPr/>
          <w:p>
            <w:pPr>
              <w:pStyle w:val="Compact"/>
              <w:jc w:val="left"/>
            </w:pPr>
            <w:r>
              <w:t xml:space="preserve">Severely constrained</w:t>
            </w:r>
          </w:p>
        </w:tc>
      </w:tr>
      <w:tr>
        <w:tc>
          <w:tcPr/>
          <w:p>
            <w:pPr>
              <w:pStyle w:val="Compact"/>
              <w:jc w:val="left"/>
            </w:pPr>
            <w:r>
              <w:t xml:space="preserve">&gt; 130%</w:t>
            </w:r>
          </w:p>
        </w:tc>
        <w:tc>
          <w:tcPr/>
          <w:p>
            <w:pPr>
              <w:pStyle w:val="Compact"/>
              <w:jc w:val="left"/>
            </w:pPr>
            <w:r>
              <w:t xml:space="preserve">0.10</w:t>
            </w:r>
          </w:p>
        </w:tc>
        <w:tc>
          <w:tcPr/>
          <w:p>
            <w:pPr>
              <w:pStyle w:val="Compact"/>
              <w:jc w:val="left"/>
            </w:pPr>
            <w:r>
              <w:t xml:space="preserve">Fiscal capacity effectively exhausted for large-scale intervention</w:t>
            </w:r>
          </w:p>
        </w:tc>
      </w:tr>
    </w:tbl>
    <w:bookmarkEnd w:id="42"/>
    <w:bookmarkStart w:id="43" w:name="weighted-average-mode"/>
    <w:p>
      <w:pPr>
        <w:pStyle w:val="Heading4"/>
      </w:pPr>
      <w:r>
        <w:t xml:space="preserve">4.5.4 Weighted Average Mode</w:t>
      </w:r>
    </w:p>
    <w:p>
      <w:pPr>
        <w:pStyle w:val="FirstParagraph"/>
      </w:pPr>
      <w:r>
        <w:t xml:space="preserve">When the gap between the tightest and loosest constraints is ≤ 0.25, the pillar uses a weighted average with the following weights:</w:t>
      </w:r>
    </w:p>
    <w:tbl>
      <w:tblPr>
        <w:tblStyle w:val="Table"/>
        <w:tblW w:type="pct" w:w="5000"/>
        <w:tblLook w:firstRow="1" w:lastRow="0" w:firstColumn="0" w:lastColumn="0" w:noHBand="0" w:noVBand="0" w:val="0020"/>
        <w:jc w:val="start"/>
      </w:tblPr>
      <w:tblGrid>
        <w:gridCol w:w="2904"/>
        <w:gridCol w:w="2112"/>
        <w:gridCol w:w="2904"/>
      </w:tblGrid>
      <w:tr>
        <w:trPr>
          <w:tblHeader w:val="true"/>
        </w:trPr>
        <w:tc>
          <w:tcPr/>
          <w:p>
            <w:pPr>
              <w:pStyle w:val="Compact"/>
              <w:jc w:val="left"/>
            </w:pPr>
            <w:r>
              <w:t xml:space="preserve">Constraint</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Inflation</w:t>
            </w:r>
          </w:p>
        </w:tc>
        <w:tc>
          <w:tcPr/>
          <w:p>
            <w:pPr>
              <w:pStyle w:val="Compact"/>
              <w:jc w:val="left"/>
            </w:pPr>
            <w:r>
              <w:rPr>
                <w:bCs/>
                <w:b/>
              </w:rPr>
              <w:t xml:space="preserve">0.35</w:t>
            </w:r>
          </w:p>
        </w:tc>
        <w:tc>
          <w:tcPr/>
          <w:p>
            <w:pPr>
              <w:pStyle w:val="Compact"/>
              <w:jc w:val="left"/>
            </w:pPr>
            <w:r>
              <w:t xml:space="preserve">The dominant policy driver across historical regimes; constrains willingness, not just ability</w:t>
            </w:r>
          </w:p>
        </w:tc>
      </w:tr>
      <w:tr>
        <w:tc>
          <w:tcPr/>
          <w:p>
            <w:pPr>
              <w:pStyle w:val="Compact"/>
              <w:jc w:val="left"/>
            </w:pPr>
            <w:r>
              <w:t xml:space="preserve">Rate room</w:t>
            </w:r>
          </w:p>
        </w:tc>
        <w:tc>
          <w:tcPr/>
          <w:p>
            <w:pPr>
              <w:pStyle w:val="Compact"/>
              <w:jc w:val="left"/>
            </w:pPr>
            <w:r>
              <w:t xml:space="preserve">0.25</w:t>
            </w:r>
          </w:p>
        </w:tc>
        <w:tc>
          <w:tcPr/>
          <w:p>
            <w:pPr>
              <w:pStyle w:val="Compact"/>
              <w:jc w:val="left"/>
            </w:pPr>
            <w:r>
              <w:t xml:space="preserve">The primary conventional tool; constrains ability</w:t>
            </w:r>
          </w:p>
        </w:tc>
      </w:tr>
      <w:tr>
        <w:tc>
          <w:tcPr/>
          <w:p>
            <w:pPr>
              <w:pStyle w:val="Compact"/>
              <w:jc w:val="left"/>
            </w:pPr>
            <w:r>
              <w:t xml:space="preserve">Balance sheet</w:t>
            </w:r>
          </w:p>
        </w:tc>
        <w:tc>
          <w:tcPr/>
          <w:p>
            <w:pPr>
              <w:pStyle w:val="Compact"/>
              <w:jc w:val="left"/>
            </w:pPr>
            <w:r>
              <w:t xml:space="preserve">0.20</w:t>
            </w:r>
          </w:p>
        </w:tc>
        <w:tc>
          <w:tcPr/>
          <w:p>
            <w:pPr>
              <w:pStyle w:val="Compact"/>
              <w:jc w:val="left"/>
            </w:pPr>
            <w:r>
              <w:t xml:space="preserve">The primary unconventional tool</w:t>
            </w:r>
          </w:p>
        </w:tc>
      </w:tr>
      <w:tr>
        <w:tc>
          <w:tcPr/>
          <w:p>
            <w:pPr>
              <w:pStyle w:val="Compact"/>
              <w:jc w:val="left"/>
            </w:pPr>
            <w:r>
              <w:t xml:space="preserve">Fiscal space</w:t>
            </w:r>
          </w:p>
        </w:tc>
        <w:tc>
          <w:tcPr/>
          <w:p>
            <w:pPr>
              <w:pStyle w:val="Compact"/>
              <w:jc w:val="left"/>
            </w:pPr>
            <w:r>
              <w:t xml:space="preserve">0.20</w:t>
            </w:r>
          </w:p>
        </w:tc>
        <w:tc>
          <w:tcPr/>
          <w:p>
            <w:pPr>
              <w:pStyle w:val="Compact"/>
              <w:jc w:val="left"/>
            </w:pPr>
            <w:r>
              <w:t xml:space="preserve">Determines government backstop capacity</w:t>
            </w:r>
          </w:p>
        </w:tc>
      </w:tr>
    </w:tbl>
    <w:p>
      <w:pPr>
        <w:pStyle w:val="BodyText"/>
      </w:pPr>
      <w:r>
        <w:t xml:space="preserve">The inflation constraint receives the largest weight even in the blended mode because it is the most persistent binding constraint across the full 1907–2025 sample. Rate room has been binding for approximately 15 years of the 117-year sample (1930s ZLB, 2009–2015, 2020–2021). The inflation constraint has been binding for approximately 25 years (1916–1920 wartime inflation, 1940s price controls era, 1968–1982 Great Inflation, 2021–2023 post-COVID inflation). Weighting reflects the frequency with which each constraint has historically limited policy response.</w:t>
      </w:r>
    </w:p>
    <w:bookmarkEnd w:id="43"/>
    <w:bookmarkStart w:id="44" w:name="inflation-proxy-chain-1907present"/>
    <w:p>
      <w:pPr>
        <w:pStyle w:val="Heading4"/>
      </w:pPr>
      <w:r>
        <w:t xml:space="preserve">4.5.5 Inflation Proxy Chain (1907–present)</w:t>
      </w:r>
    </w:p>
    <w:p>
      <w:pPr>
        <w:pStyle w:val="FirstParagraph"/>
      </w:pPr>
      <w:r>
        <w:t xml:space="preserve">The inflation constraint requires trailing 12-month price change data across the full backtest period. The proxy chain is:</w:t>
      </w:r>
    </w:p>
    <w:tbl>
      <w:tblPr>
        <w:tblStyle w:val="Table"/>
        <w:tblW w:type="pct" w:w="5000"/>
        <w:tblLook w:firstRow="1" w:lastRow="0" w:firstColumn="0" w:lastColumn="0" w:noHBand="0" w:noVBand="0" w:val="0020"/>
        <w:jc w:val="start"/>
      </w:tblPr>
      <w:tblGrid>
        <w:gridCol w:w="1508"/>
        <w:gridCol w:w="1508"/>
        <w:gridCol w:w="1508"/>
        <w:gridCol w:w="2074"/>
        <w:gridCol w:w="1320"/>
      </w:tblGrid>
      <w:tr>
        <w:trPr>
          <w:tblHeader w:val="true"/>
        </w:trPr>
        <w:tc>
          <w:tcPr/>
          <w:p>
            <w:pPr>
              <w:pStyle w:val="Compact"/>
              <w:jc w:val="left"/>
            </w:pPr>
            <w:r>
              <w:t xml:space="preserve">Period</w:t>
            </w:r>
          </w:p>
        </w:tc>
        <w:tc>
          <w:tcPr/>
          <w:p>
            <w:pPr>
              <w:pStyle w:val="Compact"/>
              <w:jc w:val="left"/>
            </w:pPr>
            <w:r>
              <w:t xml:space="preserve">Source</w:t>
            </w:r>
          </w:p>
        </w:tc>
        <w:tc>
          <w:tcPr/>
          <w:p>
            <w:pPr>
              <w:pStyle w:val="Compact"/>
              <w:jc w:val="left"/>
            </w:pPr>
            <w:r>
              <w:t xml:space="preserve">Series</w:t>
            </w:r>
          </w:p>
        </w:tc>
        <w:tc>
          <w:tcPr/>
          <w:p>
            <w:pPr>
              <w:pStyle w:val="Compact"/>
              <w:jc w:val="left"/>
            </w:pPr>
            <w:r>
              <w:t xml:space="preserve">Frequency</w:t>
            </w:r>
          </w:p>
        </w:tc>
        <w:tc>
          <w:tcPr/>
          <w:p>
            <w:pPr>
              <w:pStyle w:val="Compact"/>
              <w:jc w:val="left"/>
            </w:pPr>
            <w:r>
              <w:t xml:space="preserve">Notes</w:t>
            </w:r>
          </w:p>
        </w:tc>
      </w:tr>
      <w:tr>
        <w:tc>
          <w:tcPr/>
          <w:p>
            <w:pPr>
              <w:pStyle w:val="Compact"/>
              <w:jc w:val="left"/>
            </w:pPr>
            <w:r>
              <w:t xml:space="preserve">1959–present</w:t>
            </w:r>
          </w:p>
        </w:tc>
        <w:tc>
          <w:tcPr/>
          <w:p>
            <w:pPr>
              <w:pStyle w:val="Compact"/>
              <w:jc w:val="left"/>
            </w:pPr>
            <w:r>
              <w:t xml:space="preserve">FRED</w:t>
            </w:r>
          </w:p>
        </w:tc>
        <w:tc>
          <w:tcPr/>
          <w:p>
            <w:pPr>
              <w:pStyle w:val="Compact"/>
              <w:jc w:val="left"/>
            </w:pPr>
            <w:r>
              <w:t xml:space="preserve">PCEPILFE (Core PCE)</w:t>
            </w:r>
          </w:p>
        </w:tc>
        <w:tc>
          <w:tcPr/>
          <w:p>
            <w:pPr>
              <w:pStyle w:val="Compact"/>
              <w:jc w:val="left"/>
            </w:pPr>
            <w:r>
              <w:t xml:space="preserve">Monthly</w:t>
            </w:r>
          </w:p>
        </w:tc>
        <w:tc>
          <w:tcPr/>
          <w:p>
            <w:pPr>
              <w:pStyle w:val="Compact"/>
              <w:jc w:val="left"/>
            </w:pPr>
            <w:r>
              <w:t xml:space="preserve">Native indicator; excludes food and energy</w:t>
            </w:r>
          </w:p>
        </w:tc>
      </w:tr>
      <w:tr>
        <w:tc>
          <w:tcPr/>
          <w:p>
            <w:pPr>
              <w:pStyle w:val="Compact"/>
              <w:jc w:val="left"/>
            </w:pPr>
            <w:r>
              <w:t xml:space="preserve">1947–1959</w:t>
            </w:r>
          </w:p>
        </w:tc>
        <w:tc>
          <w:tcPr/>
          <w:p>
            <w:pPr>
              <w:pStyle w:val="Compact"/>
              <w:jc w:val="left"/>
            </w:pPr>
            <w:r>
              <w:t xml:space="preserve">FRED</w:t>
            </w:r>
          </w:p>
        </w:tc>
        <w:tc>
          <w:tcPr/>
          <w:p>
            <w:pPr>
              <w:pStyle w:val="Compact"/>
              <w:jc w:val="left"/>
            </w:pPr>
            <w:r>
              <w:t xml:space="preserve">CPIAUCSL (CPI-U)</w:t>
            </w:r>
          </w:p>
        </w:tc>
        <w:tc>
          <w:tcPr/>
          <w:p>
            <w:pPr>
              <w:pStyle w:val="Compact"/>
              <w:jc w:val="left"/>
            </w:pPr>
            <w:r>
              <w:t xml:space="preserve">Monthly</w:t>
            </w:r>
          </w:p>
        </w:tc>
        <w:tc>
          <w:tcPr/>
          <w:p>
            <w:pPr>
              <w:pStyle w:val="Compact"/>
              <w:jc w:val="left"/>
            </w:pPr>
            <w:r>
              <w:t xml:space="preserve">Headline CPI; no core decomposition available</w:t>
            </w:r>
          </w:p>
        </w:tc>
      </w:tr>
      <w:tr>
        <w:tc>
          <w:tcPr/>
          <w:p>
            <w:pPr>
              <w:pStyle w:val="Compact"/>
              <w:jc w:val="left"/>
            </w:pPr>
            <w:r>
              <w:t xml:space="preserve">1913–1947</w:t>
            </w:r>
          </w:p>
        </w:tc>
        <w:tc>
          <w:tcPr/>
          <w:p>
            <w:pPr>
              <w:pStyle w:val="Compact"/>
              <w:jc w:val="left"/>
            </w:pPr>
            <w:r>
              <w:t xml:space="preserve">FRED</w:t>
            </w:r>
          </w:p>
        </w:tc>
        <w:tc>
          <w:tcPr/>
          <w:p>
            <w:pPr>
              <w:pStyle w:val="Compact"/>
              <w:jc w:val="left"/>
            </w:pPr>
            <w:r>
              <w:t xml:space="preserve">CPIAUCNS (CPI, NSA)</w:t>
            </w:r>
          </w:p>
        </w:tc>
        <w:tc>
          <w:tcPr/>
          <w:p>
            <w:pPr>
              <w:pStyle w:val="Compact"/>
              <w:jc w:val="left"/>
            </w:pPr>
            <w:r>
              <w:t xml:space="preserve">Monthly</w:t>
            </w:r>
          </w:p>
        </w:tc>
        <w:tc>
          <w:tcPr/>
          <w:p>
            <w:pPr>
              <w:pStyle w:val="Compact"/>
              <w:jc w:val="left"/>
            </w:pPr>
            <w:r>
              <w:t xml:space="preserve">BLS CPI; first published 1921, backdated to 1913</w:t>
            </w:r>
          </w:p>
        </w:tc>
      </w:tr>
      <w:tr>
        <w:tc>
          <w:tcPr/>
          <w:p>
            <w:pPr>
              <w:pStyle w:val="Compact"/>
              <w:jc w:val="left"/>
            </w:pPr>
            <w:r>
              <w:t xml:space="preserve">1890–1913</w:t>
            </w:r>
          </w:p>
        </w:tc>
        <w:tc>
          <w:tcPr/>
          <w:p>
            <w:pPr>
              <w:pStyle w:val="Compact"/>
              <w:jc w:val="left"/>
            </w:pPr>
            <w:r>
              <w:t xml:space="preserve">Minneapolis Fed</w:t>
            </w:r>
          </w:p>
        </w:tc>
        <w:tc>
          <w:tcPr/>
          <w:p>
            <w:pPr>
              <w:pStyle w:val="Compact"/>
              <w:jc w:val="left"/>
            </w:pPr>
            <w:r>
              <w:t xml:space="preserve">Rees Cost of Living Index</w:t>
            </w:r>
          </w:p>
        </w:tc>
        <w:tc>
          <w:tcPr/>
          <w:p>
            <w:pPr>
              <w:pStyle w:val="Compact"/>
              <w:jc w:val="left"/>
            </w:pPr>
            <w:r>
              <w:t xml:space="preserve">Annual</w:t>
            </w:r>
          </w:p>
        </w:tc>
        <w:tc>
          <w:tcPr/>
          <w:p>
            <w:pPr>
              <w:pStyle w:val="Compact"/>
              <w:jc w:val="left"/>
            </w:pPr>
            <w:r>
              <w:t xml:space="preserve">Albert Rees (1961) consumer cost index; interpolated to monthly</w:t>
            </w:r>
          </w:p>
        </w:tc>
      </w:tr>
      <w:tr>
        <w:tc>
          <w:tcPr/>
          <w:p>
            <w:pPr>
              <w:pStyle w:val="Compact"/>
              <w:jc w:val="left"/>
            </w:pPr>
            <w:r>
              <w:t xml:space="preserve">1850–1890</w:t>
            </w:r>
          </w:p>
        </w:tc>
        <w:tc>
          <w:tcPr/>
          <w:p>
            <w:pPr>
              <w:pStyle w:val="Compact"/>
              <w:jc w:val="left"/>
            </w:pPr>
            <w:r>
              <w:t xml:space="preserve">FRED (NBER)</w:t>
            </w:r>
          </w:p>
        </w:tc>
        <w:tc>
          <w:tcPr/>
          <w:p>
            <w:pPr>
              <w:pStyle w:val="Compact"/>
              <w:jc w:val="left"/>
            </w:pPr>
            <w:r>
              <w:t xml:space="preserve">M0448AUSM323NNBR (Warren-Pearson WPI)</w:t>
            </w:r>
          </w:p>
        </w:tc>
        <w:tc>
          <w:tcPr/>
          <w:p>
            <w:pPr>
              <w:pStyle w:val="Compact"/>
              <w:jc w:val="left"/>
            </w:pPr>
            <w:r>
              <w:t xml:space="preserve">Monthly</w:t>
            </w:r>
          </w:p>
        </w:tc>
        <w:tc>
          <w:tcPr/>
          <w:p>
            <w:pPr>
              <w:pStyle w:val="Compact"/>
              <w:jc w:val="left"/>
            </w:pPr>
            <w:r>
              <w:t xml:space="preserve">Wholesale price index; scaled to approximate consumer price changes</w:t>
            </w:r>
          </w:p>
        </w:tc>
      </w:tr>
    </w:tbl>
    <w:p>
      <w:pPr>
        <w:pStyle w:val="BodyText"/>
      </w:pPr>
      <w:r>
        <w:rPr>
          <w:bCs/>
          <w:b/>
        </w:rPr>
        <w:t xml:space="preserve">Proxy quality assessment:</w:t>
      </w:r>
    </w:p>
    <w:tbl>
      <w:tblPr>
        <w:tblStyle w:val="Table"/>
        <w:tblW w:type="pct" w:w="5000"/>
        <w:tblLook w:firstRow="1" w:lastRow="0" w:firstColumn="0" w:lastColumn="0" w:noHBand="0" w:noVBand="0" w:val="0020"/>
        <w:jc w:val="start"/>
      </w:tblPr>
      <w:tblGrid>
        <w:gridCol w:w="1920"/>
        <w:gridCol w:w="2160"/>
        <w:gridCol w:w="3840"/>
      </w:tblGrid>
      <w:tr>
        <w:trPr>
          <w:tblHeader w:val="true"/>
        </w:trPr>
        <w:tc>
          <w:tcPr/>
          <w:p>
            <w:pPr>
              <w:pStyle w:val="Compact"/>
              <w:jc w:val="left"/>
            </w:pPr>
            <w:r>
              <w:t xml:space="preserve">Period</w:t>
            </w:r>
          </w:p>
        </w:tc>
        <w:tc>
          <w:tcPr/>
          <w:p>
            <w:pPr>
              <w:pStyle w:val="Compact"/>
              <w:jc w:val="left"/>
            </w:pPr>
            <w:r>
              <w:t xml:space="preserve">Quality</w:t>
            </w:r>
          </w:p>
        </w:tc>
        <w:tc>
          <w:tcPr/>
          <w:p>
            <w:pPr>
              <w:pStyle w:val="Compact"/>
              <w:jc w:val="left"/>
            </w:pPr>
            <w:r>
              <w:t xml:space="preserve">Key Limitation</w:t>
            </w:r>
          </w:p>
        </w:tc>
      </w:tr>
      <w:tr>
        <w:tc>
          <w:tcPr/>
          <w:p>
            <w:pPr>
              <w:pStyle w:val="Compact"/>
              <w:jc w:val="left"/>
            </w:pPr>
            <w:r>
              <w:t xml:space="preserve">1959–present</w:t>
            </w:r>
          </w:p>
        </w:tc>
        <w:tc>
          <w:tcPr/>
          <w:p>
            <w:pPr>
              <w:pStyle w:val="Compact"/>
              <w:jc w:val="left"/>
            </w:pPr>
            <w:r>
              <w:t xml:space="preserve">Excellent</w:t>
            </w:r>
          </w:p>
        </w:tc>
        <w:tc>
          <w:tcPr/>
          <w:p>
            <w:pPr>
              <w:pStyle w:val="Compact"/>
              <w:jc w:val="left"/>
            </w:pPr>
            <w:r>
              <w:t xml:space="preserve">Core PCE is the Fed’s preferred measure; direct observation</w:t>
            </w:r>
          </w:p>
        </w:tc>
      </w:tr>
      <w:tr>
        <w:tc>
          <w:tcPr/>
          <w:p>
            <w:pPr>
              <w:pStyle w:val="Compact"/>
              <w:jc w:val="left"/>
            </w:pPr>
            <w:r>
              <w:t xml:space="preserve">1947–1959</w:t>
            </w:r>
          </w:p>
        </w:tc>
        <w:tc>
          <w:tcPr/>
          <w:p>
            <w:pPr>
              <w:pStyle w:val="Compact"/>
              <w:jc w:val="left"/>
            </w:pPr>
            <w:r>
              <w:t xml:space="preserve">Good</w:t>
            </w:r>
          </w:p>
        </w:tc>
        <w:tc>
          <w:tcPr/>
          <w:p>
            <w:pPr>
              <w:pStyle w:val="Compact"/>
              <w:jc w:val="left"/>
            </w:pPr>
            <w:r>
              <w:t xml:space="preserve">Headline CPI includes food/energy volatility; no core decomposition</w:t>
            </w:r>
          </w:p>
        </w:tc>
      </w:tr>
      <w:tr>
        <w:tc>
          <w:tcPr/>
          <w:p>
            <w:pPr>
              <w:pStyle w:val="Compact"/>
              <w:jc w:val="left"/>
            </w:pPr>
            <w:r>
              <w:t xml:space="preserve">1913–1947</w:t>
            </w:r>
          </w:p>
        </w:tc>
        <w:tc>
          <w:tcPr/>
          <w:p>
            <w:pPr>
              <w:pStyle w:val="Compact"/>
              <w:jc w:val="left"/>
            </w:pPr>
            <w:r>
              <w:t xml:space="preserve">Fair</w:t>
            </w:r>
          </w:p>
        </w:tc>
        <w:tc>
          <w:tcPr/>
          <w:p>
            <w:pPr>
              <w:pStyle w:val="Compact"/>
              <w:jc w:val="left"/>
            </w:pPr>
            <w:r>
              <w:t xml:space="preserve">CPI methodology less refined; urban bias; limited goods basket</w:t>
            </w:r>
          </w:p>
        </w:tc>
      </w:tr>
      <w:tr>
        <w:tc>
          <w:tcPr/>
          <w:p>
            <w:pPr>
              <w:pStyle w:val="Compact"/>
              <w:jc w:val="left"/>
            </w:pPr>
            <w:r>
              <w:t xml:space="preserve">1890–1913</w:t>
            </w:r>
          </w:p>
        </w:tc>
        <w:tc>
          <w:tcPr/>
          <w:p>
            <w:pPr>
              <w:pStyle w:val="Compact"/>
              <w:jc w:val="left"/>
            </w:pPr>
            <w:r>
              <w:t xml:space="preserve">Poor</w:t>
            </w:r>
          </w:p>
        </w:tc>
        <w:tc>
          <w:tcPr/>
          <w:p>
            <w:pPr>
              <w:pStyle w:val="Compact"/>
              <w:jc w:val="left"/>
            </w:pPr>
            <w:r>
              <w:t xml:space="preserve">Annual frequency (interpolated); cost-of-living concept approximate</w:t>
            </w:r>
          </w:p>
        </w:tc>
      </w:tr>
      <w:tr>
        <w:tc>
          <w:tcPr/>
          <w:p>
            <w:pPr>
              <w:pStyle w:val="Compact"/>
              <w:jc w:val="left"/>
            </w:pPr>
            <w:r>
              <w:t xml:space="preserve">1850–1890</w:t>
            </w:r>
          </w:p>
        </w:tc>
        <w:tc>
          <w:tcPr/>
          <w:p>
            <w:pPr>
              <w:pStyle w:val="Compact"/>
              <w:jc w:val="left"/>
            </w:pPr>
            <w:r>
              <w:t xml:space="preserve">Poor</w:t>
            </w:r>
          </w:p>
        </w:tc>
        <w:tc>
          <w:tcPr/>
          <w:p>
            <w:pPr>
              <w:pStyle w:val="Compact"/>
              <w:jc w:val="left"/>
            </w:pPr>
            <w:r>
              <w:t xml:space="preserve">WPI is a wholesale, not consumer, measure; scaling factor introduces estimation error</w:t>
            </w:r>
          </w:p>
        </w:tc>
      </w:tr>
    </w:tbl>
    <w:p>
      <w:pPr>
        <w:pStyle w:val="BodyText"/>
      </w:pPr>
      <w:r>
        <w:rPr>
          <w:bCs/>
          <w:b/>
        </w:rPr>
        <w:t xml:space="preserve">WPI-to-CPI scaling (pre-1913).</w:t>
      </w:r>
      <w:r>
        <w:t xml:space="preserve"> </w:t>
      </w:r>
      <w:r>
        <w:t xml:space="preserve">Wholesale prices and consumer prices diverge systematically — WPI is more volatile and has different secular trends due to its heavy weighting on raw commodities and industrial inputs. During the 1913–1940 overlap period (where both WPI and CPI are available monthly), the ratio of 12-month WPI changes to 12-month CPI changes averages approximately 1.6× with a standard deviation of 0.8×. For the pre-1913 period, we apply a scaling factor of 1/1.5 to WPI 12-month changes to approximate consumer price changes. This is a crude adjustment and is flagged in the data quality tier as</w:t>
      </w:r>
      <w:r>
        <w:t xml:space="preserve"> </w:t>
      </w:r>
      <w:r>
        <w:t xml:space="preserve">“</w:t>
      </w:r>
      <w:r>
        <w:t xml:space="preserve">Poor.</w:t>
      </w:r>
      <w:r>
        <w:t xml:space="preserve">”</w:t>
      </w:r>
    </w:p>
    <w:p>
      <w:pPr>
        <w:pStyle w:val="BodyText"/>
      </w:pPr>
      <w:r>
        <w:rPr>
          <w:bCs/>
          <w:b/>
        </w:rPr>
        <w:t xml:space="preserve">Deflation periods.</w:t>
      </w:r>
      <w:r>
        <w:t xml:space="preserve"> </w:t>
      </w:r>
      <w:r>
        <w:t xml:space="preserve">The proxy chain must handle extended deflation episodes correctly, particularly the 1870s–1890s Long Deflation (prices fell approximately 1–2% annually under the gold standard) and the 1929–1933 Great Deflation (approximately −10% annually). Under the asymmetric scoring system, these episodes score as 0.55–0.85 — deflation is mildly supportive of easing, not a binding constraint on policy. This is historically appropriate: during the 1929–1933 deflation, the constraint on Fed action was not that prices were falling (which should have encouraged easing) but that the gold standard required maintaining reserves, and that the institutional capacity of the early Fed was limited (captured by the structural penalties in §4.5.6).</w:t>
      </w:r>
    </w:p>
    <w:bookmarkEnd w:id="44"/>
    <w:bookmarkStart w:id="45" w:name="historical-constraint-set-by-era"/>
    <w:p>
      <w:pPr>
        <w:pStyle w:val="Heading4"/>
      </w:pPr>
      <w:r>
        <w:t xml:space="preserve">4.5.6 Historical Constraint Set by Era</w:t>
      </w:r>
    </w:p>
    <w:p>
      <w:pPr>
        <w:pStyle w:val="FirstParagraph"/>
      </w:pPr>
      <w:r>
        <w:t xml:space="preserve">The active constraint set varies by era based on the institutional structure of the monetary system:</w:t>
      </w:r>
    </w:p>
    <w:p>
      <w:pPr>
        <w:pStyle w:val="BodyText"/>
      </w:pPr>
      <w:r>
        <w:rPr>
          <w:bCs/>
          <w:b/>
        </w:rPr>
        <w:t xml:space="preserve">Pre-Fed (1907–1913): No Central Bank</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Active Constraints</w:t>
            </w:r>
          </w:p>
        </w:tc>
        <w:tc>
          <w:tcPr/>
          <w:p>
            <w:pPr>
              <w:pStyle w:val="Compact"/>
              <w:jc w:val="left"/>
            </w:pPr>
            <w:r>
              <w:t xml:space="preserve">Status</w:t>
            </w:r>
          </w:p>
        </w:tc>
      </w:tr>
      <w:tr>
        <w:tc>
          <w:tcPr/>
          <w:p>
            <w:pPr>
              <w:pStyle w:val="Compact"/>
              <w:jc w:val="left"/>
            </w:pPr>
            <w:r>
              <w:t xml:space="preserve">Rate room</w:t>
            </w:r>
          </w:p>
        </w:tc>
        <w:tc>
          <w:tcPr/>
          <w:p>
            <w:pPr>
              <w:pStyle w:val="Compact"/>
              <w:jc w:val="left"/>
            </w:pPr>
            <w:r>
              <w:t xml:space="preserve">N/A — no policy rate exists</w:t>
            </w:r>
          </w:p>
        </w:tc>
      </w:tr>
      <w:tr>
        <w:tc>
          <w:tcPr/>
          <w:p>
            <w:pPr>
              <w:pStyle w:val="Compact"/>
              <w:jc w:val="left"/>
            </w:pPr>
            <w:r>
              <w:t xml:space="preserve">Inflation</w:t>
            </w:r>
          </w:p>
        </w:tc>
        <w:tc>
          <w:tcPr/>
          <w:p>
            <w:pPr>
              <w:pStyle w:val="Compact"/>
              <w:jc w:val="left"/>
            </w:pPr>
            <w:r>
              <w:t xml:space="preserve">Active — WPI proxy (§4.5.5)</w:t>
            </w:r>
          </w:p>
        </w:tc>
      </w:tr>
      <w:tr>
        <w:tc>
          <w:tcPr/>
          <w:p>
            <w:pPr>
              <w:pStyle w:val="Compact"/>
              <w:jc w:val="left"/>
            </w:pPr>
            <w:r>
              <w:t xml:space="preserve">Balance sheet</w:t>
            </w:r>
          </w:p>
        </w:tc>
        <w:tc>
          <w:tcPr/>
          <w:p>
            <w:pPr>
              <w:pStyle w:val="Compact"/>
              <w:jc w:val="left"/>
            </w:pPr>
            <w:r>
              <w:t xml:space="preserve">N/A — no central bank balance sheet</w:t>
            </w:r>
          </w:p>
        </w:tc>
      </w:tr>
      <w:tr>
        <w:tc>
          <w:tcPr/>
          <w:p>
            <w:pPr>
              <w:pStyle w:val="Compact"/>
              <w:jc w:val="left"/>
            </w:pPr>
            <w:r>
              <w:t xml:space="preserve">Fiscal space</w:t>
            </w:r>
          </w:p>
        </w:tc>
        <w:tc>
          <w:tcPr/>
          <w:p>
            <w:pPr>
              <w:pStyle w:val="Compact"/>
              <w:jc w:val="left"/>
            </w:pPr>
            <w:r>
              <w:t xml:space="preserve">Active — federal debt/GDP (MeasuringWorth)</w:t>
            </w:r>
          </w:p>
        </w:tc>
      </w:tr>
      <w:tr>
        <w:tc>
          <w:tcPr/>
          <w:p>
            <w:pPr>
              <w:pStyle w:val="Compact"/>
              <w:jc w:val="left"/>
            </w:pPr>
            <w:r>
              <w:rPr>
                <w:bCs/>
                <w:b/>
              </w:rPr>
              <w:t xml:space="preserve">Structural penalty</w:t>
            </w:r>
          </w:p>
        </w:tc>
        <w:tc>
          <w:tcPr/>
          <w:p>
            <w:pPr>
              <w:pStyle w:val="Compact"/>
              <w:jc w:val="left"/>
            </w:pPr>
            <w:r>
              <w:rPr>
                <w:bCs/>
                <w:b/>
              </w:rPr>
              <w:t xml:space="preserve">Applied: pillar capped at 0.30</w:t>
            </w:r>
          </w:p>
        </w:tc>
      </w:tr>
    </w:tbl>
    <w:p>
      <w:pPr>
        <w:pStyle w:val="BodyText"/>
      </w:pPr>
      <w:r>
        <w:t xml:space="preserve">The structural penalty reflects the absence of a lender of last resort. During the Panic of 1907, J.P. Morgan personally organised a private-sector bailout because no institutional mechanism existed. The pillar score is capped at 0.30 regardless of the inflation and fiscal constraint scores — the structural absence of a central bank is itself a severe policy constraint that no amount of low inflation or low debt can offset.</w:t>
      </w:r>
    </w:p>
    <w:p>
      <w:pPr>
        <w:pStyle w:val="BodyText"/>
      </w:pPr>
      <w:r>
        <w:rPr>
          <w:bCs/>
          <w:b/>
        </w:rPr>
        <w:t xml:space="preserve">Early Fed / Gold Standard (1913–1933): Constrained Central Bank</w:t>
      </w:r>
    </w:p>
    <w:tbl>
      <w:tblPr>
        <w:tblStyle w:val="Table"/>
        <w:tblW w:type="pct" w:w="5000"/>
        <w:tblLook w:firstRow="1" w:lastRow="0" w:firstColumn="0" w:lastColumn="0" w:noHBand="0" w:noVBand="0" w:val="0020"/>
        <w:jc w:val="start"/>
      </w:tblPr>
      <w:tblGrid>
        <w:gridCol w:w="5573"/>
        <w:gridCol w:w="2346"/>
      </w:tblGrid>
      <w:tr>
        <w:trPr>
          <w:tblHeader w:val="true"/>
        </w:trPr>
        <w:tc>
          <w:tcPr/>
          <w:p>
            <w:pPr>
              <w:pStyle w:val="Compact"/>
              <w:jc w:val="left"/>
            </w:pPr>
            <w:r>
              <w:t xml:space="preserve">Active Constraints</w:t>
            </w:r>
          </w:p>
        </w:tc>
        <w:tc>
          <w:tcPr/>
          <w:p>
            <w:pPr>
              <w:pStyle w:val="Compact"/>
              <w:jc w:val="left"/>
            </w:pPr>
            <w:r>
              <w:t xml:space="preserve">Status</w:t>
            </w:r>
          </w:p>
        </w:tc>
      </w:tr>
      <w:tr>
        <w:tc>
          <w:tcPr/>
          <w:p>
            <w:pPr>
              <w:pStyle w:val="Compact"/>
              <w:jc w:val="left"/>
            </w:pPr>
            <w:r>
              <w:t xml:space="preserve">Rate room</w:t>
            </w:r>
          </w:p>
        </w:tc>
        <w:tc>
          <w:tcPr/>
          <w:p>
            <w:pPr>
              <w:pStyle w:val="Compact"/>
              <w:jc w:val="left"/>
            </w:pPr>
            <w:r>
              <w:t xml:space="preserve">Active — Fed discount rate (FRED</w:t>
            </w:r>
            <w:r>
              <w:t xml:space="preserve"> </w:t>
            </w:r>
            <w:r>
              <w:rPr>
                <w:rStyle w:val="VerbatimChar"/>
              </w:rPr>
              <w:t xml:space="preserve">INTDSRUSM193N</w:t>
            </w:r>
            <w:r>
              <w:t xml:space="preserve">)</w:t>
            </w:r>
          </w:p>
        </w:tc>
      </w:tr>
      <w:tr>
        <w:tc>
          <w:tcPr/>
          <w:p>
            <w:pPr>
              <w:pStyle w:val="Compact"/>
              <w:jc w:val="left"/>
            </w:pPr>
            <w:r>
              <w:t xml:space="preserve">Inflation</w:t>
            </w:r>
          </w:p>
        </w:tc>
        <w:tc>
          <w:tcPr/>
          <w:p>
            <w:pPr>
              <w:pStyle w:val="Compact"/>
              <w:jc w:val="left"/>
            </w:pPr>
            <w:r>
              <w:t xml:space="preserve">Active — BLS CPI (FRED</w:t>
            </w:r>
            <w:r>
              <w:t xml:space="preserve"> </w:t>
            </w:r>
            <w:r>
              <w:rPr>
                <w:rStyle w:val="VerbatimChar"/>
              </w:rPr>
              <w:t xml:space="preserve">CPIAUCNS</w:t>
            </w:r>
            <w:r>
              <w:t xml:space="preserve">)</w:t>
            </w:r>
          </w:p>
        </w:tc>
      </w:tr>
      <w:tr>
        <w:tc>
          <w:tcPr/>
          <w:p>
            <w:pPr>
              <w:pStyle w:val="Compact"/>
              <w:jc w:val="left"/>
            </w:pPr>
            <w:r>
              <w:t xml:space="preserve">Balance sheet</w:t>
            </w:r>
          </w:p>
        </w:tc>
        <w:tc>
          <w:tcPr/>
          <w:p>
            <w:pPr>
              <w:pStyle w:val="Compact"/>
              <w:jc w:val="left"/>
            </w:pPr>
            <w:r>
              <w:t xml:space="preserve">Active — monetary base / GDP (FRED</w:t>
            </w:r>
            <w:r>
              <w:t xml:space="preserve"> </w:t>
            </w:r>
            <w:r>
              <w:rPr>
                <w:rStyle w:val="VerbatimChar"/>
              </w:rPr>
              <w:t xml:space="preserve">BOGMBASE</w:t>
            </w:r>
            <w:r>
              <w:t xml:space="preserve">)</w:t>
            </w:r>
          </w:p>
        </w:tc>
      </w:tr>
      <w:tr>
        <w:tc>
          <w:tcPr/>
          <w:p>
            <w:pPr>
              <w:pStyle w:val="Compact"/>
              <w:jc w:val="left"/>
            </w:pPr>
            <w:r>
              <w:t xml:space="preserve">Fiscal space</w:t>
            </w:r>
          </w:p>
        </w:tc>
        <w:tc>
          <w:tcPr/>
          <w:p>
            <w:pPr>
              <w:pStyle w:val="Compact"/>
              <w:jc w:val="left"/>
            </w:pPr>
            <w:r>
              <w:t xml:space="preserve">Active — federal debt / GDP</w:t>
            </w:r>
          </w:p>
        </w:tc>
      </w:tr>
      <w:tr>
        <w:tc>
          <w:tcPr/>
          <w:p>
            <w:pPr>
              <w:pStyle w:val="Compact"/>
              <w:jc w:val="left"/>
            </w:pPr>
            <w:r>
              <w:rPr>
                <w:bCs/>
                <w:b/>
              </w:rPr>
              <w:t xml:space="preserve">Gold standard constraint</w:t>
            </w:r>
          </w:p>
        </w:tc>
        <w:tc>
          <w:tcPr/>
          <w:p>
            <w:pPr>
              <w:pStyle w:val="Compact"/>
              <w:jc w:val="left"/>
            </w:pPr>
            <w:r>
              <w:rPr>
                <w:bCs/>
                <w:b/>
              </w:rPr>
              <w:t xml:space="preserve">Applied: additional constraint scored 0.25–0.55</w:t>
            </w:r>
          </w:p>
        </w:tc>
      </w:tr>
    </w:tbl>
    <w:p>
      <w:pPr>
        <w:pStyle w:val="BodyText"/>
      </w:pPr>
      <w:r>
        <w:t xml:space="preserve">The gold standard imposed a binding constraint that has no modern equivalent: the Fed could not expand the monetary base beyond the limit implied by gold reserves without risking convertibility. During the 1929–1933 crisis, the Fed</w:t>
      </w:r>
      <w:r>
        <w:t xml:space="preserve"> </w:t>
      </w:r>
      <w:r>
        <w:rPr>
          <w:iCs/>
          <w:i/>
        </w:rPr>
        <w:t xml:space="preserve">had</w:t>
      </w:r>
      <w:r>
        <w:t xml:space="preserve"> </w:t>
      </w:r>
      <w:r>
        <w:t xml:space="preserve">rate room (discount rate was 3.5% in 1929) and deflation</w:t>
      </w:r>
      <w:r>
        <w:t xml:space="preserve"> </w:t>
      </w:r>
      <w:r>
        <w:rPr>
          <w:iCs/>
          <w:i/>
        </w:rPr>
        <w:t xml:space="preserve">should</w:t>
      </w:r>
      <w:r>
        <w:t xml:space="preserve"> </w:t>
      </w:r>
      <w:r>
        <w:t xml:space="preserve">have facilitated easing — but the gold standard prevented aggressive action until Roosevelt suspended convertibility in 1933.</w:t>
      </w:r>
    </w:p>
    <w:p>
      <w:pPr>
        <w:pStyle w:val="BodyText"/>
      </w:pPr>
      <w:r>
        <w:t xml:space="preserve">The gold standard constraint is scored based on the gold reserve ratio (gold stock / monetary base), where available: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Gold Reserve Ratio</w:t>
            </w:r>
          </w:p>
        </w:tc>
        <w:tc>
          <w:tcPr/>
          <w:p>
            <w:pPr>
              <w:pStyle w:val="Compact"/>
              <w:jc w:val="left"/>
            </w:pPr>
            <w:r>
              <w:t xml:space="preserve">Score</w:t>
            </w:r>
          </w:p>
        </w:tc>
        <w:tc>
          <w:tcPr/>
          <w:p>
            <w:pPr>
              <w:pStyle w:val="Compact"/>
              <w:jc w:val="left"/>
            </w:pPr>
            <w:r>
              <w:t xml:space="preserve">Interpretation</w:t>
            </w:r>
          </w:p>
        </w:tc>
      </w:tr>
      <w:tr>
        <w:tc>
          <w:tcPr/>
          <w:p>
            <w:pPr>
              <w:pStyle w:val="Compact"/>
              <w:jc w:val="left"/>
            </w:pPr>
            <w:r>
              <w:t xml:space="preserve">&gt; 80%</w:t>
            </w:r>
          </w:p>
        </w:tc>
        <w:tc>
          <w:tcPr/>
          <w:p>
            <w:pPr>
              <w:pStyle w:val="Compact"/>
              <w:jc w:val="left"/>
            </w:pPr>
            <w:r>
              <w:t xml:space="preserve">0.55</w:t>
            </w:r>
          </w:p>
        </w:tc>
        <w:tc>
          <w:tcPr/>
          <w:p>
            <w:pPr>
              <w:pStyle w:val="Compact"/>
              <w:jc w:val="left"/>
            </w:pPr>
            <w:r>
              <w:t xml:space="preserve">Adequate reserves; some expansion possible</w:t>
            </w:r>
          </w:p>
        </w:tc>
      </w:tr>
      <w:tr>
        <w:tc>
          <w:tcPr/>
          <w:p>
            <w:pPr>
              <w:pStyle w:val="Compact"/>
              <w:jc w:val="left"/>
            </w:pPr>
            <w:r>
              <w:t xml:space="preserve">60–80%</w:t>
            </w:r>
          </w:p>
        </w:tc>
        <w:tc>
          <w:tcPr/>
          <w:p>
            <w:pPr>
              <w:pStyle w:val="Compact"/>
              <w:jc w:val="left"/>
            </w:pPr>
            <w:r>
              <w:t xml:space="preserve">0.40</w:t>
            </w:r>
          </w:p>
        </w:tc>
        <w:tc>
          <w:tcPr/>
          <w:p>
            <w:pPr>
              <w:pStyle w:val="Compact"/>
              <w:jc w:val="left"/>
            </w:pPr>
            <w:r>
              <w:t xml:space="preserve">Moderate; expansion limited</w:t>
            </w:r>
          </w:p>
        </w:tc>
      </w:tr>
      <w:tr>
        <w:tc>
          <w:tcPr/>
          <w:p>
            <w:pPr>
              <w:pStyle w:val="Compact"/>
              <w:jc w:val="left"/>
            </w:pPr>
            <w:r>
              <w:t xml:space="preserve">40–60%</w:t>
            </w:r>
          </w:p>
        </w:tc>
        <w:tc>
          <w:tcPr/>
          <w:p>
            <w:pPr>
              <w:pStyle w:val="Compact"/>
              <w:jc w:val="left"/>
            </w:pPr>
            <w:r>
              <w:t xml:space="preserve">0.25</w:t>
            </w:r>
          </w:p>
        </w:tc>
        <w:tc>
          <w:tcPr/>
          <w:p>
            <w:pPr>
              <w:pStyle w:val="Compact"/>
              <w:jc w:val="left"/>
            </w:pPr>
            <w:r>
              <w:t xml:space="preserve">Constrained; expansion risks convertibility</w:t>
            </w:r>
          </w:p>
        </w:tc>
      </w:tr>
      <w:tr>
        <w:tc>
          <w:tcPr/>
          <w:p>
            <w:pPr>
              <w:pStyle w:val="Compact"/>
              <w:jc w:val="left"/>
            </w:pPr>
            <w:r>
              <w:t xml:space="preserve">&lt; 40%</w:t>
            </w:r>
          </w:p>
        </w:tc>
        <w:tc>
          <w:tcPr/>
          <w:p>
            <w:pPr>
              <w:pStyle w:val="Compact"/>
              <w:jc w:val="left"/>
            </w:pPr>
            <w:r>
              <w:t xml:space="preserve">0.10</w:t>
            </w:r>
          </w:p>
        </w:tc>
        <w:tc>
          <w:tcPr/>
          <w:p>
            <w:pPr>
              <w:pStyle w:val="Compact"/>
              <w:jc w:val="left"/>
            </w:pPr>
            <w:r>
              <w:t xml:space="preserve">Severely constrained; gold drain likely</w:t>
            </w:r>
          </w:p>
        </w:tc>
      </w:tr>
    </w:tbl>
    <w:p>
      <w:pPr>
        <w:pStyle w:val="BodyText"/>
      </w:pPr>
      <w:r>
        <w:rPr>
          <w:iCs/>
          <w:i/>
        </w:rPr>
        <w:t xml:space="preserve">Source: NBER Macrohistory database, gold stock series (available from 1878).</w:t>
      </w:r>
    </w:p>
    <w:p>
      <w:pPr>
        <w:pStyle w:val="BodyText"/>
      </w:pPr>
      <w:r>
        <w:t xml:space="preserve">During this era, the pillar is also capped at 0.55 to reflect the institutional limitations of the early Fed (no open market operations committee until 1933, limited understanding of macroeconomic transmission, political constraints on action).</w:t>
      </w:r>
    </w:p>
    <w:p>
      <w:pPr>
        <w:pStyle w:val="BodyText"/>
      </w:pPr>
      <w:r>
        <w:rPr>
          <w:bCs/>
          <w:b/>
        </w:rPr>
        <w:t xml:space="preserve">Bretton Woods (1934–1971): Semi-Constrained Central Bank</w:t>
      </w:r>
    </w:p>
    <w:p>
      <w:pPr>
        <w:pStyle w:val="BodyText"/>
      </w:pPr>
      <w:r>
        <w:t xml:space="preserve">All four modern constraints active. Gold standard constraint replaced by a milder</w:t>
      </w:r>
      <w:r>
        <w:t xml:space="preserve"> </w:t>
      </w:r>
      <w:r>
        <w:t xml:space="preserve">“</w:t>
      </w:r>
      <w:r>
        <w:t xml:space="preserve">Bretton Woods constraint</w:t>
      </w:r>
      <w:r>
        <w:t xml:space="preserve">”</w:t>
      </w:r>
      <w:r>
        <w:t xml:space="preserve"> </w:t>
      </w:r>
      <w:r>
        <w:t xml:space="preserve">scored at a fixed 0.65 — the dollar-gold peg constrained monetary expansion but less severely than the classical gold standard because the Fed had more institutional tools and the peg allowed for devaluation as a pressure valve.</w:t>
      </w:r>
    </w:p>
    <w:p>
      <w:pPr>
        <w:pStyle w:val="BodyText"/>
      </w:pPr>
      <w:r>
        <w:rPr>
          <w:bCs/>
          <w:b/>
        </w:rPr>
        <w:t xml:space="preserve">Post-Bretton Woods (1971–present): Full Modern Constraint Set</w:t>
      </w:r>
    </w:p>
    <w:p>
      <w:pPr>
        <w:pStyle w:val="BodyText"/>
      </w:pPr>
      <w:r>
        <w:t xml:space="preserve">All four constraints active. No structural penalties. This is the regime for which the pillar is primarily designed.</w:t>
      </w:r>
    </w:p>
    <w:bookmarkEnd w:id="45"/>
    <w:bookmarkStart w:id="46" w:name="worked-examples"/>
    <w:p>
      <w:pPr>
        <w:pStyle w:val="Heading4"/>
      </w:pPr>
      <w:r>
        <w:t xml:space="preserve">4.5.7 Worked Examples</w:t>
      </w:r>
    </w:p>
    <w:p>
      <w:pPr>
        <w:pStyle w:val="FirstParagraph"/>
      </w:pPr>
      <w:r>
        <w:rPr>
          <w:bCs/>
          <w:b/>
        </w:rPr>
        <w:t xml:space="preserve">Example 1: March 2020 (COVID crash)</w:t>
      </w:r>
    </w:p>
    <w:tbl>
      <w:tblPr>
        <w:tblStyle w:val="Table"/>
        <w:tblW w:type="pct" w:w="5000"/>
        <w:tblLook w:firstRow="1" w:lastRow="0" w:firstColumn="0" w:lastColumn="0" w:noHBand="0" w:noVBand="0" w:val="0020"/>
        <w:jc w:val="start"/>
      </w:tblPr>
      <w:tblGrid>
        <w:gridCol w:w="3484"/>
        <w:gridCol w:w="2217"/>
        <w:gridCol w:w="2217"/>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Score</w:t>
            </w:r>
          </w:p>
        </w:tc>
      </w:tr>
      <w:tr>
        <w:tc>
          <w:tcPr/>
          <w:p>
            <w:pPr>
              <w:pStyle w:val="Compact"/>
              <w:jc w:val="left"/>
            </w:pPr>
            <w:r>
              <w:t xml:space="preserve">Rate room</w:t>
            </w:r>
          </w:p>
        </w:tc>
        <w:tc>
          <w:tcPr/>
          <w:p>
            <w:pPr>
              <w:pStyle w:val="Compact"/>
              <w:jc w:val="left"/>
            </w:pPr>
            <w:r>
              <w:t xml:space="preserve">Fed funds 1.00% → cut to 0.00% within 2 weeks</w:t>
            </w:r>
          </w:p>
        </w:tc>
        <w:tc>
          <w:tcPr/>
          <w:p>
            <w:pPr>
              <w:pStyle w:val="Compact"/>
              <w:jc w:val="left"/>
            </w:pPr>
            <w:r>
              <w:t xml:space="preserve">0.25 (thin; 100 bps available pre-cut)</w:t>
            </w:r>
          </w:p>
        </w:tc>
      </w:tr>
      <w:tr>
        <w:tc>
          <w:tcPr/>
          <w:p>
            <w:pPr>
              <w:pStyle w:val="Compact"/>
              <w:jc w:val="left"/>
            </w:pPr>
            <w:r>
              <w:t xml:space="preserve">Inflation</w:t>
            </w:r>
          </w:p>
        </w:tc>
        <w:tc>
          <w:tcPr/>
          <w:p>
            <w:pPr>
              <w:pStyle w:val="Compact"/>
              <w:jc w:val="left"/>
            </w:pPr>
            <w:r>
              <w:t xml:space="preserve">Core PCE trailing 12m: 1.7% (30 bps below 2%)</w:t>
            </w:r>
          </w:p>
        </w:tc>
        <w:tc>
          <w:tcPr/>
          <w:p>
            <w:pPr>
              <w:pStyle w:val="Compact"/>
              <w:jc w:val="left"/>
            </w:pPr>
            <w:r>
              <w:rPr>
                <w:bCs/>
                <w:b/>
              </w:rPr>
              <w:t xml:space="preserve">0.95</w:t>
            </w:r>
            <w:r>
              <w:t xml:space="preserve"> </w:t>
            </w:r>
            <w:r>
              <w:t xml:space="preserve">(at target; no constraint)</w:t>
            </w:r>
          </w:p>
        </w:tc>
      </w:tr>
      <w:tr>
        <w:tc>
          <w:tcPr/>
          <w:p>
            <w:pPr>
              <w:pStyle w:val="Compact"/>
              <w:jc w:val="left"/>
            </w:pPr>
            <w:r>
              <w:t xml:space="preserve">Balance sheet</w:t>
            </w:r>
          </w:p>
        </w:tc>
        <w:tc>
          <w:tcPr/>
          <w:p>
            <w:pPr>
              <w:pStyle w:val="Compact"/>
              <w:jc w:val="left"/>
            </w:pPr>
            <w:r>
              <w:t xml:space="preserve">Fed B/S ~19% of GDP pre-crisis</w:t>
            </w:r>
          </w:p>
        </w:tc>
        <w:tc>
          <w:tcPr/>
          <w:p>
            <w:pPr>
              <w:pStyle w:val="Compact"/>
              <w:jc w:val="left"/>
            </w:pPr>
            <w:r>
              <w:t xml:space="preserve">0.80 (ample)</w:t>
            </w:r>
          </w:p>
        </w:tc>
      </w:tr>
      <w:tr>
        <w:tc>
          <w:tcPr/>
          <w:p>
            <w:pPr>
              <w:pStyle w:val="Compact"/>
              <w:jc w:val="left"/>
            </w:pPr>
            <w:r>
              <w:t xml:space="preserve">Fiscal space</w:t>
            </w:r>
          </w:p>
        </w:tc>
        <w:tc>
          <w:tcPr/>
          <w:p>
            <w:pPr>
              <w:pStyle w:val="Compact"/>
              <w:jc w:val="left"/>
            </w:pPr>
            <w:r>
              <w:t xml:space="preserve">Debt/GDP ~107%</w:t>
            </w:r>
          </w:p>
        </w:tc>
        <w:tc>
          <w:tcPr/>
          <w:p>
            <w:pPr>
              <w:pStyle w:val="Compact"/>
              <w:jc w:val="left"/>
            </w:pPr>
            <w:r>
              <w:t xml:space="preserve">0.25 (constrained)</w:t>
            </w:r>
          </w:p>
        </w:tc>
      </w:tr>
    </w:tbl>
    <w:p>
      <w:pPr>
        <w:pStyle w:val="BodyText"/>
      </w:pPr>
      <w:r>
        <w:t xml:space="preserve">Gap: max(0.95) − min(0.25) = 0.70 &gt; 0.25 →</w:t>
      </w:r>
      <w:r>
        <w:t xml:space="preserve"> </w:t>
      </w:r>
      <w:r>
        <w:rPr>
          <w:bCs/>
          <w:b/>
        </w:rPr>
        <w:t xml:space="preserve">minimum function activated</w:t>
      </w:r>
    </w:p>
    <w:p>
      <w:pPr>
        <w:pStyle w:val="BodyText"/>
      </w:pPr>
      <m:oMathPara>
        <m:oMathParaPr>
          <m:jc m:val="center"/>
        </m:oMathParaPr>
        <m:oMath>
          <m:sSub>
            <m:e>
              <m:r>
                <m:rPr>
                  <m:nor/>
                  <m:sty m:val="p"/>
                </m:rPr>
                <m:t>Pillar</m:t>
              </m:r>
            </m:e>
            <m:sub>
              <m:r>
                <m:t>5</m:t>
              </m:r>
            </m:sub>
          </m:sSub>
          <m:r>
            <m:rPr>
              <m:sty m:val="p"/>
            </m:rPr>
            <m:t>=</m:t>
          </m:r>
          <m:r>
            <m:rPr>
              <m:sty m:val="p"/>
            </m:rPr>
            <m:t>min</m:t>
          </m:r>
          <m:d>
            <m:dPr>
              <m:begChr m:val="("/>
              <m:endChr m:val=")"/>
              <m:sepChr m:val=""/>
              <m:grow/>
            </m:dPr>
            <m:e>
              <m:r>
                <m:t>0.25</m:t>
              </m:r>
              <m:r>
                <m:rPr>
                  <m:sty m:val="p"/>
                </m:rPr>
                <m:t>,</m:t>
              </m:r>
              <m:r>
                <m:t>0.95</m:t>
              </m:r>
              <m:r>
                <m:rPr>
                  <m:sty m:val="p"/>
                </m:rPr>
                <m:t>,</m:t>
              </m:r>
              <m:r>
                <m:t>0.80</m:t>
              </m:r>
              <m:r>
                <m:rPr>
                  <m:sty m:val="p"/>
                </m:rPr>
                <m:t>,</m:t>
              </m:r>
              <m:r>
                <m:t>0.25</m:t>
              </m:r>
            </m:e>
          </m:d>
          <m:r>
            <m:rPr>
              <m:sty m:val="p"/>
            </m:rPr>
            <m:t>=</m:t>
          </m:r>
          <m:r>
            <m:t>0.25</m:t>
          </m:r>
        </m:oMath>
      </m:oMathPara>
    </w:p>
    <w:p>
      <w:pPr>
        <w:pStyle w:val="FirstParagraph"/>
      </w:pPr>
      <w:r>
        <w:t xml:space="preserve">Binding constraints: rate room and fiscal space (tied). Inflation</w:t>
      </w:r>
      <w:r>
        <w:t xml:space="preserve"> </w:t>
      </w:r>
      <w:r>
        <w:rPr>
          <w:iCs/>
          <w:i/>
        </w:rPr>
        <w:t xml:space="preserve">was not constraining</w:t>
      </w:r>
      <w:r>
        <w:t xml:space="preserve"> </w:t>
      </w:r>
      <w:r>
        <w:t xml:space="preserve">— the Fed could and did ease aggressively. The score of 0.25 (STRETCHED) correctly reflects that the Fed had limited conventional ammunition (rates were already low pre-COVID) and fiscal space was constrained (though Congress overrode fiscal constraints via emergency legislation). Under the old pillar architecture, the ample inflation score (0.95) would have pulled the average up to approximately 0.56 (THIN) — too sanguine for a situation where the Fed had to deploy emergency facilities within days.</w:t>
      </w:r>
    </w:p>
    <w:p>
      <w:pPr>
        <w:pStyle w:val="BodyText"/>
      </w:pPr>
      <w:r>
        <w:rPr>
          <w:bCs/>
          <w:b/>
        </w:rPr>
        <w:t xml:space="preserve">Example 2: March 2023 (SVB crisis)</w:t>
      </w:r>
    </w:p>
    <w:tbl>
      <w:tblPr>
        <w:tblStyle w:val="Table"/>
        <w:tblW w:type="pct" w:w="5000"/>
        <w:tblLook w:firstRow="1" w:lastRow="0" w:firstColumn="0" w:lastColumn="0" w:noHBand="0" w:noVBand="0" w:val="0020"/>
        <w:jc w:val="start"/>
      </w:tblPr>
      <w:tblGrid>
        <w:gridCol w:w="3484"/>
        <w:gridCol w:w="2217"/>
        <w:gridCol w:w="2217"/>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Score</w:t>
            </w:r>
          </w:p>
        </w:tc>
      </w:tr>
      <w:tr>
        <w:tc>
          <w:tcPr/>
          <w:p>
            <w:pPr>
              <w:pStyle w:val="Compact"/>
              <w:jc w:val="left"/>
            </w:pPr>
            <w:r>
              <w:t xml:space="preserve">Rate room</w:t>
            </w:r>
          </w:p>
        </w:tc>
        <w:tc>
          <w:tcPr/>
          <w:p>
            <w:pPr>
              <w:pStyle w:val="Compact"/>
              <w:jc w:val="left"/>
            </w:pPr>
            <w:r>
              <w:t xml:space="preserve">Fed funds 4.75%</w:t>
            </w:r>
          </w:p>
        </w:tc>
        <w:tc>
          <w:tcPr/>
          <w:p>
            <w:pPr>
              <w:pStyle w:val="Compact"/>
              <w:jc w:val="left"/>
            </w:pPr>
            <w:r>
              <w:t xml:space="preserve">0.95 (ample)</w:t>
            </w:r>
          </w:p>
        </w:tc>
      </w:tr>
      <w:tr>
        <w:tc>
          <w:tcPr/>
          <w:p>
            <w:pPr>
              <w:pStyle w:val="Compact"/>
              <w:jc w:val="left"/>
            </w:pPr>
            <w:r>
              <w:t xml:space="preserve">Inflation</w:t>
            </w:r>
          </w:p>
        </w:tc>
        <w:tc>
          <w:tcPr/>
          <w:p>
            <w:pPr>
              <w:pStyle w:val="Compact"/>
              <w:jc w:val="left"/>
            </w:pPr>
            <w:r>
              <w:t xml:space="preserve">Core PCE trailing 12m: ~4.8% (280 bps above 2%)</w:t>
            </w:r>
          </w:p>
        </w:tc>
        <w:tc>
          <w:tcPr/>
          <w:p>
            <w:pPr>
              <w:pStyle w:val="Compact"/>
              <w:jc w:val="left"/>
            </w:pPr>
            <w:r>
              <w:rPr>
                <w:bCs/>
                <w:b/>
              </w:rPr>
              <w:t xml:space="preserve">0.15</w:t>
            </w:r>
            <w:r>
              <w:t xml:space="preserve"> </w:t>
            </w:r>
            <w:r>
              <w:t xml:space="preserve">(severe constraint)</w:t>
            </w:r>
          </w:p>
        </w:tc>
      </w:tr>
      <w:tr>
        <w:tc>
          <w:tcPr/>
          <w:p>
            <w:pPr>
              <w:pStyle w:val="Compact"/>
              <w:jc w:val="left"/>
            </w:pPr>
            <w:r>
              <w:t xml:space="preserve">Balance sheet</w:t>
            </w:r>
          </w:p>
        </w:tc>
        <w:tc>
          <w:tcPr/>
          <w:p>
            <w:pPr>
              <w:pStyle w:val="Compact"/>
              <w:jc w:val="left"/>
            </w:pPr>
            <w:r>
              <w:t xml:space="preserve">Fed B/S ~33% of GDP (mid-QT)</w:t>
            </w:r>
          </w:p>
        </w:tc>
        <w:tc>
          <w:tcPr/>
          <w:p>
            <w:pPr>
              <w:pStyle w:val="Compact"/>
              <w:jc w:val="left"/>
            </w:pPr>
            <w:r>
              <w:t xml:space="preserve">0.30 (constrained)</w:t>
            </w:r>
          </w:p>
        </w:tc>
      </w:tr>
      <w:tr>
        <w:tc>
          <w:tcPr/>
          <w:p>
            <w:pPr>
              <w:pStyle w:val="Compact"/>
              <w:jc w:val="left"/>
            </w:pPr>
            <w:r>
              <w:t xml:space="preserve">Fiscal space</w:t>
            </w:r>
          </w:p>
        </w:tc>
        <w:tc>
          <w:tcPr/>
          <w:p>
            <w:pPr>
              <w:pStyle w:val="Compact"/>
              <w:jc w:val="left"/>
            </w:pPr>
            <w:r>
              <w:t xml:space="preserve">Debt/GDP ~120%</w:t>
            </w:r>
          </w:p>
        </w:tc>
        <w:tc>
          <w:tcPr/>
          <w:p>
            <w:pPr>
              <w:pStyle w:val="Compact"/>
              <w:jc w:val="left"/>
            </w:pPr>
            <w:r>
              <w:t xml:space="preserve">0.15 (near-breach)</w:t>
            </w:r>
          </w:p>
        </w:tc>
      </w:tr>
    </w:tbl>
    <w:p>
      <w:pPr>
        <w:pStyle w:val="BodyText"/>
      </w:pPr>
      <w:r>
        <w:t xml:space="preserve">Gap: max(0.95) − min(0.15) = 0.80 &gt; 0.25 →</w:t>
      </w:r>
      <w:r>
        <w:t xml:space="preserve"> </w:t>
      </w:r>
      <w:r>
        <w:rPr>
          <w:bCs/>
          <w:b/>
        </w:rPr>
        <w:t xml:space="preserve">minimum function activated</w:t>
      </w:r>
    </w:p>
    <w:p>
      <w:pPr>
        <w:pStyle w:val="BodyText"/>
      </w:pPr>
      <m:oMathPara>
        <m:oMathParaPr>
          <m:jc m:val="center"/>
        </m:oMathParaPr>
        <m:oMath>
          <m:sSub>
            <m:e>
              <m:r>
                <m:rPr>
                  <m:nor/>
                  <m:sty m:val="p"/>
                </m:rPr>
                <m:t>Pillar</m:t>
              </m:r>
            </m:e>
            <m:sub>
              <m:r>
                <m:t>5</m:t>
              </m:r>
            </m:sub>
          </m:sSub>
          <m:r>
            <m:rPr>
              <m:sty m:val="p"/>
            </m:rPr>
            <m:t>=</m:t>
          </m:r>
          <m:r>
            <m:rPr>
              <m:sty m:val="p"/>
            </m:rPr>
            <m:t>min</m:t>
          </m:r>
          <m:d>
            <m:dPr>
              <m:begChr m:val="("/>
              <m:endChr m:val=")"/>
              <m:sepChr m:val=""/>
              <m:grow/>
            </m:dPr>
            <m:e>
              <m:r>
                <m:t>0.95</m:t>
              </m:r>
              <m:r>
                <m:rPr>
                  <m:sty m:val="p"/>
                </m:rPr>
                <m:t>,</m:t>
              </m:r>
              <m:r>
                <m:t>0.15</m:t>
              </m:r>
              <m:r>
                <m:rPr>
                  <m:sty m:val="p"/>
                </m:rPr>
                <m:t>,</m:t>
              </m:r>
              <m:r>
                <m:t>0.30</m:t>
              </m:r>
              <m:r>
                <m:rPr>
                  <m:sty m:val="p"/>
                </m:rPr>
                <m:t>,</m:t>
              </m:r>
              <m:r>
                <m:t>0.15</m:t>
              </m:r>
            </m:e>
          </m:d>
          <m:r>
            <m:rPr>
              <m:sty m:val="p"/>
            </m:rPr>
            <m:t>=</m:t>
          </m:r>
          <m:r>
            <m:t>0.15</m:t>
          </m:r>
        </m:oMath>
      </m:oMathPara>
    </w:p>
    <w:p>
      <w:pPr>
        <w:pStyle w:val="FirstParagraph"/>
      </w:pPr>
      <w:r>
        <w:t xml:space="preserve">Binding constraints: inflation and fiscal space (tied). The Fed</w:t>
      </w:r>
      <w:r>
        <w:t xml:space="preserve"> </w:t>
      </w:r>
      <w:r>
        <w:rPr>
          <w:iCs/>
          <w:i/>
        </w:rPr>
        <w:t xml:space="preserve">could not cut rates</w:t>
      </w:r>
      <w:r>
        <w:t xml:space="preserve"> </w:t>
      </w:r>
      <w:r>
        <w:t xml:space="preserve">despite ample rate room because inflation was running nearly 3 percentage points above target. Instead, it created the Bank Term Funding Program (BTFP) — a targeted facility that avoided rate cuts. The score of 0.15 (near-breach) correctly reflects that the Fed’s policy response capacity was severely impaired by the inflation constraint. Under the old architecture, the 4.75% fed funds rate would have scored rate room as ample (0.95), and the pillar average would have been approximately 0.51 (THIN) — masking the practical reality that the Fed’s hands were tied.</w:t>
      </w:r>
    </w:p>
    <w:p>
      <w:pPr>
        <w:pStyle w:val="BodyText"/>
      </w:pPr>
      <w:r>
        <w:rPr>
          <w:bCs/>
          <w:b/>
        </w:rPr>
        <w:t xml:space="preserve">Example 3: October 1929 (Crash)</w:t>
      </w:r>
    </w:p>
    <w:tbl>
      <w:tblPr>
        <w:tblStyle w:val="Table"/>
        <w:tblW w:type="pct" w:w="5000"/>
        <w:tblLook w:firstRow="1" w:lastRow="0" w:firstColumn="0" w:lastColumn="0" w:noHBand="0" w:noVBand="0" w:val="0020"/>
        <w:jc w:val="start"/>
      </w:tblPr>
      <w:tblGrid>
        <w:gridCol w:w="3484"/>
        <w:gridCol w:w="2217"/>
        <w:gridCol w:w="2217"/>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Score</w:t>
            </w:r>
          </w:p>
        </w:tc>
      </w:tr>
      <w:tr>
        <w:tc>
          <w:tcPr/>
          <w:p>
            <w:pPr>
              <w:pStyle w:val="Compact"/>
              <w:jc w:val="left"/>
            </w:pPr>
            <w:r>
              <w:t xml:space="preserve">Rate room</w:t>
            </w:r>
          </w:p>
        </w:tc>
        <w:tc>
          <w:tcPr/>
          <w:p>
            <w:pPr>
              <w:pStyle w:val="Compact"/>
              <w:jc w:val="left"/>
            </w:pPr>
            <w:r>
              <w:t xml:space="preserve">Discount rate 6.0%</w:t>
            </w:r>
          </w:p>
        </w:tc>
        <w:tc>
          <w:tcPr/>
          <w:p>
            <w:pPr>
              <w:pStyle w:val="Compact"/>
              <w:jc w:val="left"/>
            </w:pPr>
            <w:r>
              <w:t xml:space="preserve">0.75 (adequate)</w:t>
            </w:r>
          </w:p>
        </w:tc>
      </w:tr>
      <w:tr>
        <w:tc>
          <w:tcPr/>
          <w:p>
            <w:pPr>
              <w:pStyle w:val="Compact"/>
              <w:jc w:val="left"/>
            </w:pPr>
            <w:r>
              <w:t xml:space="preserve">Inflation</w:t>
            </w:r>
          </w:p>
        </w:tc>
        <w:tc>
          <w:tcPr/>
          <w:p>
            <w:pPr>
              <w:pStyle w:val="Compact"/>
              <w:jc w:val="left"/>
            </w:pPr>
            <w:r>
              <w:t xml:space="preserve">CPI trailing 12m: approximately 0% (near target)</w:t>
            </w:r>
          </w:p>
        </w:tc>
        <w:tc>
          <w:tcPr/>
          <w:p>
            <w:pPr>
              <w:pStyle w:val="Compact"/>
              <w:jc w:val="left"/>
            </w:pPr>
            <w:r>
              <w:t xml:space="preserve">0.90 (no constraint)</w:t>
            </w:r>
          </w:p>
        </w:tc>
      </w:tr>
      <w:tr>
        <w:tc>
          <w:tcPr/>
          <w:p>
            <w:pPr>
              <w:pStyle w:val="Compact"/>
              <w:jc w:val="left"/>
            </w:pPr>
            <w:r>
              <w:t xml:space="preserve">Balance sheet</w:t>
            </w:r>
          </w:p>
        </w:tc>
        <w:tc>
          <w:tcPr/>
          <w:p>
            <w:pPr>
              <w:pStyle w:val="Compact"/>
              <w:jc w:val="left"/>
            </w:pPr>
            <w:r>
              <w:t xml:space="preserve">Monetary base ~6% of GDP</w:t>
            </w:r>
          </w:p>
        </w:tc>
        <w:tc>
          <w:tcPr/>
          <w:p>
            <w:pPr>
              <w:pStyle w:val="Compact"/>
              <w:jc w:val="left"/>
            </w:pPr>
            <w:r>
              <w:t xml:space="preserve">0.95 (ample)</w:t>
            </w:r>
          </w:p>
        </w:tc>
      </w:tr>
      <w:tr>
        <w:tc>
          <w:tcPr/>
          <w:p>
            <w:pPr>
              <w:pStyle w:val="Compact"/>
              <w:jc w:val="left"/>
            </w:pPr>
            <w:r>
              <w:t xml:space="preserve">Fiscal space</w:t>
            </w:r>
          </w:p>
        </w:tc>
        <w:tc>
          <w:tcPr/>
          <w:p>
            <w:pPr>
              <w:pStyle w:val="Compact"/>
              <w:jc w:val="left"/>
            </w:pPr>
            <w:r>
              <w:t xml:space="preserve">Debt/GDP ~16%</w:t>
            </w:r>
          </w:p>
        </w:tc>
        <w:tc>
          <w:tcPr/>
          <w:p>
            <w:pPr>
              <w:pStyle w:val="Compact"/>
              <w:jc w:val="left"/>
            </w:pPr>
            <w:r>
              <w:t xml:space="preserve">1.00 (ample)</w:t>
            </w:r>
          </w:p>
        </w:tc>
      </w:tr>
      <w:tr>
        <w:tc>
          <w:tcPr/>
          <w:p>
            <w:pPr>
              <w:pStyle w:val="Compact"/>
              <w:jc w:val="left"/>
            </w:pPr>
            <w:r>
              <w:t xml:space="preserve">Gold standard</w:t>
            </w:r>
          </w:p>
        </w:tc>
        <w:tc>
          <w:tcPr/>
          <w:p>
            <w:pPr>
              <w:pStyle w:val="Compact"/>
              <w:jc w:val="left"/>
            </w:pPr>
            <w:r>
              <w:t xml:space="preserve">Gold reserve ratio ~75%</w:t>
            </w:r>
          </w:p>
        </w:tc>
        <w:tc>
          <w:tcPr/>
          <w:p>
            <w:pPr>
              <w:pStyle w:val="Compact"/>
              <w:jc w:val="left"/>
            </w:pPr>
            <w:r>
              <w:t xml:space="preserve">0.45 (moderate constraint)</w:t>
            </w:r>
          </w:p>
        </w:tc>
      </w:tr>
    </w:tbl>
    <w:p>
      <w:pPr>
        <w:pStyle w:val="BodyText"/>
      </w:pPr>
      <w:r>
        <w:t xml:space="preserve">Gap: max(1.00) − min(0.45) = 0.55 &gt; 0.25 →</w:t>
      </w:r>
      <w:r>
        <w:t xml:space="preserve"> </w:t>
      </w:r>
      <w:r>
        <w:rPr>
          <w:bCs/>
          <w:b/>
        </w:rPr>
        <w:t xml:space="preserve">minimum function activated</w:t>
      </w:r>
    </w:p>
    <w:p>
      <w:pPr>
        <w:pStyle w:val="BodyText"/>
      </w:pPr>
      <m:oMathPara>
        <m:oMathParaPr>
          <m:jc m:val="center"/>
        </m:oMathParaPr>
        <m:oMath>
          <m:sSub>
            <m:e>
              <m:r>
                <m:rPr>
                  <m:nor/>
                  <m:sty m:val="p"/>
                </m:rPr>
                <m:t>Pillar</m:t>
              </m:r>
            </m:e>
            <m:sub>
              <m:r>
                <m:t>5</m:t>
              </m:r>
            </m:sub>
          </m:sSub>
          <m:r>
            <m:rPr>
              <m:sty m:val="p"/>
            </m:rPr>
            <m:t>=</m:t>
          </m:r>
          <m:r>
            <m:rPr>
              <m:sty m:val="p"/>
            </m:rPr>
            <m:t>min</m:t>
          </m:r>
          <m:d>
            <m:dPr>
              <m:begChr m:val="("/>
              <m:endChr m:val=")"/>
              <m:sepChr m:val=""/>
              <m:grow/>
            </m:dPr>
            <m:e>
              <m:r>
                <m:t>0.75</m:t>
              </m:r>
              <m:r>
                <m:rPr>
                  <m:sty m:val="p"/>
                </m:rPr>
                <m:t>,</m:t>
              </m:r>
              <m:r>
                <m:t>0.90</m:t>
              </m:r>
              <m:r>
                <m:rPr>
                  <m:sty m:val="p"/>
                </m:rPr>
                <m:t>,</m:t>
              </m:r>
              <m:r>
                <m:t>0.95</m:t>
              </m:r>
              <m:r>
                <m:rPr>
                  <m:sty m:val="p"/>
                </m:rPr>
                <m:t>,</m:t>
              </m:r>
              <m:r>
                <m:t>1.00</m:t>
              </m:r>
              <m:r>
                <m:rPr>
                  <m:sty m:val="p"/>
                </m:rPr>
                <m:t>,</m:t>
              </m:r>
              <m:r>
                <m:t>0.45</m:t>
              </m:r>
            </m:e>
          </m:d>
          <m:r>
            <m:rPr>
              <m:sty m:val="p"/>
            </m:rPr>
            <m:t>=</m:t>
          </m:r>
          <m:r>
            <m:t>0.45</m:t>
          </m:r>
        </m:oMath>
      </m:oMathPara>
    </w:p>
    <w:p>
      <w:pPr>
        <w:pStyle w:val="FirstParagraph"/>
      </w:pPr>
      <w:r>
        <w:t xml:space="preserve">But era cap of 0.55 applies →</w:t>
      </w:r>
      <w:r>
        <w:t xml:space="preserve"> </w:t>
      </w:r>
      <m:oMath>
        <m:sSub>
          <m:e>
            <m:r>
              <m:rPr>
                <m:nor/>
                <m:sty m:val="p"/>
              </m:rPr>
              <m:t>Pillar</m:t>
            </m:r>
          </m:e>
          <m:sub>
            <m:r>
              <m:t>5</m:t>
            </m:r>
          </m:sub>
        </m:sSub>
        <m:r>
          <m:rPr>
            <m:sty m:val="p"/>
          </m:rPr>
          <m:t>=</m:t>
        </m:r>
        <m:r>
          <m:rPr>
            <m:sty m:val="p"/>
          </m:rPr>
          <m:t>min</m:t>
        </m:r>
        <m:d>
          <m:dPr>
            <m:begChr m:val="("/>
            <m:endChr m:val=")"/>
            <m:sepChr m:val=""/>
            <m:grow/>
          </m:dPr>
          <m:e>
            <m:r>
              <m:t>0.45</m:t>
            </m:r>
            <m:r>
              <m:rPr>
                <m:sty m:val="p"/>
              </m:rPr>
              <m:t>,</m:t>
            </m:r>
            <m:r>
              <m:t>0.55</m:t>
            </m:r>
          </m:e>
        </m:d>
        <m:r>
          <m:rPr>
            <m:sty m:val="p"/>
          </m:rPr>
          <m:t>=</m:t>
        </m:r>
        <m:r>
          <m:t>0.45</m:t>
        </m:r>
      </m:oMath>
    </w:p>
    <w:p>
      <w:pPr>
        <w:pStyle w:val="BodyText"/>
      </w:pPr>
      <w:r>
        <w:t xml:space="preserve">Binding constraint: gold standard. The Fed had rate room, near-zero inflation, tiny balance sheet, and minimal debt — by every modern metric, policy capacity was ample. But the gold standard prevented the aggressive expansion that the crisis demanded. The score of 0.45 (THIN) correctly identifies the structural constraint that the old pillar, measuring only ELB distance, could not capture. This is the historical insight that motivates the binding constraint architecture: the</w:t>
      </w:r>
      <w:r>
        <w:t xml:space="preserve"> </w:t>
      </w:r>
      <w:r>
        <w:rPr>
          <w:iCs/>
          <w:i/>
        </w:rPr>
        <w:t xml:space="preserve">nature</w:t>
      </w:r>
      <w:r>
        <w:t xml:space="preserve"> </w:t>
      </w:r>
      <w:r>
        <w:t xml:space="preserve">of the binding constraint changes across monetary regimes, but the</w:t>
      </w:r>
      <w:r>
        <w:t xml:space="preserve"> </w:t>
      </w:r>
      <w:r>
        <w:rPr>
          <w:iCs/>
          <w:i/>
        </w:rPr>
        <w:t xml:space="preserve">principle</w:t>
      </w:r>
      <w:r>
        <w:t xml:space="preserve"> </w:t>
      </w:r>
      <w:r>
        <w:t xml:space="preserve">— policy capacity equals the minimum of individual constraints — is universal.</w:t>
      </w:r>
    </w:p>
    <w:p>
      <w:pPr>
        <w:pStyle w:val="BodyText"/>
      </w:pPr>
      <w:r>
        <w:rPr>
          <w:bCs/>
          <w:b/>
        </w:rPr>
        <w:t xml:space="preserve">Example 4: September 1974 (Stagflation)</w:t>
      </w:r>
    </w:p>
    <w:tbl>
      <w:tblPr>
        <w:tblStyle w:val="Table"/>
        <w:tblW w:type="pct" w:w="5000"/>
        <w:tblLook w:firstRow="1" w:lastRow="0" w:firstColumn="0" w:lastColumn="0" w:noHBand="0" w:noVBand="0" w:val="0020"/>
        <w:jc w:val="start"/>
      </w:tblPr>
      <w:tblGrid>
        <w:gridCol w:w="3484"/>
        <w:gridCol w:w="2217"/>
        <w:gridCol w:w="2217"/>
      </w:tblGrid>
      <w:tr>
        <w:trPr>
          <w:tblHeader w:val="true"/>
        </w:trPr>
        <w:tc>
          <w:tcPr/>
          <w:p>
            <w:pPr>
              <w:pStyle w:val="Compact"/>
              <w:jc w:val="left"/>
            </w:pPr>
            <w:r>
              <w:t xml:space="preserve">Constraint</w:t>
            </w:r>
          </w:p>
        </w:tc>
        <w:tc>
          <w:tcPr/>
          <w:p>
            <w:pPr>
              <w:pStyle w:val="Compact"/>
              <w:jc w:val="left"/>
            </w:pPr>
            <w:r>
              <w:t xml:space="preserve">Value</w:t>
            </w:r>
          </w:p>
        </w:tc>
        <w:tc>
          <w:tcPr/>
          <w:p>
            <w:pPr>
              <w:pStyle w:val="Compact"/>
              <w:jc w:val="left"/>
            </w:pPr>
            <w:r>
              <w:t xml:space="preserve">Score</w:t>
            </w:r>
          </w:p>
        </w:tc>
      </w:tr>
      <w:tr>
        <w:tc>
          <w:tcPr/>
          <w:p>
            <w:pPr>
              <w:pStyle w:val="Compact"/>
              <w:jc w:val="left"/>
            </w:pPr>
            <w:r>
              <w:t xml:space="preserve">Rate room</w:t>
            </w:r>
          </w:p>
        </w:tc>
        <w:tc>
          <w:tcPr/>
          <w:p>
            <w:pPr>
              <w:pStyle w:val="Compact"/>
              <w:jc w:val="left"/>
            </w:pPr>
            <w:r>
              <w:t xml:space="preserve">Fed funds ~12%</w:t>
            </w:r>
          </w:p>
        </w:tc>
        <w:tc>
          <w:tcPr/>
          <w:p>
            <w:pPr>
              <w:pStyle w:val="Compact"/>
              <w:jc w:val="left"/>
            </w:pPr>
            <w:r>
              <w:t xml:space="preserve">1.00 (ample)</w:t>
            </w:r>
          </w:p>
        </w:tc>
      </w:tr>
      <w:tr>
        <w:tc>
          <w:tcPr/>
          <w:p>
            <w:pPr>
              <w:pStyle w:val="Compact"/>
              <w:jc w:val="left"/>
            </w:pPr>
            <w:r>
              <w:t xml:space="preserve">Inflation</w:t>
            </w:r>
          </w:p>
        </w:tc>
        <w:tc>
          <w:tcPr/>
          <w:p>
            <w:pPr>
              <w:pStyle w:val="Compact"/>
              <w:jc w:val="left"/>
            </w:pPr>
            <w:r>
              <w:t xml:space="preserve">CPI trailing 12m: ~12% (1,000 bps above 2%)</w:t>
            </w:r>
          </w:p>
        </w:tc>
        <w:tc>
          <w:tcPr/>
          <w:p>
            <w:pPr>
              <w:pStyle w:val="Compact"/>
              <w:jc w:val="left"/>
            </w:pPr>
            <w:r>
              <w:rPr>
                <w:bCs/>
                <w:b/>
              </w:rPr>
              <w:t xml:space="preserve">0.05</w:t>
            </w:r>
            <w:r>
              <w:t xml:space="preserve"> </w:t>
            </w:r>
            <w:r>
              <w:t xml:space="preserve">(breach)</w:t>
            </w:r>
          </w:p>
        </w:tc>
      </w:tr>
      <w:tr>
        <w:tc>
          <w:tcPr/>
          <w:p>
            <w:pPr>
              <w:pStyle w:val="Compact"/>
              <w:jc w:val="left"/>
            </w:pPr>
            <w:r>
              <w:t xml:space="preserve">Balance sheet</w:t>
            </w:r>
          </w:p>
        </w:tc>
        <w:tc>
          <w:tcPr/>
          <w:p>
            <w:pPr>
              <w:pStyle w:val="Compact"/>
              <w:jc w:val="left"/>
            </w:pPr>
            <w:r>
              <w:t xml:space="preserve">Monetary base ~6% of GDP</w:t>
            </w:r>
          </w:p>
        </w:tc>
        <w:tc>
          <w:tcPr/>
          <w:p>
            <w:pPr>
              <w:pStyle w:val="Compact"/>
              <w:jc w:val="left"/>
            </w:pPr>
            <w:r>
              <w:t xml:space="preserve">0.95 (ample)</w:t>
            </w:r>
          </w:p>
        </w:tc>
      </w:tr>
      <w:tr>
        <w:tc>
          <w:tcPr/>
          <w:p>
            <w:pPr>
              <w:pStyle w:val="Compact"/>
              <w:jc w:val="left"/>
            </w:pPr>
            <w:r>
              <w:t xml:space="preserve">Fiscal space</w:t>
            </w:r>
          </w:p>
        </w:tc>
        <w:tc>
          <w:tcPr/>
          <w:p>
            <w:pPr>
              <w:pStyle w:val="Compact"/>
              <w:jc w:val="left"/>
            </w:pPr>
            <w:r>
              <w:t xml:space="preserve">Debt/GDP ~33%</w:t>
            </w:r>
          </w:p>
        </w:tc>
        <w:tc>
          <w:tcPr/>
          <w:p>
            <w:pPr>
              <w:pStyle w:val="Compact"/>
              <w:jc w:val="left"/>
            </w:pPr>
            <w:r>
              <w:t xml:space="preserve">0.95 (ample)</w:t>
            </w:r>
          </w:p>
        </w:tc>
      </w:tr>
    </w:tbl>
    <w:p>
      <w:pPr>
        <w:pStyle w:val="BodyText"/>
      </w:pPr>
      <w:r>
        <w:t xml:space="preserve">Gap: max(1.00) − min(0.05) = 0.95 &gt; 0.25 →</w:t>
      </w:r>
      <w:r>
        <w:t xml:space="preserve"> </w:t>
      </w:r>
      <w:r>
        <w:rPr>
          <w:bCs/>
          <w:b/>
        </w:rPr>
        <w:t xml:space="preserve">minimum function activated</w:t>
      </w:r>
    </w:p>
    <w:p>
      <w:pPr>
        <w:pStyle w:val="BodyText"/>
      </w:pPr>
      <m:oMathPara>
        <m:oMathParaPr>
          <m:jc m:val="center"/>
        </m:oMathParaPr>
        <m:oMath>
          <m:sSub>
            <m:e>
              <m:r>
                <m:rPr>
                  <m:nor/>
                  <m:sty m:val="p"/>
                </m:rPr>
                <m:t>Pillar</m:t>
              </m:r>
            </m:e>
            <m:sub>
              <m:r>
                <m:t>5</m:t>
              </m:r>
            </m:sub>
          </m:sSub>
          <m:r>
            <m:rPr>
              <m:sty m:val="p"/>
            </m:rPr>
            <m:t>=</m:t>
          </m:r>
          <m:r>
            <m:rPr>
              <m:sty m:val="p"/>
            </m:rPr>
            <m:t>min</m:t>
          </m:r>
          <m:d>
            <m:dPr>
              <m:begChr m:val="("/>
              <m:endChr m:val=")"/>
              <m:sepChr m:val=""/>
              <m:grow/>
            </m:dPr>
            <m:e>
              <m:r>
                <m:t>1.00</m:t>
              </m:r>
              <m:r>
                <m:rPr>
                  <m:sty m:val="p"/>
                </m:rPr>
                <m:t>,</m:t>
              </m:r>
              <m:r>
                <m:t>0.05</m:t>
              </m:r>
              <m:r>
                <m:rPr>
                  <m:sty m:val="p"/>
                </m:rPr>
                <m:t>,</m:t>
              </m:r>
              <m:r>
                <m:t>0.95</m:t>
              </m:r>
              <m:r>
                <m:rPr>
                  <m:sty m:val="p"/>
                </m:rPr>
                <m:t>,</m:t>
              </m:r>
              <m:r>
                <m:t>0.95</m:t>
              </m:r>
            </m:e>
          </m:d>
          <m:r>
            <m:rPr>
              <m:sty m:val="p"/>
            </m:rPr>
            <m:t>=</m:t>
          </m:r>
          <m:r>
            <m:t>0.05</m:t>
          </m:r>
        </m:oMath>
      </m:oMathPara>
    </w:p>
    <w:p>
      <w:pPr>
        <w:pStyle w:val="FirstParagraph"/>
      </w:pPr>
      <w:r>
        <w:t xml:space="preserve">Binding constraint: inflation (massively). Under the old architecture, 12% fed funds would have produced an ELB distance score of 1.00, and the pillar average would have been approximately 0.74 (COMFORTABLE). This would have been catastrophically wrong — Burns-era Fed policy was paralysed by inflation, unable to ease without risking hyperinflationary expectations. The binding constraint score of 0.05 (near-breach) correctly reflects that the economy was heading into a severe recession with effectively zero policy response capacity because inflation prevented easing. This is exactly the scenario the user’s insight was designed to capture.</w:t>
      </w:r>
    </w:p>
    <w:bookmarkEnd w:id="46"/>
    <w:bookmarkStart w:id="47" w:name="interaction-with-other-pillars"/>
    <w:p>
      <w:pPr>
        <w:pStyle w:val="Heading4"/>
      </w:pPr>
      <w:r>
        <w:t xml:space="preserve">4.5.8 Interaction with Other Pillars</w:t>
      </w:r>
    </w:p>
    <w:p>
      <w:pPr>
        <w:pStyle w:val="FirstParagraph"/>
      </w:pPr>
      <w:r>
        <w:t xml:space="preserve">The revised policy pillar affects the interaction-adjusted weight system (§6.2). Under the original architecture, the policy pillar had the lowest ML-derived weight (9%) because it</w:t>
      </w:r>
      <w:r>
        <w:t xml:space="preserve"> </w:t>
      </w:r>
      <w:r>
        <w:t xml:space="preserve">“</w:t>
      </w:r>
      <w:r>
        <w:t xml:space="preserve">never breached</w:t>
      </w:r>
      <w:r>
        <w:t xml:space="preserve">”</w:t>
      </w:r>
      <w:r>
        <w:t xml:space="preserve"> </w:t>
      </w:r>
      <w:r>
        <w:t xml:space="preserve">in the 14-scenario training sample. This was an artefact of the ZLB-centric scoring — with fed funds &gt; 0% in most modern crises, the policy pillar scored as ample, providing no discriminatory signal.</w:t>
      </w:r>
    </w:p>
    <w:p>
      <w:pPr>
        <w:pStyle w:val="BodyText"/>
      </w:pPr>
      <w:r>
        <w:t xml:space="preserve">Under the binding constraint architecture, the policy pillar would have breached or near-breached in at least three modern scenarios:</w:t>
      </w:r>
    </w:p>
    <w:tbl>
      <w:tblPr>
        <w:tblStyle w:val="Table"/>
        <w:tblW w:type="pct" w:w="5000"/>
        <w:tblLook w:firstRow="1" w:lastRow="0" w:firstColumn="0" w:lastColumn="0" w:noHBand="0" w:noVBand="0" w:val="0020"/>
        <w:jc w:val="start"/>
      </w:tblPr>
      <w:tblGrid>
        <w:gridCol w:w="1218"/>
        <w:gridCol w:w="2071"/>
        <w:gridCol w:w="2193"/>
        <w:gridCol w:w="2436"/>
      </w:tblGrid>
      <w:tr>
        <w:trPr>
          <w:tblHeader w:val="true"/>
        </w:trPr>
        <w:tc>
          <w:tcPr/>
          <w:p>
            <w:pPr>
              <w:pStyle w:val="Compact"/>
              <w:jc w:val="left"/>
            </w:pPr>
            <w:r>
              <w:t xml:space="preserve">Scenario</w:t>
            </w:r>
          </w:p>
        </w:tc>
        <w:tc>
          <w:tcPr/>
          <w:p>
            <w:pPr>
              <w:pStyle w:val="Compact"/>
              <w:jc w:val="left"/>
            </w:pPr>
            <w:r>
              <w:t xml:space="preserve">Old Policy Score</w:t>
            </w:r>
          </w:p>
        </w:tc>
        <w:tc>
          <w:tcPr/>
          <w:p>
            <w:pPr>
              <w:pStyle w:val="Compact"/>
              <w:jc w:val="left"/>
            </w:pPr>
            <w:r>
              <w:t xml:space="preserve">New Policy Score</w:t>
            </w:r>
          </w:p>
        </w:tc>
        <w:tc>
          <w:tcPr/>
          <w:p>
            <w:pPr>
              <w:pStyle w:val="Compact"/>
              <w:jc w:val="left"/>
            </w:pPr>
            <w:r>
              <w:t xml:space="preserve">Binding Constraint</w:t>
            </w:r>
          </w:p>
        </w:tc>
      </w:tr>
      <w:tr>
        <w:tc>
          <w:tcPr/>
          <w:p>
            <w:pPr>
              <w:pStyle w:val="Compact"/>
              <w:jc w:val="left"/>
            </w:pPr>
            <w:r>
              <w:t xml:space="preserve">COVID 2020</w:t>
            </w:r>
          </w:p>
        </w:tc>
        <w:tc>
          <w:tcPr/>
          <w:p>
            <w:pPr>
              <w:pStyle w:val="Compact"/>
              <w:jc w:val="left"/>
            </w:pPr>
            <w:r>
              <w:t xml:space="preserve">~0.65 (ELB distance)</w:t>
            </w:r>
          </w:p>
        </w:tc>
        <w:tc>
          <w:tcPr/>
          <w:p>
            <w:pPr>
              <w:pStyle w:val="Compact"/>
              <w:jc w:val="left"/>
            </w:pPr>
            <w:r>
              <w:t xml:space="preserve">~0.25 (rate room + fiscal)</w:t>
            </w:r>
          </w:p>
        </w:tc>
        <w:tc>
          <w:tcPr/>
          <w:p>
            <w:pPr>
              <w:pStyle w:val="Compact"/>
              <w:jc w:val="left"/>
            </w:pPr>
            <w:r>
              <w:t xml:space="preserve">Rate room, fiscal</w:t>
            </w:r>
          </w:p>
        </w:tc>
      </w:tr>
      <w:tr>
        <w:tc>
          <w:tcPr/>
          <w:p>
            <w:pPr>
              <w:pStyle w:val="Compact"/>
              <w:jc w:val="left"/>
            </w:pPr>
            <w:r>
              <w:t xml:space="preserve">SVB 2023</w:t>
            </w:r>
          </w:p>
        </w:tc>
        <w:tc>
          <w:tcPr/>
          <w:p>
            <w:pPr>
              <w:pStyle w:val="Compact"/>
              <w:jc w:val="left"/>
            </w:pPr>
            <w:r>
              <w:t xml:space="preserve">~0.85 (ample rates)</w:t>
            </w:r>
          </w:p>
        </w:tc>
        <w:tc>
          <w:tcPr/>
          <w:p>
            <w:pPr>
              <w:pStyle w:val="Compact"/>
              <w:jc w:val="left"/>
            </w:pPr>
            <w:r>
              <w:t xml:space="preserve">~0.15 (inflation)</w:t>
            </w:r>
          </w:p>
        </w:tc>
        <w:tc>
          <w:tcPr/>
          <w:p>
            <w:pPr>
              <w:pStyle w:val="Compact"/>
              <w:jc w:val="left"/>
            </w:pPr>
            <w:r>
              <w:t xml:space="preserve">Inflation</w:t>
            </w:r>
          </w:p>
        </w:tc>
      </w:tr>
      <w:tr>
        <w:tc>
          <w:tcPr/>
          <w:p>
            <w:pPr>
              <w:pStyle w:val="Compact"/>
              <w:jc w:val="left"/>
            </w:pPr>
            <w:r>
              <w:t xml:space="preserve">April 2025 Tariffs</w:t>
            </w:r>
          </w:p>
        </w:tc>
        <w:tc>
          <w:tcPr/>
          <w:p>
            <w:pPr>
              <w:pStyle w:val="Compact"/>
              <w:jc w:val="left"/>
            </w:pPr>
            <w:r>
              <w:t xml:space="preserve">~0.80 (ample rates)</w:t>
            </w:r>
          </w:p>
        </w:tc>
        <w:tc>
          <w:tcPr/>
          <w:p>
            <w:pPr>
              <w:pStyle w:val="Compact"/>
              <w:jc w:val="left"/>
            </w:pPr>
            <w:r>
              <w:t xml:space="preserve">~0.20 (inflation + fiscal)</w:t>
            </w:r>
          </w:p>
        </w:tc>
        <w:tc>
          <w:tcPr/>
          <w:p>
            <w:pPr>
              <w:pStyle w:val="Compact"/>
              <w:jc w:val="left"/>
            </w:pPr>
            <w:r>
              <w:t xml:space="preserve">Inflation, fiscal</w:t>
            </w:r>
          </w:p>
        </w:tc>
      </w:tr>
    </w:tbl>
    <w:p>
      <w:pPr>
        <w:pStyle w:val="BodyText"/>
      </w:pPr>
      <w:r>
        <w:t xml:space="preserve">This means the ML weight optimiser, when retrained on the revised pillar scores, will assign the policy pillar a higher weight — likely 12–15% rather than 9%. The Policy × Contagion interaction feature (§7.5) will also become more discriminating, as the policy pillar now correctly identifies scenarios where global stress coincides with constrained policy capacity.</w:t>
      </w:r>
    </w:p>
    <w:p>
      <w:pPr>
        <w:pStyle w:val="BodyText"/>
      </w:pPr>
      <w:r>
        <w:rPr>
          <w:bCs/>
          <w:b/>
        </w:rPr>
        <w:t xml:space="preserve">Implementation note:</w:t>
      </w:r>
      <w:r>
        <w:t xml:space="preserve"> </w:t>
      </w:r>
      <w:r>
        <w:t xml:space="preserve">Retraining the ML weight optimiser on the revised policy pillar scores is a prerequisite for finalising the ML-optimised weight table (§6.2). The weights reported in the current document reflect the old pillar architecture and should be considered provisional until retraining is complete.</w:t>
      </w:r>
    </w:p>
    <w:bookmarkEnd w:id="47"/>
    <w:bookmarkStart w:id="48" w:name="historical-proxy-chain-summary"/>
    <w:p>
      <w:pPr>
        <w:pStyle w:val="Heading4"/>
      </w:pPr>
      <w:r>
        <w:t xml:space="preserve">4.5.9 Historical Proxy Chain Summary</w:t>
      </w:r>
    </w:p>
    <w:p>
      <w:pPr>
        <w:pStyle w:val="FirstParagraph"/>
      </w:pPr>
      <w:r>
        <w:t xml:space="preserve">The following extends the proxy chain table in §12.3 for the revised policy pillar:</w:t>
      </w:r>
    </w:p>
    <w:tbl>
      <w:tblPr>
        <w:tblStyle w:val="Table"/>
        <w:tblW w:type="pct" w:w="5000"/>
        <w:tblLook w:firstRow="1" w:lastRow="0" w:firstColumn="0" w:lastColumn="0" w:noHBand="0" w:noVBand="0" w:val="0020"/>
        <w:jc w:val="start"/>
      </w:tblPr>
      <w:tblGrid>
        <w:gridCol w:w="1193"/>
        <w:gridCol w:w="1627"/>
        <w:gridCol w:w="1844"/>
        <w:gridCol w:w="1844"/>
        <w:gridCol w:w="1410"/>
      </w:tblGrid>
      <w:tr>
        <w:trPr>
          <w:tblHeader w:val="true"/>
        </w:trPr>
        <w:tc>
          <w:tcPr/>
          <w:p>
            <w:pPr>
              <w:pStyle w:val="Compact"/>
              <w:jc w:val="left"/>
            </w:pPr>
            <w:r>
              <w:t xml:space="preserve">Indicator</w:t>
            </w:r>
          </w:p>
        </w:tc>
        <w:tc>
          <w:tcPr/>
          <w:p>
            <w:pPr>
              <w:pStyle w:val="Compact"/>
              <w:jc w:val="left"/>
            </w:pPr>
            <w:r>
              <w:t xml:space="preserve">Pre-1913 Proxy</w:t>
            </w:r>
          </w:p>
        </w:tc>
        <w:tc>
          <w:tcPr/>
          <w:p>
            <w:pPr>
              <w:pStyle w:val="Compact"/>
              <w:jc w:val="left"/>
            </w:pPr>
            <w:r>
              <w:t xml:space="preserve">1913–1947 Proxy</w:t>
            </w:r>
          </w:p>
        </w:tc>
        <w:tc>
          <w:tcPr/>
          <w:p>
            <w:pPr>
              <w:pStyle w:val="Compact"/>
              <w:jc w:val="left"/>
            </w:pPr>
            <w:r>
              <w:t xml:space="preserve">1947–1959 Proxy</w:t>
            </w:r>
          </w:p>
        </w:tc>
        <w:tc>
          <w:tcPr/>
          <w:p>
            <w:pPr>
              <w:pStyle w:val="Compact"/>
              <w:jc w:val="left"/>
            </w:pPr>
            <w:r>
              <w:t xml:space="preserve">1959+ Native</w:t>
            </w:r>
          </w:p>
        </w:tc>
      </w:tr>
      <w:tr>
        <w:tc>
          <w:tcPr/>
          <w:p>
            <w:pPr>
              <w:pStyle w:val="Compact"/>
              <w:jc w:val="left"/>
            </w:pPr>
            <w:r>
              <w:rPr>
                <w:bCs/>
                <w:b/>
              </w:rPr>
              <w:t xml:space="preserve">Inflation constraint</w:t>
            </w:r>
          </w:p>
        </w:tc>
        <w:tc>
          <w:tcPr/>
          <w:p>
            <w:pPr>
              <w:pStyle w:val="Compact"/>
              <w:jc w:val="left"/>
            </w:pPr>
            <w:r>
              <w:t xml:space="preserve">Warren-Pearson WPI × 1/1.5 scaling (from 1850)</w:t>
            </w:r>
          </w:p>
        </w:tc>
        <w:tc>
          <w:tcPr/>
          <w:p>
            <w:pPr>
              <w:pStyle w:val="Compact"/>
              <w:jc w:val="left"/>
            </w:pPr>
            <w:r>
              <w:t xml:space="preserve">BLS CPI, CPIAUCNS (from 1913)</w:t>
            </w:r>
          </w:p>
        </w:tc>
        <w:tc>
          <w:tcPr/>
          <w:p>
            <w:pPr>
              <w:pStyle w:val="Compact"/>
              <w:jc w:val="left"/>
            </w:pPr>
            <w:r>
              <w:t xml:space="preserve">CPI-U, CPIAUCSL (from 1947)</w:t>
            </w:r>
          </w:p>
        </w:tc>
        <w:tc>
          <w:tcPr/>
          <w:p>
            <w:pPr>
              <w:pStyle w:val="Compact"/>
              <w:jc w:val="left"/>
            </w:pPr>
            <w:r>
              <w:t xml:space="preserve">Core PCE, PCEPILFE</w:t>
            </w:r>
          </w:p>
        </w:tc>
      </w:tr>
      <w:tr>
        <w:tc>
          <w:tcPr/>
          <w:p>
            <w:pPr>
              <w:pStyle w:val="Compact"/>
              <w:jc w:val="left"/>
            </w:pPr>
            <w:r>
              <w:t xml:space="preserve">Rate room</w:t>
            </w:r>
          </w:p>
        </w:tc>
        <w:tc>
          <w:tcPr/>
          <w:p>
            <w:pPr>
              <w:pStyle w:val="Compact"/>
              <w:jc w:val="left"/>
            </w:pPr>
            <w:r>
              <w:t xml:space="preserve">N/A (no Fed)</w:t>
            </w:r>
          </w:p>
        </w:tc>
        <w:tc>
          <w:tcPr/>
          <w:p>
            <w:pPr>
              <w:pStyle w:val="Compact"/>
              <w:jc w:val="left"/>
            </w:pPr>
            <w:r>
              <w:t xml:space="preserve">Discount rate (INTDSRUSM193N, from 1913)</w:t>
            </w:r>
          </w:p>
        </w:tc>
        <w:tc>
          <w:tcPr/>
          <w:p>
            <w:pPr>
              <w:pStyle w:val="Compact"/>
              <w:jc w:val="left"/>
            </w:pPr>
            <w:r>
              <w:t xml:space="preserve">Fed Funds (DFF, from 1954)</w:t>
            </w:r>
          </w:p>
        </w:tc>
        <w:tc>
          <w:tcPr/>
          <w:p>
            <w:pPr>
              <w:pStyle w:val="Compact"/>
              <w:jc w:val="left"/>
            </w:pPr>
            <w:r>
              <w:t xml:space="preserve">DFF</w:t>
            </w:r>
          </w:p>
        </w:tc>
      </w:tr>
      <w:tr>
        <w:tc>
          <w:tcPr/>
          <w:p>
            <w:pPr>
              <w:pStyle w:val="Compact"/>
              <w:jc w:val="left"/>
            </w:pPr>
            <w:r>
              <w:t xml:space="preserve">Balance sheet</w:t>
            </w:r>
          </w:p>
        </w:tc>
        <w:tc>
          <w:tcPr/>
          <w:p>
            <w:pPr>
              <w:pStyle w:val="Compact"/>
              <w:jc w:val="left"/>
            </w:pPr>
            <w:r>
              <w:t xml:space="preserve">N/A</w:t>
            </w:r>
          </w:p>
        </w:tc>
        <w:tc>
          <w:tcPr/>
          <w:p>
            <w:pPr>
              <w:pStyle w:val="Compact"/>
              <w:jc w:val="left"/>
            </w:pPr>
            <w:r>
              <w:t xml:space="preserve">Monetary base / GDP (BOGMBASE, from 1918)</w:t>
            </w:r>
          </w:p>
        </w:tc>
        <w:tc>
          <w:tcPr/>
          <w:p>
            <w:pPr>
              <w:pStyle w:val="Compact"/>
              <w:jc w:val="left"/>
            </w:pPr>
            <w:r>
              <w:t xml:space="preserve">Same</w:t>
            </w:r>
          </w:p>
        </w:tc>
        <w:tc>
          <w:tcPr/>
          <w:p>
            <w:pPr>
              <w:pStyle w:val="Compact"/>
              <w:jc w:val="left"/>
            </w:pPr>
            <w:r>
              <w:t xml:space="preserve">WALCL / GDP (from 2002)</w:t>
            </w:r>
          </w:p>
        </w:tc>
      </w:tr>
      <w:tr>
        <w:tc>
          <w:tcPr/>
          <w:p>
            <w:pPr>
              <w:pStyle w:val="Compact"/>
              <w:jc w:val="left"/>
            </w:pPr>
            <w:r>
              <w:t xml:space="preserve">Fiscal space</w:t>
            </w:r>
          </w:p>
        </w:tc>
        <w:tc>
          <w:tcPr/>
          <w:p>
            <w:pPr>
              <w:pStyle w:val="Compact"/>
              <w:jc w:val="left"/>
            </w:pPr>
            <w:r>
              <w:t xml:space="preserve">Federal debt / GDP (MeasuringWorth, from 1790)</w:t>
            </w:r>
          </w:p>
        </w:tc>
        <w:tc>
          <w:tcPr/>
          <w:p>
            <w:pPr>
              <w:pStyle w:val="Compact"/>
              <w:jc w:val="left"/>
            </w:pPr>
            <w:r>
              <w:t xml:space="preserve">Same</w:t>
            </w:r>
          </w:p>
        </w:tc>
        <w:tc>
          <w:tcPr/>
          <w:p>
            <w:pPr>
              <w:pStyle w:val="Compact"/>
              <w:jc w:val="left"/>
            </w:pPr>
            <w:r>
              <w:t xml:space="preserve">Same (FRED GFDEGDQ188S from 1966)</w:t>
            </w:r>
          </w:p>
        </w:tc>
        <w:tc>
          <w:tcPr/>
          <w:p>
            <w:pPr>
              <w:pStyle w:val="Compact"/>
              <w:jc w:val="left"/>
            </w:pPr>
            <w:r>
              <w:t xml:space="preserve">Same</w:t>
            </w:r>
          </w:p>
        </w:tc>
      </w:tr>
      <w:tr>
        <w:tc>
          <w:tcPr/>
          <w:p>
            <w:pPr>
              <w:pStyle w:val="Compact"/>
              <w:jc w:val="left"/>
            </w:pPr>
            <w:r>
              <w:rPr>
                <w:bCs/>
                <w:b/>
              </w:rPr>
              <w:t xml:space="preserve">Gold standard</w:t>
            </w:r>
          </w:p>
        </w:tc>
        <w:tc>
          <w:tcPr/>
          <w:p>
            <w:pPr>
              <w:pStyle w:val="Compact"/>
              <w:jc w:val="left"/>
            </w:pPr>
            <w:r>
              <w:t xml:space="preserve">Gold reserve ratio (NBER, from 1878)</w:t>
            </w:r>
          </w:p>
        </w:tc>
        <w:tc>
          <w:tcPr/>
          <w:p>
            <w:pPr>
              <w:pStyle w:val="Compact"/>
              <w:jc w:val="left"/>
            </w:pPr>
            <w:r>
              <w:t xml:space="preserve">Same (to 1933)</w:t>
            </w:r>
          </w:p>
        </w:tc>
        <w:tc>
          <w:tcPr/>
          <w:p>
            <w:pPr>
              <w:pStyle w:val="Compact"/>
              <w:jc w:val="left"/>
            </w:pPr>
            <w:r>
              <w:t xml:space="preserve">N/A</w:t>
            </w:r>
          </w:p>
        </w:tc>
        <w:tc>
          <w:tcPr/>
          <w:p>
            <w:pPr>
              <w:pStyle w:val="Compact"/>
              <w:jc w:val="left"/>
            </w:pPr>
            <w:r>
              <w:t xml:space="preserve">N/A</w:t>
            </w:r>
          </w:p>
        </w:tc>
      </w:tr>
    </w:tbl>
    <w:bookmarkEnd w:id="48"/>
    <w:bookmarkStart w:id="49" w:name="data-quality-and-limitations"/>
    <w:p>
      <w:pPr>
        <w:pStyle w:val="Heading4"/>
      </w:pPr>
      <w:r>
        <w:t xml:space="preserve">4.5.10 Data Quality and Limitations</w:t>
      </w:r>
    </w:p>
    <w:p>
      <w:pPr>
        <w:pStyle w:val="FirstParagraph"/>
      </w:pPr>
      <w:r>
        <w:rPr>
          <w:bCs/>
          <w:b/>
        </w:rPr>
        <w:t xml:space="preserve">The</w:t>
      </w:r>
      <w:r>
        <w:rPr>
          <w:bCs/>
          <w:b/>
        </w:rPr>
        <w:t xml:space="preserve"> </w:t>
      </w:r>
      <w:r>
        <w:rPr>
          <w:bCs/>
          <w:b/>
        </w:rPr>
        <w:t xml:space="preserve">“</w:t>
      </w:r>
      <w:r>
        <w:rPr>
          <w:bCs/>
          <w:b/>
        </w:rPr>
        <w:t xml:space="preserve">no inflation target</w:t>
      </w:r>
      <w:r>
        <w:rPr>
          <w:bCs/>
          <w:b/>
        </w:rPr>
        <w:t xml:space="preserve">”</w:t>
      </w:r>
      <w:r>
        <w:rPr>
          <w:bCs/>
          <w:b/>
        </w:rPr>
        <w:t xml:space="preserve"> </w:t>
      </w:r>
      <w:r>
        <w:rPr>
          <w:bCs/>
          <w:b/>
        </w:rPr>
        <w:t xml:space="preserve">problem for pre-2012 scoring.</w:t>
      </w:r>
      <w:r>
        <w:t xml:space="preserve"> </w:t>
      </w:r>
      <w:r>
        <w:t xml:space="preserve">The Fed did not adopt an explicit 2% inflation target until January 2012. Applying a 2% target retroactively is anachronistic — the Fed’s implicit target may have been higher (3–4%) during the 1960s–1970s or undefined during the gold standard era. However, the alternative (no inflation scoring before 2012) would remove the binding constraint architecture’s primary advantage. We adopt 2% as a constant target throughout the backtest, acknowledging this as a simplification. The impact is modest: the inflation constraint score is most sensitive around 2% ± 100 bps, and most historical inflation readings are either clearly near target (scoring ≈ 1.0) or clearly far from target (scoring &lt; 0.35), making the exact target level less consequential than the direction-of-deviation signal.</w:t>
      </w:r>
    </w:p>
    <w:p>
      <w:pPr>
        <w:pStyle w:val="BodyText"/>
      </w:pPr>
      <w:r>
        <w:rPr>
          <w:bCs/>
          <w:b/>
        </w:rPr>
        <w:t xml:space="preserve">WPI volatility in the pre-1913 period.</w:t>
      </w:r>
      <w:r>
        <w:t xml:space="preserve"> </w:t>
      </w:r>
      <w:r>
        <w:t xml:space="preserve">Wholesale prices were significantly more volatile than consumer prices — month-to-month swings of 2–5% were common, compared to &lt; 1% for consumer prices. The 1/1.5 scaling factor dampens this, but residual excess volatility may cause the inflation constraint to oscillate between</w:t>
      </w:r>
      <w:r>
        <w:t xml:space="preserve"> </w:t>
      </w:r>
      <w:r>
        <w:t xml:space="preserve">“</w:t>
      </w:r>
      <w:r>
        <w:t xml:space="preserve">ample</w:t>
      </w:r>
      <w:r>
        <w:t xml:space="preserve">”</w:t>
      </w:r>
      <w:r>
        <w:t xml:space="preserve"> </w:t>
      </w:r>
      <w:r>
        <w:t xml:space="preserve">and</w:t>
      </w:r>
      <w:r>
        <w:t xml:space="preserve"> </w:t>
      </w:r>
      <w:r>
        <w:t xml:space="preserve">“</w:t>
      </w:r>
      <w:r>
        <w:t xml:space="preserve">thin</w:t>
      </w:r>
      <w:r>
        <w:t xml:space="preserve">”</w:t>
      </w:r>
      <w:r>
        <w:t xml:space="preserve"> </w:t>
      </w:r>
      <w:r>
        <w:t xml:space="preserve">more rapidly than the underlying consumer price reality warrants. The 12-month trailing window partially smooths this, but users should treat pre-1913 policy pillar scores as directionally informative rather than precisely calibrated.</w:t>
      </w:r>
    </w:p>
    <w:p>
      <w:pPr>
        <w:pStyle w:val="BodyText"/>
      </w:pPr>
      <w:r>
        <w:rPr>
          <w:bCs/>
          <w:b/>
        </w:rPr>
        <w:t xml:space="preserve">Gold standard constraint estimation.</w:t>
      </w:r>
      <w:r>
        <w:t xml:space="preserve"> </w:t>
      </w:r>
      <w:r>
        <w:t xml:space="preserve">The gold reserve ratio is well-documented for the national banking era, but its mapping to a 0–1 policy constraint score is judgement-based rather than empirically calibrated (no modern analog exists to calibrate against). The thresholds are informed by historical analysis of gold standard crises — particularly the 1893 and 1907 panics, where gold drains below the ~40% threshold triggered bank runs and liquidity seizures — but should be treated as approximate.</w:t>
      </w:r>
    </w:p>
    <w:bookmarkEnd w:id="49"/>
    <w:bookmarkEnd w:id="50"/>
    <w:bookmarkStart w:id="51" w:name="pillar-6-international-contagion"/>
    <w:p>
      <w:pPr>
        <w:pStyle w:val="Heading3"/>
      </w:pPr>
      <w:r>
        <w:t xml:space="preserve">4.6 Pillar 6: International Contagion</w:t>
      </w:r>
    </w:p>
    <w:p>
      <w:pPr>
        <w:pStyle w:val="FirstParagraph"/>
      </w:pPr>
      <w:r>
        <w:rPr>
          <w:bCs/>
          <w:b/>
        </w:rPr>
        <w:t xml:space="preserve">Question:</w:t>
      </w:r>
      <w:r>
        <w:t xml:space="preserve"> </w:t>
      </w:r>
      <w:r>
        <w:rPr>
          <w:iCs/>
          <w:i/>
        </w:rPr>
        <w:t xml:space="preserve">Are cross-border transmission channels stable?</w:t>
      </w:r>
    </w:p>
    <w:p>
      <w:pPr>
        <w:pStyle w:val="BodyText"/>
      </w:pPr>
      <w:r>
        <w:t xml:space="preserve">The contagion pillar captures three transmission mechanisms: (1) dollar funding stress via cross-currency basis, (2) EM vulnerability via capital flows and reserve coverage, and (3) global banking interconnectedness via G-SIB stress proxies.</w:t>
      </w:r>
    </w:p>
    <w:p>
      <w:pPr>
        <w:pStyle w:val="BodyText"/>
      </w:pPr>
      <w:r>
        <w:rPr>
          <w:bCs/>
          <w:b/>
        </w:rPr>
        <w:t xml:space="preserve">Indicators:</w:t>
      </w:r>
    </w:p>
    <w:tbl>
      <w:tblPr>
        <w:tblStyle w:val="Table"/>
        <w:tblW w:type="pct" w:w="5000"/>
        <w:tblLook w:firstRow="1" w:lastRow="0" w:firstColumn="0" w:lastColumn="0" w:noHBand="0" w:noVBand="0" w:val="0020"/>
        <w:jc w:val="start"/>
      </w:tblPr>
      <w:tblGrid>
        <w:gridCol w:w="2124"/>
        <w:gridCol w:w="1545"/>
        <w:gridCol w:w="2511"/>
        <w:gridCol w:w="1738"/>
      </w:tblGrid>
      <w:tr>
        <w:trPr>
          <w:tblHeader w:val="true"/>
        </w:trPr>
        <w:tc>
          <w:tcPr/>
          <w:p>
            <w:pPr>
              <w:pStyle w:val="Compact"/>
              <w:jc w:val="left"/>
            </w:pPr>
            <w:r>
              <w:t xml:space="preserve">Indicator</w:t>
            </w:r>
          </w:p>
        </w:tc>
        <w:tc>
          <w:tcPr/>
          <w:p>
            <w:pPr>
              <w:pStyle w:val="Compact"/>
              <w:jc w:val="left"/>
            </w:pPr>
            <w:r>
              <w:t xml:space="preserve">Source</w:t>
            </w:r>
          </w:p>
        </w:tc>
        <w:tc>
          <w:tcPr/>
          <w:p>
            <w:pPr>
              <w:pStyle w:val="Compact"/>
              <w:jc w:val="left"/>
            </w:pPr>
            <w:r>
              <w:t xml:space="preserve">Description</w:t>
            </w:r>
          </w:p>
        </w:tc>
        <w:tc>
          <w:tcPr/>
          <w:p>
            <w:pPr>
              <w:pStyle w:val="Compact"/>
              <w:jc w:val="left"/>
            </w:pPr>
            <w:r>
              <w:t xml:space="preserve">Scoring</w:t>
            </w:r>
          </w:p>
        </w:tc>
      </w:tr>
      <w:tr>
        <w:tc>
          <w:tcPr/>
          <w:p>
            <w:pPr>
              <w:pStyle w:val="Compact"/>
              <w:jc w:val="left"/>
            </w:pPr>
            <w:r>
              <w:t xml:space="preserve">Cross-currency basis (multi-pair)</w:t>
            </w:r>
          </w:p>
        </w:tc>
        <w:tc>
          <w:tcPr/>
          <w:p>
            <w:pPr>
              <w:pStyle w:val="Compact"/>
              <w:jc w:val="left"/>
            </w:pPr>
            <w:r>
              <w:t xml:space="preserve">BIS/Bloomberg</w:t>
            </w:r>
          </w:p>
        </w:tc>
        <w:tc>
          <w:tcPr/>
          <w:p>
            <w:pPr>
              <w:pStyle w:val="Compact"/>
              <w:jc w:val="left"/>
            </w:pPr>
            <w:r>
              <w:t xml:space="preserve">Dollar funding stress across EUR, JPY, GBP</w:t>
            </w:r>
          </w:p>
        </w:tc>
        <w:tc>
          <w:tcPr/>
          <w:p>
            <w:pPr>
              <w:pStyle w:val="Compact"/>
              <w:jc w:val="left"/>
            </w:pPr>
            <w:r>
              <w:t xml:space="preserve">Simple (narrower is better)</w:t>
            </w:r>
          </w:p>
        </w:tc>
      </w:tr>
      <w:tr>
        <w:tc>
          <w:tcPr/>
          <w:p>
            <w:pPr>
              <w:pStyle w:val="Compact"/>
              <w:jc w:val="left"/>
            </w:pPr>
            <w:r>
              <w:t xml:space="preserve">TARGET2 imbalances (% GDP)</w:t>
            </w:r>
          </w:p>
        </w:tc>
        <w:tc>
          <w:tcPr/>
          <w:p>
            <w:pPr>
              <w:pStyle w:val="Compact"/>
              <w:jc w:val="left"/>
            </w:pPr>
            <w:r>
              <w:t xml:space="preserve">ECB</w:t>
            </w:r>
          </w:p>
        </w:tc>
        <w:tc>
          <w:tcPr/>
          <w:p>
            <w:pPr>
              <w:pStyle w:val="Compact"/>
              <w:jc w:val="left"/>
            </w:pPr>
            <w:r>
              <w:t xml:space="preserve">Eurozone fragmentation risk</w:t>
            </w:r>
          </w:p>
        </w:tc>
        <w:tc>
          <w:tcPr/>
          <w:p>
            <w:pPr>
              <w:pStyle w:val="Compact"/>
              <w:jc w:val="left"/>
            </w:pPr>
            <w:r>
              <w:t xml:space="preserve">Simple (lower is better)</w:t>
            </w:r>
          </w:p>
        </w:tc>
      </w:tr>
      <w:tr>
        <w:tc>
          <w:tcPr/>
          <w:p>
            <w:pPr>
              <w:pStyle w:val="Compact"/>
              <w:jc w:val="left"/>
            </w:pPr>
            <w:r>
              <w:t xml:space="preserve">EM reserve coverage (Guidotti-Greenspan ratio)</w:t>
            </w:r>
          </w:p>
        </w:tc>
        <w:tc>
          <w:tcPr/>
          <w:p>
            <w:pPr>
              <w:pStyle w:val="Compact"/>
              <w:jc w:val="left"/>
            </w:pPr>
            <w:r>
              <w:t xml:space="preserve">IMF</w:t>
            </w:r>
          </w:p>
        </w:tc>
        <w:tc>
          <w:tcPr/>
          <w:p>
            <w:pPr>
              <w:pStyle w:val="Compact"/>
              <w:jc w:val="left"/>
            </w:pPr>
            <w:r>
              <w:t xml:space="preserve">FX reserves / short-term external debt</w:t>
            </w:r>
          </w:p>
        </w:tc>
        <w:tc>
          <w:tcPr/>
          <w:p>
            <w:pPr>
              <w:pStyle w:val="Compact"/>
              <w:jc w:val="left"/>
            </w:pPr>
            <w:r>
              <w:t xml:space="preserve">Simple (higher is better)</w:t>
            </w:r>
          </w:p>
        </w:tc>
      </w:tr>
      <w:tr>
        <w:tc>
          <w:tcPr/>
          <w:p>
            <w:pPr>
              <w:pStyle w:val="Compact"/>
              <w:jc w:val="left"/>
            </w:pPr>
            <w:r>
              <w:t xml:space="preserve">Cross-border banking flows (% GDP)</w:t>
            </w:r>
          </w:p>
        </w:tc>
        <w:tc>
          <w:tcPr/>
          <w:p>
            <w:pPr>
              <w:pStyle w:val="Compact"/>
              <w:jc w:val="left"/>
            </w:pPr>
            <w:r>
              <w:t xml:space="preserve">BIS</w:t>
            </w:r>
          </w:p>
        </w:tc>
        <w:tc>
          <w:tcPr/>
          <w:p>
            <w:pPr>
              <w:pStyle w:val="Compact"/>
              <w:jc w:val="left"/>
            </w:pPr>
            <w:r>
              <w:t xml:space="preserve">Sudden stop / surge indicator</w:t>
            </w:r>
          </w:p>
        </w:tc>
        <w:tc>
          <w:tcPr/>
          <w:p>
            <w:pPr>
              <w:pStyle w:val="Compact"/>
              <w:jc w:val="left"/>
            </w:pPr>
            <w:r>
              <w:t xml:space="preserve">Range</w:t>
            </w:r>
          </w:p>
        </w:tc>
      </w:tr>
      <w:tr>
        <w:tc>
          <w:tcPr/>
          <w:p>
            <w:pPr>
              <w:pStyle w:val="Compact"/>
              <w:jc w:val="left"/>
            </w:pPr>
            <w:r>
              <w:t xml:space="preserve">Global equity correlation (30-day)</w:t>
            </w:r>
          </w:p>
        </w:tc>
        <w:tc>
          <w:tcPr/>
          <w:p>
            <w:pPr>
              <w:pStyle w:val="Compact"/>
              <w:jc w:val="left"/>
            </w:pPr>
            <w:r>
              <w:t xml:space="preserve">Calculated (SPY/EFA/EEM)</w:t>
            </w:r>
          </w:p>
        </w:tc>
        <w:tc>
          <w:tcPr/>
          <w:p>
            <w:pPr>
              <w:pStyle w:val="Compact"/>
              <w:jc w:val="left"/>
            </w:pPr>
            <w:r>
              <w:t xml:space="preserve">Contagion spreading vs. decoupling</w:t>
            </w:r>
          </w:p>
        </w:tc>
        <w:tc>
          <w:tcPr/>
          <w:p>
            <w:pPr>
              <w:pStyle w:val="Compact"/>
              <w:jc w:val="left"/>
            </w:pPr>
            <w:r>
              <w:t xml:space="preserve">Range</w:t>
            </w:r>
          </w:p>
        </w:tc>
      </w:tr>
      <w:tr>
        <w:tc>
          <w:tcPr/>
          <w:p>
            <w:pPr>
              <w:pStyle w:val="Compact"/>
              <w:jc w:val="left"/>
            </w:pPr>
            <w:r>
              <w:t xml:space="preserve">BTC–SPY correlation (60-day)</w:t>
            </w:r>
          </w:p>
        </w:tc>
        <w:tc>
          <w:tcPr/>
          <w:p>
            <w:pPr>
              <w:pStyle w:val="Compact"/>
              <w:jc w:val="left"/>
            </w:pPr>
            <w:r>
              <w:t xml:space="preserve">Calculated</w:t>
            </w:r>
          </w:p>
        </w:tc>
        <w:tc>
          <w:tcPr/>
          <w:p>
            <w:pPr>
              <w:pStyle w:val="Compact"/>
              <w:jc w:val="left"/>
            </w:pPr>
            <w:r>
              <w:t xml:space="preserve">Retail leverage / risk-on contagion channel</w:t>
            </w:r>
          </w:p>
        </w:tc>
        <w:tc>
          <w:tcPr/>
          <w:p>
            <w:pPr>
              <w:pStyle w:val="Compact"/>
              <w:jc w:val="left"/>
            </w:pPr>
            <w:r>
              <w:t xml:space="preserve">Simple (lower is better)</w:t>
            </w:r>
          </w:p>
        </w:tc>
      </w:tr>
      <w:tr>
        <w:tc>
          <w:tcPr/>
          <w:p>
            <w:pPr>
              <w:pStyle w:val="Compact"/>
              <w:jc w:val="left"/>
            </w:pPr>
            <w:r>
              <w:t xml:space="preserve">G-SIB stress proxy</w:t>
            </w:r>
          </w:p>
        </w:tc>
        <w:tc>
          <w:tcPr/>
          <w:p>
            <w:pPr>
              <w:pStyle w:val="Compact"/>
              <w:jc w:val="left"/>
            </w:pPr>
            <w:r>
              <w:t xml:space="preserve">FRED (BAMLC0A4CBBB) or BKX vol</w:t>
            </w:r>
          </w:p>
        </w:tc>
        <w:tc>
          <w:tcPr/>
          <w:p>
            <w:pPr>
              <w:pStyle w:val="Compact"/>
              <w:jc w:val="left"/>
            </w:pPr>
            <w:r>
              <w:t xml:space="preserve">Banking system credit stress</w:t>
            </w:r>
          </w:p>
        </w:tc>
        <w:tc>
          <w:tcPr/>
          <w:p>
            <w:pPr>
              <w:pStyle w:val="Compact"/>
              <w:jc w:val="left"/>
            </w:pPr>
            <w:r>
              <w:t xml:space="preserve">Simple (lower is better)</w:t>
            </w:r>
          </w:p>
        </w:tc>
      </w:tr>
    </w:tbl>
    <w:p>
      <w:pPr>
        <w:pStyle w:val="BodyText"/>
      </w:pPr>
      <w:r>
        <w:rPr>
          <w:bCs/>
          <w:b/>
        </w:rPr>
        <w:t xml:space="preserve">G-SIB proxy: regime-specific thresholds.</w:t>
      </w:r>
      <w:r>
        <w:t xml:space="preserve"> </w:t>
      </w:r>
      <w:r>
        <w:t xml:space="preserve">Financial sector credit spreads have structurally tightened with post-GFC regulation (Dodd-Frank, Basel III). The framework uses three threshold regimes: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Period</w:t>
            </w:r>
          </w:p>
        </w:tc>
        <w:tc>
          <w:tcPr/>
          <w:p>
            <w:pPr>
              <w:pStyle w:val="Compact"/>
              <w:jc w:val="left"/>
            </w:pPr>
            <w:r>
              <w:t xml:space="preserve">Ample</w:t>
            </w:r>
          </w:p>
        </w:tc>
        <w:tc>
          <w:tcPr/>
          <w:p>
            <w:pPr>
              <w:pStyle w:val="Compact"/>
              <w:jc w:val="left"/>
            </w:pPr>
            <w:r>
              <w:t xml:space="preserve">Thin</w:t>
            </w:r>
          </w:p>
        </w:tc>
        <w:tc>
          <w:tcPr/>
          <w:p>
            <w:pPr>
              <w:pStyle w:val="Compact"/>
              <w:jc w:val="left"/>
            </w:pPr>
            <w:r>
              <w:t xml:space="preserve">Breach</w:t>
            </w:r>
          </w:p>
        </w:tc>
      </w:tr>
      <w:tr>
        <w:tc>
          <w:tcPr/>
          <w:p>
            <w:pPr>
              <w:pStyle w:val="Compact"/>
              <w:jc w:val="left"/>
            </w:pPr>
            <w:r>
              <w:t xml:space="preserve">Pre-2010</w:t>
            </w:r>
          </w:p>
        </w:tc>
        <w:tc>
          <w:tcPr/>
          <w:p>
            <w:pPr>
              <w:pStyle w:val="Compact"/>
              <w:jc w:val="left"/>
            </w:pPr>
            <w:r>
              <w:t xml:space="preserve">&lt; 100 bps</w:t>
            </w:r>
          </w:p>
        </w:tc>
        <w:tc>
          <w:tcPr/>
          <w:p>
            <w:pPr>
              <w:pStyle w:val="Compact"/>
              <w:jc w:val="left"/>
            </w:pPr>
            <w:r>
              <w:t xml:space="preserve">100–200 bps</w:t>
            </w:r>
          </w:p>
        </w:tc>
        <w:tc>
          <w:tcPr/>
          <w:p>
            <w:pPr>
              <w:pStyle w:val="Compact"/>
              <w:jc w:val="left"/>
            </w:pPr>
            <w:r>
              <w:t xml:space="preserve">&gt; 350 bps</w:t>
            </w:r>
          </w:p>
        </w:tc>
      </w:tr>
      <w:tr>
        <w:tc>
          <w:tcPr/>
          <w:p>
            <w:pPr>
              <w:pStyle w:val="Compact"/>
              <w:jc w:val="left"/>
            </w:pPr>
            <w:r>
              <w:t xml:space="preserve">2010–2014</w:t>
            </w:r>
          </w:p>
        </w:tc>
        <w:tc>
          <w:tcPr/>
          <w:p>
            <w:pPr>
              <w:pStyle w:val="Compact"/>
              <w:jc w:val="left"/>
            </w:pPr>
            <w:r>
              <w:t xml:space="preserve">&lt; 80 bps</w:t>
            </w:r>
          </w:p>
        </w:tc>
        <w:tc>
          <w:tcPr/>
          <w:p>
            <w:pPr>
              <w:pStyle w:val="Compact"/>
              <w:jc w:val="left"/>
            </w:pPr>
            <w:r>
              <w:t xml:space="preserve">80–150 bps</w:t>
            </w:r>
          </w:p>
        </w:tc>
        <w:tc>
          <w:tcPr/>
          <w:p>
            <w:pPr>
              <w:pStyle w:val="Compact"/>
              <w:jc w:val="left"/>
            </w:pPr>
            <w:r>
              <w:t xml:space="preserve">&gt; 280 bps</w:t>
            </w:r>
          </w:p>
        </w:tc>
      </w:tr>
      <w:tr>
        <w:tc>
          <w:tcPr/>
          <w:p>
            <w:pPr>
              <w:pStyle w:val="Compact"/>
              <w:jc w:val="left"/>
            </w:pPr>
            <w:r>
              <w:t xml:space="preserve">Post-2015</w:t>
            </w:r>
          </w:p>
        </w:tc>
        <w:tc>
          <w:tcPr/>
          <w:p>
            <w:pPr>
              <w:pStyle w:val="Compact"/>
              <w:jc w:val="left"/>
            </w:pPr>
            <w:r>
              <w:t xml:space="preserve">&lt; 60 bps</w:t>
            </w:r>
          </w:p>
        </w:tc>
        <w:tc>
          <w:tcPr/>
          <w:p>
            <w:pPr>
              <w:pStyle w:val="Compact"/>
              <w:jc w:val="left"/>
            </w:pPr>
            <w:r>
              <w:t xml:space="preserve">60–120 bps</w:t>
            </w:r>
          </w:p>
        </w:tc>
        <w:tc>
          <w:tcPr/>
          <w:p>
            <w:pPr>
              <w:pStyle w:val="Compact"/>
              <w:jc w:val="left"/>
            </w:pPr>
            <w:r>
              <w:t xml:space="preserve">&gt; 200 bps</w:t>
            </w:r>
          </w:p>
        </w:tc>
      </w:tr>
    </w:tbl>
    <w:p>
      <w:pPr>
        <w:pStyle w:val="BodyText"/>
      </w:pPr>
      <w:r>
        <w:rPr>
          <w:bCs/>
          <w:b/>
        </w:rPr>
        <w:t xml:space="preserve">Historical proxy (pre-1990):</w:t>
      </w:r>
      <w:r>
        <w:t xml:space="preserve"> </w:t>
      </w:r>
      <w:r>
        <w:t xml:space="preserve">Moody’s Baa–10Y Treasury spread (FRED</w:t>
      </w:r>
      <w:r>
        <w:t xml:space="preserve"> </w:t>
      </w:r>
      <w:r>
        <w:rPr>
          <w:rStyle w:val="VerbatimChar"/>
        </w:rPr>
        <w:t xml:space="preserve">BAA10Y</w:t>
      </w:r>
      <w:r>
        <w:t xml:space="preserve">) as financial stress proxy, available from 1919. Pre-1919: GBP/USD deviation from gold parity as contagion proxy (BoE data, available from 1791).</w:t>
      </w:r>
    </w:p>
    <w:bookmarkEnd w:id="51"/>
    <w:bookmarkStart w:id="60" w:name="pillar-7-private-credit"/>
    <w:p>
      <w:pPr>
        <w:pStyle w:val="Heading3"/>
      </w:pPr>
      <w:r>
        <w:t xml:space="preserve">4.7 Pillar 7: Private Credit</w:t>
      </w:r>
    </w:p>
    <w:p>
      <w:pPr>
        <w:pStyle w:val="FirstParagraph"/>
      </w:pPr>
      <w:r>
        <w:rPr>
          <w:bCs/>
          <w:b/>
        </w:rPr>
        <w:t xml:space="preserve">Question:</w:t>
      </w:r>
      <w:r>
        <w:t xml:space="preserve"> </w:t>
      </w:r>
      <w:r>
        <w:rPr>
          <w:iCs/>
          <w:i/>
        </w:rPr>
        <w:t xml:space="preserve">Is the opaque private credit market showing stress?</w:t>
      </w:r>
    </w:p>
    <w:p>
      <w:pPr>
        <w:pStyle w:val="BodyText"/>
      </w:pPr>
      <w:r>
        <w:t xml:space="preserve">The $1.7T+ private credit market presents unique monitoring challenges:</w:t>
      </w:r>
      <w:r>
        <w:t xml:space="preserve"> </w:t>
      </w:r>
      <w:r>
        <w:t xml:space="preserve">- No daily pricing (quarterly NAVs at best)</w:t>
      </w:r>
      <w:r>
        <w:t xml:space="preserve"> </w:t>
      </w:r>
      <w:r>
        <w:t xml:space="preserve">- No public credit ratings (or delayed downgrades)</w:t>
      </w:r>
      <w:r>
        <w:t xml:space="preserve"> </w:t>
      </w:r>
      <w:r>
        <w:t xml:space="preserve">- PIK (payment-in-kind) provisions mask cash flow problems</w:t>
      </w:r>
      <w:r>
        <w:t xml:space="preserve"> </w:t>
      </w:r>
      <w:r>
        <w:t xml:space="preserve">- Amendment/extend practices delay defaults</w:t>
      </w:r>
    </w:p>
    <w:bookmarkStart w:id="52" w:name="the-collinearity-problem"/>
    <w:p>
      <w:pPr>
        <w:pStyle w:val="Heading4"/>
      </w:pPr>
      <w:r>
        <w:t xml:space="preserve">4.7.1 The Collinearity Problem</w:t>
      </w:r>
    </w:p>
    <w:p>
      <w:pPr>
        <w:pStyle w:val="FirstParagraph"/>
      </w:pPr>
      <w:r>
        <w:t xml:space="preserve">Our approach relies on publicly traded proxies — BDC price/NAV discounts, leveraged loan ETFs, and PE firm stock prices — because direct private credit data is unavailable at useful frequencies. However, these proxies are equity and credit market instruments that participate in broad risk-off dynamics. During a market-wide selldown, BDC discounts widen, BKLN declines, and KKR/BX/APO stock prices fall — not necessarily because private credit fundamentals have deteriorated, but because the same risk-aversion and liquidity withdrawal that drives other pillars (volatility, liquidity, contagion) simultaneously reprices these instruments.</w:t>
      </w:r>
    </w:p>
    <w:p>
      <w:pPr>
        <w:pStyle w:val="BodyText"/>
      </w:pPr>
      <w:r>
        <w:t xml:space="preserve">This creates a measurement problem. If the private credit pillar moves in lockstep with Pillars 1, 4, and 6 during stress episodes, it is not contributing independent information — it is double-counting equity-market and credit-market stress that those pillars already capture. The pillar’s value proposition is detecting stress</w:t>
      </w:r>
      <w:r>
        <w:t xml:space="preserve"> </w:t>
      </w:r>
      <w:r>
        <w:rPr>
          <w:iCs/>
          <w:i/>
        </w:rPr>
        <w:t xml:space="preserve">specific to private credit</w:t>
      </w:r>
      <w:r>
        <w:t xml:space="preserve"> </w:t>
      </w:r>
      <w:r>
        <w:t xml:space="preserve">that other pillars miss: NAV markdowns lagging reality, deteriorating borrower quality in the middle market, covenant erosion, and PIK accumulation. The publicly traded proxies can only deliver on this value proposition if we extract the component of their movements that is orthogonal to the broad risk factors already represented in the framework.</w:t>
      </w:r>
    </w:p>
    <w:p>
      <w:pPr>
        <w:pStyle w:val="BodyText"/>
      </w:pPr>
      <w:r>
        <w:t xml:space="preserve">The SLOOS data (§4.7.3) does not suffer from this problem — it is a quarterly survey of bank lending officers that captures supply-side credit conditions independently of market prices. But its quarterly frequency means the pillar cannot rely on SLOOS alone for timely signals. The decorrelation step described below allows the daily-frequency market proxies to contribute genuine private-credit-specific information rather than redundant risk-off noise.</w:t>
      </w:r>
    </w:p>
    <w:bookmarkEnd w:id="52"/>
    <w:bookmarkStart w:id="53" w:name="decorrelation-methodology"/>
    <w:p>
      <w:pPr>
        <w:pStyle w:val="Heading4"/>
      </w:pPr>
      <w:r>
        <w:t xml:space="preserve">4.7.2 Decorrelation Methodology</w:t>
      </w:r>
    </w:p>
    <w:p>
      <w:pPr>
        <w:pStyle w:val="FirstParagraph"/>
      </w:pPr>
      <w:r>
        <w:rPr>
          <w:bCs/>
          <w:b/>
        </w:rPr>
        <w:t xml:space="preserve">Objective.</w:t>
      </w:r>
      <w:r>
        <w:t xml:space="preserve"> </w:t>
      </w:r>
      <w:r>
        <w:t xml:space="preserve">For each market-based private credit proxy, decompose its movements into (a) a component explained by broad risk factors already captured by other MAC pillars, and (b) a residual component that represents private-credit-specific information. Use only the residual for scoring.</w:t>
      </w:r>
    </w:p>
    <w:p>
      <w:pPr>
        <w:pStyle w:val="BodyText"/>
      </w:pPr>
      <w:r>
        <w:rPr>
          <w:bCs/>
          <w:b/>
        </w:rPr>
        <w:t xml:space="preserve">Step 1 — Define the common risk factor set.</w:t>
      </w:r>
    </w:p>
    <w:p>
      <w:pPr>
        <w:pStyle w:val="BodyText"/>
      </w:pPr>
      <w:r>
        <w:t xml:space="preserve">Three observable series serve as proxies for the broad risk factors that contaminate the private credit signal:</w:t>
      </w:r>
    </w:p>
    <w:tbl>
      <w:tblPr>
        <w:tblStyle w:val="Table"/>
        <w:tblW w:type="pct" w:w="5000"/>
        <w:tblLook w:firstRow="1" w:lastRow="0" w:firstColumn="0" w:lastColumn="0" w:noHBand="0" w:noVBand="0" w:val="0020"/>
        <w:jc w:val="start"/>
      </w:tblPr>
      <w:tblGrid>
        <w:gridCol w:w="1348"/>
        <w:gridCol w:w="1348"/>
        <w:gridCol w:w="5223"/>
      </w:tblGrid>
      <w:tr>
        <w:trPr>
          <w:tblHeader w:val="true"/>
        </w:trPr>
        <w:tc>
          <w:tcPr/>
          <w:p>
            <w:pPr>
              <w:pStyle w:val="Compact"/>
              <w:jc w:val="left"/>
            </w:pPr>
            <w:r>
              <w:t xml:space="preserve">Factor</w:t>
            </w:r>
          </w:p>
        </w:tc>
        <w:tc>
          <w:tcPr/>
          <w:p>
            <w:pPr>
              <w:pStyle w:val="Compact"/>
              <w:jc w:val="left"/>
            </w:pPr>
            <w:r>
              <w:t xml:space="preserve">Series</w:t>
            </w:r>
          </w:p>
        </w:tc>
        <w:tc>
          <w:tcPr/>
          <w:p>
            <w:pPr>
              <w:pStyle w:val="Compact"/>
              <w:jc w:val="left"/>
            </w:pPr>
            <w:r>
              <w:t xml:space="preserve">Pillar(s) Already Capturing It</w:t>
            </w:r>
          </w:p>
        </w:tc>
      </w:tr>
      <w:tr>
        <w:tc>
          <w:tcPr/>
          <w:p>
            <w:pPr>
              <w:pStyle w:val="Compact"/>
              <w:jc w:val="left"/>
            </w:pPr>
            <w:r>
              <w:t xml:space="preserve">Equity risk sentiment</w:t>
            </w:r>
          </w:p>
        </w:tc>
        <w:tc>
          <w:tcPr/>
          <w:p>
            <w:pPr>
              <w:pStyle w:val="Compact"/>
              <w:jc w:val="left"/>
            </w:pPr>
            <w:r>
              <w:t xml:space="preserve">S&amp;P 500 total return (SPX)</w:t>
            </w:r>
          </w:p>
        </w:tc>
        <w:tc>
          <w:tcPr/>
          <w:p>
            <w:pPr>
              <w:pStyle w:val="Compact"/>
              <w:jc w:val="left"/>
            </w:pPr>
            <w:r>
              <w:t xml:space="preserve">Volatility (VIX is derived from SPX options)</w:t>
            </w:r>
          </w:p>
        </w:tc>
      </w:tr>
      <w:tr>
        <w:tc>
          <w:tcPr/>
          <w:p>
            <w:pPr>
              <w:pStyle w:val="Compact"/>
              <w:jc w:val="left"/>
            </w:pPr>
            <w:r>
              <w:t xml:space="preserve">Implied volatility regime</w:t>
            </w:r>
          </w:p>
        </w:tc>
        <w:tc>
          <w:tcPr/>
          <w:p>
            <w:pPr>
              <w:pStyle w:val="Compact"/>
              <w:jc w:val="left"/>
            </w:pPr>
            <w:r>
              <w:t xml:space="preserve">VIX level (VIXCLS)</w:t>
            </w:r>
          </w:p>
        </w:tc>
        <w:tc>
          <w:tcPr/>
          <w:p>
            <w:pPr>
              <w:pStyle w:val="Compact"/>
              <w:jc w:val="left"/>
            </w:pPr>
            <w:r>
              <w:t xml:space="preserve">Volatility (directly)</w:t>
            </w:r>
          </w:p>
        </w:tc>
      </w:tr>
      <w:tr>
        <w:tc>
          <w:tcPr/>
          <w:p>
            <w:pPr>
              <w:pStyle w:val="Compact"/>
              <w:jc w:val="left"/>
            </w:pPr>
            <w:r>
              <w:t xml:space="preserve">Public credit risk appetite</w:t>
            </w:r>
          </w:p>
        </w:tc>
        <w:tc>
          <w:tcPr/>
          <w:p>
            <w:pPr>
              <w:pStyle w:val="Compact"/>
              <w:jc w:val="left"/>
            </w:pPr>
            <w:r>
              <w:t xml:space="preserve">HY OAS (BAMLH0A0HYM2)</w:t>
            </w:r>
          </w:p>
        </w:tc>
        <w:tc>
          <w:tcPr/>
          <w:p>
            <w:pPr>
              <w:pStyle w:val="Compact"/>
              <w:jc w:val="left"/>
            </w:pPr>
            <w:r>
              <w:t xml:space="preserve">Valuation (directly)</w:t>
            </w:r>
          </w:p>
        </w:tc>
      </w:tr>
    </w:tbl>
    <w:p>
      <w:pPr>
        <w:pStyle w:val="BodyText"/>
      </w:pPr>
      <w:r>
        <w:t xml:space="preserve">These three factors collectively represent the dominant common drivers of risk asset prices. They span the equity risk premium (SPX), the uncertainty premium (VIX), and the credit risk premium (HY OAS) — the three channels through which broad risk-off dynamics contaminate private credit proxies.</w:t>
      </w:r>
    </w:p>
    <w:p>
      <w:pPr>
        <w:pStyle w:val="BodyText"/>
      </w:pPr>
      <w:r>
        <w:rPr>
          <w:bCs/>
          <w:b/>
        </w:rPr>
        <w:t xml:space="preserve">Omitted factors and rationale.</w:t>
      </w:r>
      <w:r>
        <w:t xml:space="preserve"> </w:t>
      </w:r>
      <w:r>
        <w:t xml:space="preserve">We deliberately exclude liquidity indicators (SOFR–IORB, CP–Treasury) and contagion indicators (cross-currency basis) from the regression. While these could improve the regression R², including them would strip out funding stress signals that</w:t>
      </w:r>
      <w:r>
        <w:t xml:space="preserve"> </w:t>
      </w:r>
      <w:r>
        <w:rPr>
          <w:iCs/>
          <w:i/>
        </w:rPr>
        <w:t xml:space="preserve">should</w:t>
      </w:r>
      <w:r>
        <w:t xml:space="preserve"> </w:t>
      </w:r>
      <w:r>
        <w:t xml:space="preserve">be captured by the private credit pillar — specifically, the channel through which tightening repo and bank funding conditions transmit to middle-market borrowers via their BDC and leveraged loan lenders. The goal is to remove</w:t>
      </w:r>
      <w:r>
        <w:t xml:space="preserve"> </w:t>
      </w:r>
      <w:r>
        <w:rPr>
          <w:iCs/>
          <w:i/>
        </w:rPr>
        <w:t xml:space="preserve">equity/credit market sentiment contamination</w:t>
      </w:r>
      <w:r>
        <w:t xml:space="preserve">, not all cross-pillar correlation.</w:t>
      </w:r>
    </w:p>
    <w:p>
      <w:pPr>
        <w:pStyle w:val="BodyText"/>
      </w:pPr>
      <w:r>
        <w:rPr>
          <w:bCs/>
          <w:b/>
        </w:rPr>
        <w:t xml:space="preserve">Step 2 — Rolling regression specification.</w:t>
      </w:r>
    </w:p>
    <w:p>
      <w:pPr>
        <w:pStyle w:val="BodyText"/>
      </w:pPr>
      <w:r>
        <w:t xml:space="preserve">For each market-based proxy</w:t>
      </w:r>
      <w:r>
        <w:t xml:space="preserve"> </w:t>
      </w:r>
      <m:oMath>
        <m:sSub>
          <m:e>
            <m:r>
              <m:t>y</m:t>
            </m:r>
          </m:e>
          <m:sub>
            <m:r>
              <m:t>t</m:t>
            </m:r>
          </m:sub>
        </m:sSub>
      </m:oMath>
      <w:r>
        <w:t xml:space="preserve"> </w:t>
      </w:r>
      <w:r>
        <w:t xml:space="preserve">(BDC discount, BKLN return, PE firm stock performance), estimate a rolling OLS regression over a trailing 252-trading-day (1-year) window:</w:t>
      </w:r>
    </w:p>
    <w:p>
      <w:pPr>
        <w:pStyle w:val="BodyText"/>
      </w:pPr>
      <m:oMathPara>
        <m:oMathParaPr>
          <m:jc m:val="center"/>
        </m:oMathParaPr>
        <m:oMath>
          <m:sSub>
            <m:e>
              <m:r>
                <m:t>y</m:t>
              </m:r>
            </m:e>
            <m:sub>
              <m:r>
                <m:t>t</m:t>
              </m:r>
            </m:sub>
          </m:sSub>
          <m:r>
            <m:rPr>
              <m:sty m:val="p"/>
            </m:rPr>
            <m:t>=</m:t>
          </m:r>
          <m:sSub>
            <m:e>
              <m:r>
                <m:t>β</m:t>
              </m:r>
            </m:e>
            <m:sub>
              <m:r>
                <m:t>0</m:t>
              </m:r>
            </m:sub>
          </m:sSub>
          <m:r>
            <m:rPr>
              <m:sty m:val="p"/>
            </m:rPr>
            <m:t>+</m:t>
          </m:r>
          <m:sSub>
            <m:e>
              <m:r>
                <m:t>β</m:t>
              </m:r>
            </m:e>
            <m:sub>
              <m:r>
                <m:t>1</m:t>
              </m:r>
            </m:sub>
          </m:sSub>
          <m:r>
            <m:rPr>
              <m:sty m:val="p"/>
            </m:rPr>
            <m:t>⋅</m:t>
          </m:r>
          <m:r>
            <m:t>Δ</m:t>
          </m:r>
          <m:sSub>
            <m:e>
              <m:r>
                <m:rPr>
                  <m:nor/>
                  <m:sty m:val="p"/>
                </m:rPr>
                <m:t>SPX</m:t>
              </m:r>
            </m:e>
            <m:sub>
              <m:r>
                <m:t>t</m:t>
              </m:r>
            </m:sub>
          </m:sSub>
          <m:r>
            <m:rPr>
              <m:sty m:val="p"/>
            </m:rPr>
            <m:t>+</m:t>
          </m:r>
          <m:sSub>
            <m:e>
              <m:r>
                <m:t>β</m:t>
              </m:r>
            </m:e>
            <m:sub>
              <m:r>
                <m:t>2</m:t>
              </m:r>
            </m:sub>
          </m:sSub>
          <m:r>
            <m:rPr>
              <m:sty m:val="p"/>
            </m:rPr>
            <m:t>⋅</m:t>
          </m:r>
          <m:r>
            <m:t>Δ</m:t>
          </m:r>
          <m:sSub>
            <m:e>
              <m:r>
                <m:rPr>
                  <m:nor/>
                  <m:sty m:val="p"/>
                </m:rPr>
                <m:t>VIX</m:t>
              </m:r>
            </m:e>
            <m:sub>
              <m:r>
                <m:t>t</m:t>
              </m:r>
            </m:sub>
          </m:sSub>
          <m:r>
            <m:rPr>
              <m:sty m:val="p"/>
            </m:rPr>
            <m:t>+</m:t>
          </m:r>
          <m:sSub>
            <m:e>
              <m:r>
                <m:t>β</m:t>
              </m:r>
            </m:e>
            <m:sub>
              <m:r>
                <m:t>3</m:t>
              </m:r>
            </m:sub>
          </m:sSub>
          <m:r>
            <m:rPr>
              <m:sty m:val="p"/>
            </m:rPr>
            <m:t>⋅</m:t>
          </m:r>
          <m:r>
            <m:t>Δ</m:t>
          </m:r>
          <m:sSub>
            <m:e>
              <m:r>
                <m:rPr>
                  <m:nor/>
                  <m:sty m:val="p"/>
                </m:rPr>
                <m:t>HY OAS</m:t>
              </m:r>
            </m:e>
            <m:sub>
              <m:r>
                <m:t>t</m:t>
              </m:r>
            </m:sub>
          </m:sSub>
          <m:r>
            <m:rPr>
              <m:sty m:val="p"/>
            </m:rPr>
            <m:t>+</m:t>
          </m:r>
          <m:sSub>
            <m:e>
              <m:r>
                <m:t>ε</m:t>
              </m:r>
            </m:e>
            <m:sub>
              <m:r>
                <m:t>t</m:t>
              </m:r>
            </m:sub>
          </m:sSub>
        </m:oMath>
      </m:oMathPara>
    </w:p>
    <w:p>
      <w:pPr>
        <w:pStyle w:val="FirstParagraph"/>
      </w:pPr>
      <w:r>
        <w:t xml:space="preserve">where:</w:t>
      </w:r>
      <w:r>
        <w:t xml:space="preserve"> </w:t>
      </w:r>
      <w:r>
        <w:t xml:space="preserve">-</w:t>
      </w:r>
      <w:r>
        <w:t xml:space="preserve"> </w:t>
      </w:r>
      <m:oMath>
        <m:r>
          <m:t>Δ</m:t>
        </m:r>
        <m:sSub>
          <m:e>
            <m:r>
              <m:rPr>
                <m:nor/>
                <m:sty m:val="p"/>
              </m:rPr>
              <m:t>SPX</m:t>
            </m:r>
          </m:e>
          <m:sub>
            <m:r>
              <m:t>t</m:t>
            </m:r>
          </m:sub>
        </m:sSub>
      </m:oMath>
      <w:r>
        <w:t xml:space="preserve"> </w:t>
      </w:r>
      <w:r>
        <w:t xml:space="preserve">= S&amp;P 500 weekly percentage return</w:t>
      </w:r>
      <w:r>
        <w:t xml:space="preserve"> </w:t>
      </w:r>
      <w:r>
        <w:t xml:space="preserve">-</w:t>
      </w:r>
      <w:r>
        <w:t xml:space="preserve"> </w:t>
      </w:r>
      <m:oMath>
        <m:r>
          <m:t>Δ</m:t>
        </m:r>
        <m:sSub>
          <m:e>
            <m:r>
              <m:rPr>
                <m:nor/>
                <m:sty m:val="p"/>
              </m:rPr>
              <m:t>VIX</m:t>
            </m:r>
          </m:e>
          <m:sub>
            <m:r>
              <m:t>t</m:t>
            </m:r>
          </m:sub>
        </m:sSub>
      </m:oMath>
      <w:r>
        <w:t xml:space="preserve"> </w:t>
      </w:r>
      <w:r>
        <w:t xml:space="preserve">= weekly change in VIX level (points)</w:t>
      </w:r>
      <w:r>
        <w:t xml:space="preserve"> </w:t>
      </w:r>
      <w:r>
        <w:t xml:space="preserve">-</w:t>
      </w:r>
      <w:r>
        <w:t xml:space="preserve"> </w:t>
      </w:r>
      <m:oMath>
        <m:r>
          <m:t>Δ</m:t>
        </m:r>
        <m:sSub>
          <m:e>
            <m:r>
              <m:rPr>
                <m:nor/>
                <m:sty m:val="p"/>
              </m:rPr>
              <m:t>HY OAS</m:t>
            </m:r>
          </m:e>
          <m:sub>
            <m:r>
              <m:t>t</m:t>
            </m:r>
          </m:sub>
        </m:sSub>
      </m:oMath>
      <w:r>
        <w:t xml:space="preserve"> </w:t>
      </w:r>
      <w:r>
        <w:t xml:space="preserve">= weekly change in HY OAS (bps)</w:t>
      </w:r>
      <w:r>
        <w:t xml:space="preserve"> </w:t>
      </w:r>
      <w:r>
        <w:t xml:space="preserve">-</w:t>
      </w:r>
      <w:r>
        <w:t xml:space="preserve"> </w:t>
      </w:r>
      <m:oMath>
        <m:sSub>
          <m:e>
            <m:r>
              <m:t>ε</m:t>
            </m:r>
          </m:e>
          <m:sub>
            <m:r>
              <m:t>t</m:t>
            </m:r>
          </m:sub>
        </m:sSub>
      </m:oMath>
      <w:r>
        <w:t xml:space="preserve"> </w:t>
      </w:r>
      <w:r>
        <w:t xml:space="preserve">= residual — the</w:t>
      </w:r>
      <w:r>
        <w:t xml:space="preserve"> </w:t>
      </w:r>
      <w:r>
        <w:rPr>
          <w:bCs/>
          <w:b/>
        </w:rPr>
        <w:t xml:space="preserve">orthogonal private credit signal</w:t>
      </w:r>
    </w:p>
    <w:p>
      <w:pPr>
        <w:pStyle w:val="BodyText"/>
      </w:pPr>
      <w:r>
        <w:t xml:space="preserve">All variables are computed at weekly frequency to match the MAC framework’s primary observation interval.</w:t>
      </w:r>
    </w:p>
    <w:p>
      <w:pPr>
        <w:pStyle w:val="BodyText"/>
      </w:pPr>
      <w:r>
        <w:rPr>
          <w:bCs/>
          <w:b/>
        </w:rPr>
        <w:t xml:space="preserve">Step 3 — Extract orthogonal residuals.</w:t>
      </w:r>
    </w:p>
    <w:p>
      <w:pPr>
        <w:pStyle w:val="BodyText"/>
      </w:pPr>
      <w:r>
        <w:t xml:space="preserve">The fitted residual</w:t>
      </w:r>
      <w:r>
        <w:t xml:space="preserve"> </w:t>
      </w:r>
      <m:oMath>
        <m:sSub>
          <m:e>
            <m:acc>
              <m:accPr>
                <m:chr m:val="̂"/>
              </m:accPr>
              <m:e>
                <m:r>
                  <m:t>ε</m:t>
                </m:r>
              </m:e>
            </m:acc>
          </m:e>
          <m:sub>
            <m:r>
              <m:t>t</m:t>
            </m:r>
          </m:sub>
        </m:sSub>
      </m:oMath>
      <w:r>
        <w:t xml:space="preserve"> </w:t>
      </w:r>
      <w:r>
        <w:t xml:space="preserve">is the private-credit-specific movement that cannot be explained by contemporaneous changes in broad equity, volatility, and credit conditions. This residual is what the private credit pillar scores.</w:t>
      </w:r>
    </w:p>
    <w:p>
      <w:pPr>
        <w:pStyle w:val="BodyText"/>
      </w:pPr>
      <w:r>
        <w:rPr>
          <w:bCs/>
          <w:b/>
        </w:rPr>
        <w:t xml:space="preserve">Concrete example.</w:t>
      </w:r>
      <w:r>
        <w:t xml:space="preserve"> </w:t>
      </w:r>
      <w:r>
        <w:t xml:space="preserve">In March 2020, BDC price/NAV discounts widened from approximately −3% to −22%. Of this 19-percentage-point move, the regression attributes approximately 14 percentage points to the simultaneous SPX drawdown (−34%), VIX spike (to 82), and HY OAS blowout (to ~1,100 bps). The remaining ~5 percentage points represent the orthogonal residual — the component attributable to private-credit-specific stress (lender uncertainty about portfolio company viability, margin calls on NAV facilities, liquidity risk in illiquid portfolios). It is this 5-point residual, not the full 19-point move, that should inform the private credit pillar score.</w:t>
      </w:r>
    </w:p>
    <w:p>
      <w:pPr>
        <w:pStyle w:val="BodyText"/>
      </w:pPr>
      <w:r>
        <w:t xml:space="preserve">Without decorrelation, the March 2020 private credit pillar would have scored near-breach (≈ 0.12) based on the raw BDC discount. With decorrelation, the pillar scores approximately 0.30 — still stressed, but reflecting private-credit-specific stress rather than the broad market panic that Pillars 1, 4, and 6 already captured. The composite MAC score in March 2020 is essentially unchanged (the stress was real and severe), but the</w:t>
      </w:r>
      <w:r>
        <w:t xml:space="preserve"> </w:t>
      </w:r>
      <w:r>
        <w:rPr>
          <w:iCs/>
          <w:i/>
        </w:rPr>
        <w:t xml:space="preserve">source attribution</w:t>
      </w:r>
      <w:r>
        <w:t xml:space="preserve"> </w:t>
      </w:r>
      <w:r>
        <w:t xml:space="preserve">is more accurate: the framework correctly identifies that the dominant stress channels were liquidity (Pillar 1), volatility (Pillar 4), and contagion (Pillar 6), with a meaningful but secondary contribution from private credit fundamentals.</w:t>
      </w:r>
    </w:p>
    <w:p>
      <w:pPr>
        <w:pStyle w:val="BodyText"/>
      </w:pPr>
      <w:r>
        <w:rPr>
          <w:bCs/>
          <w:b/>
        </w:rPr>
        <w:t xml:space="preserve">Step 4 — Transform residuals to a cumulative signal.</w:t>
      </w:r>
    </w:p>
    <w:p>
      <w:pPr>
        <w:pStyle w:val="BodyText"/>
      </w:pPr>
      <w:r>
        <w:t xml:space="preserve">Raw weekly residuals are noisy. To produce a stable private credit signal, we compute a 12-week exponentially weighted moving average of the standardised residual:</w:t>
      </w:r>
    </w:p>
    <w:p>
      <w:pPr>
        <w:pStyle w:val="BodyText"/>
      </w:pPr>
      <m:oMathPara>
        <m:oMathParaPr>
          <m:jc m:val="center"/>
        </m:oMathParaPr>
        <m:oMath>
          <m:sSub>
            <m:e>
              <m:r>
                <m:t>z</m:t>
              </m:r>
            </m:e>
            <m:sub>
              <m:r>
                <m:t>t</m:t>
              </m:r>
            </m:sub>
          </m:sSub>
          <m:r>
            <m:rPr>
              <m:sty m:val="p"/>
            </m:rPr>
            <m:t>=</m:t>
          </m:r>
          <m:f>
            <m:fPr>
              <m:type m:val="bar"/>
            </m:fPr>
            <m:num>
              <m:sSub>
                <m:e>
                  <m:acc>
                    <m:accPr>
                      <m:chr m:val="̂"/>
                    </m:accPr>
                    <m:e>
                      <m:r>
                        <m:t>ε</m:t>
                      </m:r>
                    </m:e>
                  </m:acc>
                </m:e>
                <m:sub>
                  <m:r>
                    <m:t>t</m:t>
                  </m:r>
                </m:sub>
              </m:sSub>
            </m:num>
            <m:den>
              <m:sSub>
                <m:e>
                  <m:acc>
                    <m:accPr>
                      <m:chr m:val="̂"/>
                    </m:accPr>
                    <m:e>
                      <m:r>
                        <m:t>σ</m:t>
                      </m:r>
                    </m:e>
                  </m:acc>
                </m:e>
                <m:sub>
                  <m:r>
                    <m:t>ε</m:t>
                  </m:r>
                </m:sub>
              </m:sSub>
            </m:den>
          </m:f>
        </m:oMath>
      </m:oMathPara>
    </w:p>
    <w:p>
      <w:pPr>
        <w:pStyle w:val="FirstParagraph"/>
      </w:pPr>
      <m:oMathPara>
        <m:oMathParaPr>
          <m:jc m:val="center"/>
        </m:oMathParaPr>
        <m:oMath>
          <m:sSub>
            <m:e>
              <m:r>
                <m:rPr>
                  <m:nor/>
                  <m:sty m:val="p"/>
                </m:rPr>
                <m:t>PC_Signal</m:t>
              </m:r>
            </m:e>
            <m:sub>
              <m:r>
                <m:t>t</m:t>
              </m:r>
            </m:sub>
          </m:sSub>
          <m:r>
            <m:rPr>
              <m:sty m:val="p"/>
            </m:rPr>
            <m:t>=</m:t>
          </m:r>
          <m:r>
            <m:t>λ</m:t>
          </m:r>
          <m:r>
            <m:rPr>
              <m:sty m:val="p"/>
            </m:rPr>
            <m:t>⋅</m:t>
          </m:r>
          <m:sSub>
            <m:e>
              <m:r>
                <m:t>z</m:t>
              </m:r>
            </m:e>
            <m:sub>
              <m:r>
                <m:t>t</m:t>
              </m:r>
            </m:sub>
          </m:sSub>
          <m:r>
            <m:rPr>
              <m:sty m:val="p"/>
            </m:rPr>
            <m:t>+</m:t>
          </m:r>
          <m:d>
            <m:dPr>
              <m:begChr m:val="("/>
              <m:endChr m:val=")"/>
              <m:sepChr m:val=""/>
              <m:grow/>
            </m:dPr>
            <m:e>
              <m:r>
                <m:t>1</m:t>
              </m:r>
              <m:r>
                <m:rPr>
                  <m:sty m:val="p"/>
                </m:rPr>
                <m:t>−</m:t>
              </m:r>
              <m:r>
                <m:t>λ</m:t>
              </m:r>
            </m:e>
          </m:d>
          <m:r>
            <m:rPr>
              <m:sty m:val="p"/>
            </m:rPr>
            <m:t>⋅</m:t>
          </m:r>
          <m:sSub>
            <m:e>
              <m:r>
                <m:rPr>
                  <m:nor/>
                  <m:sty m:val="p"/>
                </m:rPr>
                <m:t>PC_Signal</m:t>
              </m:r>
            </m:e>
            <m:sub>
              <m:r>
                <m:t>t</m:t>
              </m:r>
              <m:r>
                <m:rPr>
                  <m:sty m:val="p"/>
                </m:rPr>
                <m:t>−</m:t>
              </m:r>
              <m:r>
                <m:t>1</m:t>
              </m:r>
            </m:sub>
          </m:sSub>
        </m:oMath>
      </m:oMathPara>
    </w:p>
    <w:p>
      <w:pPr>
        <w:pStyle w:val="FirstParagraph"/>
      </w:pPr>
      <w:r>
        <w:t xml:space="preserve">with</w:t>
      </w:r>
      <w:r>
        <w:t xml:space="preserve"> </w:t>
      </w:r>
      <m:oMath>
        <m:r>
          <m:t>λ</m:t>
        </m:r>
        <m:r>
          <m:rPr>
            <m:sty m:val="p"/>
          </m:rPr>
          <m:t>=</m:t>
        </m:r>
        <m:r>
          <m:t>2</m:t>
        </m:r>
        <m:r>
          <m:rPr>
            <m:sty m:val="p"/>
          </m:rPr>
          <m:t>/</m:t>
        </m:r>
        <m:d>
          <m:dPr>
            <m:begChr m:val="("/>
            <m:endChr m:val=")"/>
            <m:sepChr m:val=""/>
            <m:grow/>
          </m:dPr>
          <m:e>
            <m:r>
              <m:t>12</m:t>
            </m:r>
            <m:r>
              <m:rPr>
                <m:sty m:val="p"/>
              </m:rPr>
              <m:t>+</m:t>
            </m:r>
            <m:r>
              <m:t>1</m:t>
            </m:r>
          </m:e>
        </m:d>
        <m:r>
          <m:rPr>
            <m:sty m:val="p"/>
          </m:rPr>
          <m:t>≈</m:t>
        </m:r>
        <m:r>
          <m:t>0.154</m:t>
        </m:r>
      </m:oMath>
      <w:r>
        <w:t xml:space="preserve"> </w:t>
      </w:r>
      <w:r>
        <w:t xml:space="preserve">(12-week half-life). The standardisation ensures comparability across the different proxy series (BDC discounts, BKLN returns, PE firm returns have different volatility scales).</w:t>
      </w:r>
    </w:p>
    <w:p>
      <w:pPr>
        <w:pStyle w:val="BodyText"/>
      </w:pPr>
      <w:r>
        <w:rPr>
          <w:bCs/>
          <w:b/>
        </w:rPr>
        <w:t xml:space="preserve">Step 5 — Combine with non-market signals.</w:t>
      </w:r>
    </w:p>
    <w:p>
      <w:pPr>
        <w:pStyle w:val="BodyText"/>
      </w:pPr>
      <w:r>
        <w:t xml:space="preserve">The final private credit pillar score combines the decorrelated market signal with the inherently orthogonal SLOOS data:</w:t>
      </w:r>
    </w:p>
    <w:p>
      <w:pPr>
        <w:pStyle w:val="BodyText"/>
      </w:pPr>
      <m:oMathPara>
        <m:oMathParaPr>
          <m:jc m:val="center"/>
        </m:oMathParaPr>
        <m:oMath>
          <m:sSub>
            <m:e>
              <m:r>
                <m:rPr>
                  <m:nor/>
                  <m:sty m:val="p"/>
                </m:rPr>
                <m:t>Pillar</m:t>
              </m:r>
            </m:e>
            <m:sub>
              <m:r>
                <m:t>7</m:t>
              </m:r>
            </m:sub>
          </m:sSub>
          <m:r>
            <m:rPr>
              <m:sty m:val="p"/>
            </m:rPr>
            <m:t>=</m:t>
          </m:r>
          <m:sSub>
            <m:e>
              <m:r>
                <m:t>w</m:t>
              </m:r>
            </m:e>
            <m:sub>
              <m:r>
                <m:rPr>
                  <m:nor/>
                  <m:sty m:val="p"/>
                </m:rPr>
                <m:t>market</m:t>
              </m:r>
            </m:sub>
          </m:sSub>
          <m:r>
            <m:rPr>
              <m:sty m:val="p"/>
            </m:rPr>
            <m:t>⋅</m:t>
          </m:r>
          <m:r>
            <m:t>s</m:t>
          </m:r>
          <m:d>
            <m:dPr>
              <m:begChr m:val="("/>
              <m:endChr m:val=")"/>
              <m:sepChr m:val=""/>
              <m:grow/>
            </m:dPr>
            <m:e>
              <m:sSub>
                <m:e>
                  <m:r>
                    <m:rPr>
                      <m:nor/>
                      <m:sty m:val="p"/>
                    </m:rPr>
                    <m:t>PC_Signal</m:t>
                  </m:r>
                </m:e>
                <m:sub>
                  <m:r>
                    <m:t>t</m:t>
                  </m:r>
                </m:sub>
              </m:sSub>
            </m:e>
          </m:d>
          <m:r>
            <m:rPr>
              <m:sty m:val="p"/>
            </m:rPr>
            <m:t>+</m:t>
          </m:r>
          <m:sSub>
            <m:e>
              <m:r>
                <m:t>w</m:t>
              </m:r>
            </m:e>
            <m:sub>
              <m:r>
                <m:rPr>
                  <m:nor/>
                  <m:sty m:val="p"/>
                </m:rPr>
                <m:t>SLOOS</m:t>
              </m:r>
            </m:sub>
          </m:sSub>
          <m:r>
            <m:rPr>
              <m:sty m:val="p"/>
            </m:rPr>
            <m:t>⋅</m:t>
          </m:r>
          <m:r>
            <m:t>s</m:t>
          </m:r>
          <m:d>
            <m:dPr>
              <m:begChr m:val="("/>
              <m:endChr m:val=")"/>
              <m:sepChr m:val=""/>
              <m:grow/>
            </m:dPr>
            <m:e>
              <m:sSub>
                <m:e>
                  <m:r>
                    <m:rPr>
                      <m:nor/>
                      <m:sty m:val="p"/>
                    </m:rPr>
                    <m:t>SLOOS</m:t>
                  </m:r>
                </m:e>
                <m:sub>
                  <m:r>
                    <m:t>t</m:t>
                  </m:r>
                </m:sub>
              </m:sSub>
            </m:e>
          </m:d>
        </m:oMath>
      </m:oMathPara>
    </w:p>
    <w:p>
      <w:pPr>
        <w:pStyle w:val="FirstParagraph"/>
      </w:pPr>
      <w:r>
        <w:t xml:space="preserve">where</w:t>
      </w:r>
      <w:r>
        <w:t xml:space="preserve"> </w:t>
      </w:r>
      <m:oMath>
        <m:r>
          <m:t>s</m:t>
        </m:r>
        <m:d>
          <m:dPr>
            <m:begChr m:val="("/>
            <m:endChr m:val=")"/>
            <m:sepChr m:val=""/>
            <m:grow/>
          </m:dPr>
          <m:e>
            <m:r>
              <m:rPr>
                <m:sty m:val="p"/>
              </m:rPr>
              <m:t>⋅</m:t>
            </m:r>
          </m:e>
        </m:d>
      </m:oMath>
      <w:r>
        <w:t xml:space="preserve"> </w:t>
      </w:r>
      <w:r>
        <w:t xml:space="preserve">is the standard 0–1 scoring function and:</w:t>
      </w:r>
    </w:p>
    <w:tbl>
      <w:tblPr>
        <w:tblStyle w:val="Table"/>
        <w:tblW w:type="pct" w:w="5000"/>
        <w:tblLook w:firstRow="1" w:lastRow="0" w:firstColumn="0" w:lastColumn="0" w:noHBand="0" w:noVBand="0" w:val="0020"/>
        <w:jc w:val="start"/>
      </w:tblPr>
      <w:tblGrid>
        <w:gridCol w:w="2904"/>
        <w:gridCol w:w="2112"/>
        <w:gridCol w:w="2904"/>
      </w:tblGrid>
      <w:tr>
        <w:trPr>
          <w:tblHeader w:val="true"/>
        </w:trPr>
        <w:tc>
          <w:tcPr/>
          <w:p>
            <w:pPr>
              <w:pStyle w:val="Compact"/>
              <w:jc w:val="left"/>
            </w:pPr>
            <w:r>
              <w:t xml:space="preserve">Component</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Decorrelated market signal</w:t>
            </w:r>
          </w:p>
        </w:tc>
        <w:tc>
          <w:tcPr/>
          <w:p>
            <w:pPr>
              <w:pStyle w:val="Compact"/>
              <w:jc w:val="left"/>
            </w:pPr>
            <w:r>
              <w:t xml:space="preserve">0.60</w:t>
            </w:r>
          </w:p>
        </w:tc>
        <w:tc>
          <w:tcPr/>
          <w:p>
            <w:pPr>
              <w:pStyle w:val="Compact"/>
              <w:jc w:val="left"/>
            </w:pPr>
            <w:r>
              <w:t xml:space="preserve">Daily frequency; captures real-time private credit dynamics</w:t>
            </w:r>
          </w:p>
        </w:tc>
      </w:tr>
      <w:tr>
        <w:tc>
          <w:tcPr/>
          <w:p>
            <w:pPr>
              <w:pStyle w:val="Compact"/>
              <w:jc w:val="left"/>
            </w:pPr>
            <w:r>
              <w:t xml:space="preserve">SLOOS survey data</w:t>
            </w:r>
          </w:p>
        </w:tc>
        <w:tc>
          <w:tcPr/>
          <w:p>
            <w:pPr>
              <w:pStyle w:val="Compact"/>
              <w:jc w:val="left"/>
            </w:pPr>
            <w:r>
              <w:t xml:space="preserve">0.40</w:t>
            </w:r>
          </w:p>
        </w:tc>
        <w:tc>
          <w:tcPr/>
          <w:p>
            <w:pPr>
              <w:pStyle w:val="Compact"/>
              <w:jc w:val="left"/>
            </w:pPr>
            <w:r>
              <w:t xml:space="preserve">Inherently orthogonal; directly measures supply-side conditions</w:t>
            </w:r>
          </w:p>
        </w:tc>
      </w:tr>
    </w:tbl>
    <w:p>
      <w:pPr>
        <w:pStyle w:val="BodyText"/>
      </w:pPr>
      <w:r>
        <w:t xml:space="preserve">During quarters where new SLOOS data is released, the SLOOS score updates discretely. Between releases, the previous quarter’s SLOOS score is carried forward while the decorrelated market signal provides continuous updating.</w:t>
      </w:r>
    </w:p>
    <w:bookmarkEnd w:id="53"/>
    <w:bookmarkStart w:id="54" w:name="Xbb89ba598a2603c8d1af5dc7276048283d35aca"/>
    <w:p>
      <w:pPr>
        <w:pStyle w:val="Heading4"/>
      </w:pPr>
      <w:r>
        <w:t xml:space="preserve">4.7.3 Proxy Indicators (Market-Based, Post-Decorrelation)</w:t>
      </w:r>
    </w:p>
    <w:tbl>
      <w:tblPr>
        <w:tblStyle w:val="Table"/>
        <w:tblW w:type="pct" w:w="5000"/>
        <w:tblLook w:firstRow="1" w:lastRow="0" w:firstColumn="0" w:lastColumn="0" w:noHBand="0" w:noVBand="0" w:val="0020"/>
        <w:jc w:val="start"/>
      </w:tblPr>
      <w:tblGrid>
        <w:gridCol w:w="1627"/>
        <w:gridCol w:w="1627"/>
        <w:gridCol w:w="2386"/>
        <w:gridCol w:w="867"/>
        <w:gridCol w:w="1410"/>
      </w:tblGrid>
      <w:tr>
        <w:trPr>
          <w:tblHeader w:val="true"/>
        </w:trPr>
        <w:tc>
          <w:tcPr/>
          <w:p>
            <w:pPr>
              <w:pStyle w:val="Compact"/>
              <w:jc w:val="left"/>
            </w:pPr>
            <w:r>
              <w:t xml:space="preserve">Sub-Component</w:t>
            </w:r>
          </w:p>
        </w:tc>
        <w:tc>
          <w:tcPr/>
          <w:p>
            <w:pPr>
              <w:pStyle w:val="Compact"/>
              <w:jc w:val="left"/>
            </w:pPr>
            <w:r>
              <w:t xml:space="preserve">Raw Indicators</w:t>
            </w:r>
          </w:p>
        </w:tc>
        <w:tc>
          <w:tcPr/>
          <w:p>
            <w:pPr>
              <w:pStyle w:val="Compact"/>
              <w:jc w:val="left"/>
            </w:pPr>
            <w:r>
              <w:t xml:space="preserve">Decorrelation Applied</w:t>
            </w:r>
          </w:p>
        </w:tc>
        <w:tc>
          <w:tcPr/>
          <w:p>
            <w:pPr>
              <w:pStyle w:val="Compact"/>
              <w:jc w:val="left"/>
            </w:pPr>
            <w:r>
              <w:t xml:space="preserve">Source</w:t>
            </w:r>
          </w:p>
        </w:tc>
        <w:tc>
          <w:tcPr/>
          <w:p>
            <w:pPr>
              <w:pStyle w:val="Compact"/>
              <w:jc w:val="left"/>
            </w:pPr>
            <w:r>
              <w:t xml:space="preserve">Key Insight</w:t>
            </w:r>
          </w:p>
        </w:tc>
      </w:tr>
      <w:tr>
        <w:tc>
          <w:tcPr/>
          <w:p>
            <w:pPr>
              <w:pStyle w:val="Compact"/>
              <w:jc w:val="left"/>
            </w:pPr>
            <w:r>
              <w:rPr>
                <w:bCs/>
                <w:b/>
              </w:rPr>
              <w:t xml:space="preserve">BDC Price/NAV Discounts</w:t>
            </w:r>
          </w:p>
        </w:tc>
        <w:tc>
          <w:tcPr/>
          <w:p>
            <w:pPr>
              <w:pStyle w:val="Compact"/>
              <w:jc w:val="left"/>
            </w:pPr>
            <w:r>
              <w:t xml:space="preserve">ARCC, MAIN, FSK, PSEC, GBDC discounts</w:t>
            </w:r>
          </w:p>
        </w:tc>
        <w:tc>
          <w:tcPr/>
          <w:p>
            <w:pPr>
              <w:pStyle w:val="Compact"/>
              <w:jc w:val="left"/>
            </w:pPr>
            <w:r>
              <w:t xml:space="preserve">Yes — residual after SPX/VIX/HY OAS regression</w:t>
            </w:r>
          </w:p>
        </w:tc>
        <w:tc>
          <w:tcPr/>
          <w:p>
            <w:pPr>
              <w:pStyle w:val="Compact"/>
              <w:jc w:val="left"/>
            </w:pPr>
            <w:r>
              <w:t xml:space="preserve">Market data</w:t>
            </w:r>
          </w:p>
        </w:tc>
        <w:tc>
          <w:tcPr/>
          <w:p>
            <w:pPr>
              <w:pStyle w:val="Compact"/>
              <w:jc w:val="left"/>
            </w:pPr>
            <w:r>
              <w:t xml:space="preserve">Orthogonal residual captures NAV markdown expectations beyond broad market moves</w:t>
            </w:r>
          </w:p>
        </w:tc>
      </w:tr>
      <w:tr>
        <w:tc>
          <w:tcPr/>
          <w:p>
            <w:pPr>
              <w:pStyle w:val="Compact"/>
              <w:jc w:val="left"/>
            </w:pPr>
            <w:r>
              <w:rPr>
                <w:bCs/>
                <w:b/>
              </w:rPr>
              <w:t xml:space="preserve">Leveraged Loan Market</w:t>
            </w:r>
          </w:p>
        </w:tc>
        <w:tc>
          <w:tcPr/>
          <w:p>
            <w:pPr>
              <w:pStyle w:val="Compact"/>
              <w:jc w:val="left"/>
            </w:pPr>
            <w:r>
              <w:t xml:space="preserve">BKLN/SRLN ETF weekly returns, CLO spreads</w:t>
            </w:r>
          </w:p>
        </w:tc>
        <w:tc>
          <w:tcPr/>
          <w:p>
            <w:pPr>
              <w:pStyle w:val="Compact"/>
              <w:jc w:val="left"/>
            </w:pPr>
            <w:r>
              <w:t xml:space="preserve">Yes — residual isolates loan-specific credit deterioration</w:t>
            </w:r>
          </w:p>
        </w:tc>
        <w:tc>
          <w:tcPr/>
          <w:p>
            <w:pPr>
              <w:pStyle w:val="Compact"/>
              <w:jc w:val="left"/>
            </w:pPr>
            <w:r>
              <w:t xml:space="preserve">Market data</w:t>
            </w:r>
          </w:p>
        </w:tc>
        <w:tc>
          <w:tcPr/>
          <w:p>
            <w:pPr>
              <w:pStyle w:val="Compact"/>
              <w:jc w:val="left"/>
            </w:pPr>
            <w:r>
              <w:t xml:space="preserve">Residual reflects middle-market credit quality shifts, not HY beta</w:t>
            </w:r>
          </w:p>
        </w:tc>
      </w:tr>
      <w:tr>
        <w:tc>
          <w:tcPr/>
          <w:p>
            <w:pPr>
              <w:pStyle w:val="Compact"/>
              <w:jc w:val="left"/>
            </w:pPr>
            <w:r>
              <w:rPr>
                <w:bCs/>
                <w:b/>
              </w:rPr>
              <w:t xml:space="preserve">PE Firm Performance</w:t>
            </w:r>
          </w:p>
        </w:tc>
        <w:tc>
          <w:tcPr/>
          <w:p>
            <w:pPr>
              <w:pStyle w:val="Compact"/>
              <w:jc w:val="left"/>
            </w:pPr>
            <w:r>
              <w:t xml:space="preserve">KKR, BX, APO, CG stock 30-day returns</w:t>
            </w:r>
          </w:p>
        </w:tc>
        <w:tc>
          <w:tcPr/>
          <w:p>
            <w:pPr>
              <w:pStyle w:val="Compact"/>
              <w:jc w:val="left"/>
            </w:pPr>
            <w:r>
              <w:t xml:space="preserve">Yes — residual captures portfolio health beyond equity market</w:t>
            </w:r>
          </w:p>
        </w:tc>
        <w:tc>
          <w:tcPr/>
          <w:p>
            <w:pPr>
              <w:pStyle w:val="Compact"/>
              <w:jc w:val="left"/>
            </w:pPr>
            <w:r>
              <w:t xml:space="preserve">Market data</w:t>
            </w:r>
          </w:p>
        </w:tc>
        <w:tc>
          <w:tcPr/>
          <w:p>
            <w:pPr>
              <w:pStyle w:val="Compact"/>
              <w:jc w:val="left"/>
            </w:pPr>
            <w:r>
              <w:t xml:space="preserve">Decorrelated PE returns reflect information about portfolio company fundamentals</w:t>
            </w:r>
          </w:p>
        </w:tc>
      </w:tr>
    </w:tbl>
    <w:bookmarkEnd w:id="54"/>
    <w:bookmarkStart w:id="55" w:name="Xe4203584be9bb629e835c120f92c56001fa421c"/>
    <w:p>
      <w:pPr>
        <w:pStyle w:val="Heading4"/>
      </w:pPr>
      <w:r>
        <w:t xml:space="preserve">4.7.4 SLOOS Survey Data (Inherently Orthogonal — No Decorrelation Required)</w:t>
      </w:r>
    </w:p>
    <w:p>
      <w:pPr>
        <w:pStyle w:val="FirstParagraph"/>
      </w:pPr>
      <w:r>
        <w:t xml:space="preserve">The Senior Loan Officer Opinion Survey is a direct, supply-side measure of credit availability. It does not require decorrelation because it is not derived from market prices: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Normal</w:t>
            </w:r>
          </w:p>
        </w:tc>
        <w:tc>
          <w:tcPr/>
          <w:p>
            <w:pPr>
              <w:pStyle w:val="Compact"/>
              <w:jc w:val="left"/>
            </w:pPr>
            <w:r>
              <w:t xml:space="preserve">Elevated</w:t>
            </w:r>
          </w:p>
        </w:tc>
        <w:tc>
          <w:tcPr/>
          <w:p>
            <w:pPr>
              <w:pStyle w:val="Compact"/>
              <w:jc w:val="left"/>
            </w:pPr>
            <w:r>
              <w:t xml:space="preserve">Severe</w:t>
            </w:r>
          </w:p>
        </w:tc>
      </w:tr>
      <w:tr>
        <w:tc>
          <w:tcPr/>
          <w:p>
            <w:pPr>
              <w:pStyle w:val="Compact"/>
              <w:jc w:val="left"/>
            </w:pPr>
            <w:r>
              <w:t xml:space="preserve">C&amp;I tightening to small firms (net %)</w:t>
            </w:r>
          </w:p>
        </w:tc>
        <w:tc>
          <w:tcPr/>
          <w:p>
            <w:pPr>
              <w:pStyle w:val="Compact"/>
              <w:jc w:val="left"/>
            </w:pPr>
            <w:r>
              <w:t xml:space="preserve">&lt; 20%</w:t>
            </w:r>
          </w:p>
        </w:tc>
        <w:tc>
          <w:tcPr/>
          <w:p>
            <w:pPr>
              <w:pStyle w:val="Compact"/>
              <w:jc w:val="left"/>
            </w:pPr>
            <w:r>
              <w:t xml:space="preserve">20–40%</w:t>
            </w:r>
          </w:p>
        </w:tc>
        <w:tc>
          <w:tcPr/>
          <w:p>
            <w:pPr>
              <w:pStyle w:val="Compact"/>
              <w:jc w:val="left"/>
            </w:pPr>
            <w:r>
              <w:t xml:space="preserve">&gt; 60%</w:t>
            </w:r>
          </w:p>
        </w:tc>
      </w:tr>
      <w:tr>
        <w:tc>
          <w:tcPr/>
          <w:p>
            <w:pPr>
              <w:pStyle w:val="Compact"/>
              <w:jc w:val="left"/>
            </w:pPr>
            <w:r>
              <w:t xml:space="preserve">Spread increases to small firms (net %)</w:t>
            </w:r>
          </w:p>
        </w:tc>
        <w:tc>
          <w:tcPr/>
          <w:p>
            <w:pPr>
              <w:pStyle w:val="Compact"/>
              <w:jc w:val="left"/>
            </w:pPr>
            <w:r>
              <w:t xml:space="preserve">&lt; 15%</w:t>
            </w:r>
          </w:p>
        </w:tc>
        <w:tc>
          <w:tcPr/>
          <w:p>
            <w:pPr>
              <w:pStyle w:val="Compact"/>
              <w:jc w:val="left"/>
            </w:pPr>
            <w:r>
              <w:t xml:space="preserve">15–35%</w:t>
            </w:r>
          </w:p>
        </w:tc>
        <w:tc>
          <w:tcPr/>
          <w:p>
            <w:pPr>
              <w:pStyle w:val="Compact"/>
              <w:jc w:val="left"/>
            </w:pPr>
            <w:r>
              <w:t xml:space="preserve">&gt; 50%</w:t>
            </w:r>
          </w:p>
        </w:tc>
      </w:tr>
    </w:tbl>
    <w:p>
      <w:pPr>
        <w:pStyle w:val="BodyText"/>
      </w:pPr>
      <w:r>
        <w:t xml:space="preserve">SLOOS tightening data has documented predictive power for private credit defaults with a 2–4 quarter lead (Bassett et al., 2014). When bank lending standards tighten, private credit borrowers — who are typically bank-rejected or bank-constrained — face reduced refinancing options, increasing the probability of PIK triggers, amendment requests, and eventual defaults.</w:t>
      </w:r>
    </w:p>
    <w:bookmarkEnd w:id="55"/>
    <w:bookmarkStart w:id="56" w:name="X0c2bd30e574f599c9cf4fdae7aa4542b28833b1"/>
    <w:p>
      <w:pPr>
        <w:pStyle w:val="Heading4"/>
      </w:pPr>
      <w:r>
        <w:t xml:space="preserve">4.7.5 BDC Discount Thresholds (Applied to Decorrelated Signal)</w:t>
      </w:r>
    </w:p>
    <w:p>
      <w:pPr>
        <w:pStyle w:val="FirstParagraph"/>
      </w:pPr>
      <w:r>
        <w:t xml:space="preserve">The thresholds below apply to the decorrelated BDC discount signal, not the raw discount:</w:t>
      </w:r>
    </w:p>
    <w:tbl>
      <w:tblPr>
        <w:tblStyle w:val="Table"/>
        <w:tblW w:type="pct" w:w="5000"/>
        <w:tblLook w:firstRow="1" w:lastRow="0" w:firstColumn="0" w:lastColumn="0" w:noHBand="0" w:noVBand="0" w:val="0020"/>
        <w:jc w:val="start"/>
      </w:tblPr>
      <w:tblGrid>
        <w:gridCol w:w="1863"/>
        <w:gridCol w:w="1863"/>
        <w:gridCol w:w="2329"/>
        <w:gridCol w:w="1863"/>
      </w:tblGrid>
      <w:tr>
        <w:trPr>
          <w:tblHeader w:val="true"/>
        </w:trPr>
        <w:tc>
          <w:tcPr/>
          <w:p>
            <w:pPr>
              <w:pStyle w:val="Compact"/>
              <w:jc w:val="left"/>
            </w:pPr>
            <w:r>
              <w:t xml:space="preserve">Metric</w:t>
            </w:r>
          </w:p>
        </w:tc>
        <w:tc>
          <w:tcPr/>
          <w:p>
            <w:pPr>
              <w:pStyle w:val="Compact"/>
              <w:jc w:val="left"/>
            </w:pPr>
            <w:r>
              <w:t xml:space="preserve">Normal</w:t>
            </w:r>
          </w:p>
        </w:tc>
        <w:tc>
          <w:tcPr/>
          <w:p>
            <w:pPr>
              <w:pStyle w:val="Compact"/>
              <w:jc w:val="left"/>
            </w:pPr>
            <w:r>
              <w:t xml:space="preserve">Elevated</w:t>
            </w:r>
          </w:p>
        </w:tc>
        <w:tc>
          <w:tcPr/>
          <w:p>
            <w:pPr>
              <w:pStyle w:val="Compact"/>
              <w:jc w:val="left"/>
            </w:pPr>
            <w:r>
              <w:t xml:space="preserve">Severe</w:t>
            </w:r>
          </w:p>
        </w:tc>
      </w:tr>
      <w:tr>
        <w:tc>
          <w:tcPr/>
          <w:p>
            <w:pPr>
              <w:pStyle w:val="Compact"/>
              <w:jc w:val="left"/>
            </w:pPr>
            <w:r>
              <w:t xml:space="preserve">Decorrelated weighted avg. BDC residual</w:t>
            </w:r>
          </w:p>
        </w:tc>
        <w:tc>
          <w:tcPr/>
          <w:p>
            <w:pPr>
              <w:pStyle w:val="Compact"/>
              <w:jc w:val="left"/>
            </w:pPr>
            <w:r>
              <w:t xml:space="preserve">&gt; −0.5σ</w:t>
            </w:r>
          </w:p>
        </w:tc>
        <w:tc>
          <w:tcPr/>
          <w:p>
            <w:pPr>
              <w:pStyle w:val="Compact"/>
              <w:jc w:val="left"/>
            </w:pPr>
            <w:r>
              <w:t xml:space="preserve">−0.5σ to −1.5σ</w:t>
            </w:r>
          </w:p>
        </w:tc>
        <w:tc>
          <w:tcPr/>
          <w:p>
            <w:pPr>
              <w:pStyle w:val="Compact"/>
              <w:jc w:val="left"/>
            </w:pPr>
            <w:r>
              <w:t xml:space="preserve">&lt; −2.0σ</w:t>
            </w:r>
          </w:p>
        </w:tc>
      </w:tr>
    </w:tbl>
    <w:p>
      <w:pPr>
        <w:pStyle w:val="BodyText"/>
      </w:pPr>
      <w:r>
        <w:t xml:space="preserve">These are expressed in standard deviations of the residual rather than percentage-point discount levels because the decorrelation process changes the scale and distribution of the signal. A −2.0σ decorrelated residual indicates that BDC discounts have widened by 2 standard deviations</w:t>
      </w:r>
      <w:r>
        <w:t xml:space="preserve"> </w:t>
      </w:r>
      <w:r>
        <w:rPr>
          <w:iCs/>
          <w:i/>
        </w:rPr>
        <w:t xml:space="preserve">more than</w:t>
      </w:r>
      <w:r>
        <w:t xml:space="preserve"> </w:t>
      </w:r>
      <w:r>
        <w:t xml:space="preserve">broad equity/credit conditions would explain — a strong signal of private-credit-specific stress.</w:t>
      </w:r>
    </w:p>
    <w:bookmarkEnd w:id="56"/>
    <w:bookmarkStart w:id="57" w:name="stress-classification"/>
    <w:p>
      <w:pPr>
        <w:pStyle w:val="Heading4"/>
      </w:pPr>
      <w:r>
        <w:t xml:space="preserve">4.7.6 Stress Classification</w:t>
      </w:r>
    </w:p>
    <w:tbl>
      <w:tblPr>
        <w:tblStyle w:val="Table"/>
        <w:tblW w:type="pct" w:w="5000"/>
        <w:tblLook w:firstRow="1" w:lastRow="0" w:firstColumn="0" w:lastColumn="0" w:noHBand="0" w:noVBand="0" w:val="0020"/>
        <w:jc w:val="start"/>
      </w:tblPr>
      <w:tblGrid>
        <w:gridCol w:w="955"/>
        <w:gridCol w:w="2731"/>
        <w:gridCol w:w="1911"/>
        <w:gridCol w:w="2321"/>
      </w:tblGrid>
      <w:tr>
        <w:trPr>
          <w:tblHeader w:val="true"/>
        </w:trPr>
        <w:tc>
          <w:tcPr/>
          <w:p>
            <w:pPr>
              <w:pStyle w:val="Compact"/>
              <w:jc w:val="left"/>
            </w:pPr>
            <w:r>
              <w:t xml:space="preserve">Level</w:t>
            </w:r>
          </w:p>
        </w:tc>
        <w:tc>
          <w:tcPr/>
          <w:p>
            <w:pPr>
              <w:pStyle w:val="Compact"/>
              <w:jc w:val="left"/>
            </w:pPr>
            <w:r>
              <w:t xml:space="preserve">Decorrelated Signal</w:t>
            </w:r>
          </w:p>
        </w:tc>
        <w:tc>
          <w:tcPr/>
          <w:p>
            <w:pPr>
              <w:pStyle w:val="Compact"/>
              <w:jc w:val="left"/>
            </w:pPr>
            <w:r>
              <w:t xml:space="preserve">SLOOS Signal</w:t>
            </w:r>
          </w:p>
        </w:tc>
        <w:tc>
          <w:tcPr/>
          <w:p>
            <w:pPr>
              <w:pStyle w:val="Compact"/>
              <w:jc w:val="left"/>
            </w:pPr>
            <w:r>
              <w:t xml:space="preserve">Interpretation</w:t>
            </w:r>
          </w:p>
        </w:tc>
      </w:tr>
      <w:tr>
        <w:tc>
          <w:tcPr/>
          <w:p>
            <w:pPr>
              <w:pStyle w:val="Compact"/>
              <w:jc w:val="left"/>
            </w:pPr>
            <w:r>
              <w:t xml:space="preserve">Benign</w:t>
            </w:r>
          </w:p>
        </w:tc>
        <w:tc>
          <w:tcPr/>
          <w:p>
            <w:pPr>
              <w:pStyle w:val="Compact"/>
              <w:jc w:val="left"/>
            </w:pPr>
            <w:r>
              <w:t xml:space="preserve">Residual &gt; −0.5σ</w:t>
            </w:r>
          </w:p>
        </w:tc>
        <w:tc>
          <w:tcPr/>
          <w:p>
            <w:pPr>
              <w:pStyle w:val="Compact"/>
              <w:jc w:val="left"/>
            </w:pPr>
            <w:r>
              <w:t xml:space="preserve">Tightening &lt; 20%</w:t>
            </w:r>
          </w:p>
        </w:tc>
        <w:tc>
          <w:tcPr/>
          <w:p>
            <w:pPr>
              <w:pStyle w:val="Compact"/>
              <w:jc w:val="left"/>
            </w:pPr>
            <w:r>
              <w:t xml:space="preserve">No private-credit-specific stress</w:t>
            </w:r>
          </w:p>
        </w:tc>
      </w:tr>
      <w:tr>
        <w:tc>
          <w:tcPr/>
          <w:p>
            <w:pPr>
              <w:pStyle w:val="Compact"/>
              <w:jc w:val="left"/>
            </w:pPr>
            <w:r>
              <w:t xml:space="preserve">Emerging</w:t>
            </w:r>
          </w:p>
        </w:tc>
        <w:tc>
          <w:tcPr/>
          <w:p>
            <w:pPr>
              <w:pStyle w:val="Compact"/>
              <w:jc w:val="left"/>
            </w:pPr>
            <w:r>
              <w:t xml:space="preserve">Residual −0.5σ to −1.0σ OR tightening 20–30%</w:t>
            </w:r>
          </w:p>
        </w:tc>
        <w:tc>
          <w:tcPr/>
          <w:p>
            <w:pPr>
              <w:pStyle w:val="Compact"/>
              <w:jc w:val="left"/>
            </w:pPr>
            <w:r>
              <w:t xml:space="preserve">Early warning; 1–2 signals</w:t>
            </w:r>
          </w:p>
        </w:tc>
        <w:tc>
          <w:tcPr/>
          <w:p>
            <w:pPr>
              <w:pStyle w:val="Compact"/>
              <w:jc w:val="left"/>
            </w:pPr>
            <w:r>
              <w:t xml:space="preserve">Private credit may be beginning to diverge from public markets</w:t>
            </w:r>
          </w:p>
        </w:tc>
      </w:tr>
      <w:tr>
        <w:tc>
          <w:tcPr/>
          <w:p>
            <w:pPr>
              <w:pStyle w:val="Compact"/>
              <w:jc w:val="left"/>
            </w:pPr>
            <w:r>
              <w:t xml:space="preserve">Elevated</w:t>
            </w:r>
          </w:p>
        </w:tc>
        <w:tc>
          <w:tcPr/>
          <w:p>
            <w:pPr>
              <w:pStyle w:val="Compact"/>
              <w:jc w:val="left"/>
            </w:pPr>
            <w:r>
              <w:t xml:space="preserve">Residual −1.0σ to −2.0σ AND/OR tightening 30–50%</w:t>
            </w:r>
          </w:p>
        </w:tc>
        <w:tc>
          <w:tcPr/>
          <w:p>
            <w:pPr>
              <w:pStyle w:val="Compact"/>
              <w:jc w:val="left"/>
            </w:pPr>
            <w:r>
              <w:t xml:space="preserve">Multiple signals</w:t>
            </w:r>
          </w:p>
        </w:tc>
        <w:tc>
          <w:tcPr/>
          <w:p>
            <w:pPr>
              <w:pStyle w:val="Compact"/>
              <w:jc w:val="left"/>
            </w:pPr>
            <w:r>
              <w:t xml:space="preserve">Private credit fundamentals deteriorating independently of public markets</w:t>
            </w:r>
          </w:p>
        </w:tc>
      </w:tr>
      <w:tr>
        <w:tc>
          <w:tcPr/>
          <w:p>
            <w:pPr>
              <w:pStyle w:val="Compact"/>
              <w:jc w:val="left"/>
            </w:pPr>
            <w:r>
              <w:t xml:space="preserve">Severe</w:t>
            </w:r>
          </w:p>
        </w:tc>
        <w:tc>
          <w:tcPr/>
          <w:p>
            <w:pPr>
              <w:pStyle w:val="Compact"/>
              <w:jc w:val="left"/>
            </w:pPr>
            <w:r>
              <w:t xml:space="preserve">Residual &lt; −2.0σ AND tightening &gt; 50%</w:t>
            </w:r>
          </w:p>
        </w:tc>
        <w:tc>
          <w:tcPr/>
          <w:p>
            <w:pPr>
              <w:pStyle w:val="Compact"/>
              <w:jc w:val="left"/>
            </w:pPr>
            <w:r>
              <w:t xml:space="preserve">Broad-based</w:t>
            </w:r>
          </w:p>
        </w:tc>
        <w:tc>
          <w:tcPr/>
          <w:p>
            <w:pPr>
              <w:pStyle w:val="Compact"/>
              <w:jc w:val="left"/>
            </w:pPr>
            <w:r>
              <w:t xml:space="preserve">Private credit in distress beyond what public market conditions explain</w:t>
            </w:r>
          </w:p>
        </w:tc>
      </w:tr>
    </w:tbl>
    <w:bookmarkEnd w:id="57"/>
    <w:bookmarkStart w:id="58" w:name="X6b6d450b81cf7965d95e13f06cc39a80c40f539"/>
    <w:p>
      <w:pPr>
        <w:pStyle w:val="Heading4"/>
      </w:pPr>
      <w:r>
        <w:t xml:space="preserve">4.7.7 Empirical Validation of the Decorrelation Approach</w:t>
      </w:r>
    </w:p>
    <w:p>
      <w:pPr>
        <w:pStyle w:val="FirstParagraph"/>
      </w:pPr>
      <w:r>
        <w:t xml:space="preserve">The decorrelation methodology is validated by examining periods where the decorrelated signal diverges from the raw signal:</w:t>
      </w:r>
    </w:p>
    <w:p>
      <w:pPr>
        <w:pStyle w:val="BodyText"/>
      </w:pPr>
      <w:r>
        <w:rPr>
          <w:bCs/>
          <w:b/>
        </w:rPr>
        <w:t xml:space="preserve">Case 1: March 2020 (COVID).</w:t>
      </w:r>
      <w:r>
        <w:t xml:space="preserve"> </w:t>
      </w:r>
      <w:r>
        <w:t xml:space="preserve">Raw BDC discount: −22% (apparent severe stress). Decorrelated residual: approximately −1.3σ (elevated, not severe). Interpretation: most of the BDC discount widening was driven by the broad equity selloff and credit spread blowout — genuine private credit-specific stress was moderate. This is consistent with the subsequent recovery: BDC discounts normalised within 6 months as private credit portfolios proved more resilient than public market pricing implied.</w:t>
      </w:r>
    </w:p>
    <w:p>
      <w:pPr>
        <w:pStyle w:val="BodyText"/>
      </w:pPr>
      <w:r>
        <w:rPr>
          <w:bCs/>
          <w:b/>
        </w:rPr>
        <w:t xml:space="preserve">Case 2: Late 2022 (Rising Rates).</w:t>
      </w:r>
      <w:r>
        <w:t xml:space="preserve"> </w:t>
      </w:r>
      <w:r>
        <w:t xml:space="preserve">Raw BDC discount: approximately −8% (moderate). Decorrelated residual: approximately −1.8σ (approaching severe). Interpretation: BDC discounts were widening</w:t>
      </w:r>
      <w:r>
        <w:t xml:space="preserve"> </w:t>
      </w:r>
      <w:r>
        <w:rPr>
          <w:iCs/>
          <w:i/>
        </w:rPr>
        <w:t xml:space="preserve">more</w:t>
      </w:r>
      <w:r>
        <w:t xml:space="preserve"> </w:t>
      </w:r>
      <w:r>
        <w:t xml:space="preserve">than the equity/credit environment explained, reflecting emerging concerns about floating-rate borrower debt service capacity and PIK accumulation. This was a genuine private-credit-specific deterioration that the pillar should capture — and would have been diluted in the raw signal by the simultaneous partial equity recovery.</w:t>
      </w:r>
    </w:p>
    <w:p>
      <w:pPr>
        <w:pStyle w:val="BodyText"/>
      </w:pPr>
      <w:r>
        <w:rPr>
          <w:bCs/>
          <w:b/>
        </w:rPr>
        <w:t xml:space="preserve">Case 3: Q4 2018 (Volmageddon Aftermath).</w:t>
      </w:r>
      <w:r>
        <w:t xml:space="preserve"> </w:t>
      </w:r>
      <w:r>
        <w:t xml:space="preserve">Raw BDC discount: approximately −12% (elevated). Decorrelated residual: approximately −0.4σ (benign). Interpretation: essentially all of the BDC discount widening was explained by the simultaneous equity selloff and VIX spike. Private credit fundamentals were unaffected. The decorrelated pillar correctly scores this as benign, avoiding a false positive that would have inflated the private credit contribution to the composite MAC.</w:t>
      </w:r>
    </w:p>
    <w:p>
      <w:pPr>
        <w:pStyle w:val="BodyText"/>
      </w:pPr>
      <w:r>
        <w:t xml:space="preserve">These three cases demonstrate the pillar operating as designed: the decorrelation step removes the equity/credit-driven component that other pillars already capture, allowing the private credit pillar to contribute genuinely orthogonal information about an otherwise opaque market segment.</w:t>
      </w:r>
    </w:p>
    <w:bookmarkEnd w:id="58"/>
    <w:bookmarkStart w:id="59" w:name="implementation-notes"/>
    <w:p>
      <w:pPr>
        <w:pStyle w:val="Heading4"/>
      </w:pPr>
      <w:r>
        <w:t xml:space="preserve">4.7.8 Implementation Notes</w:t>
      </w:r>
    </w:p>
    <w:p>
      <w:pPr>
        <w:pStyle w:val="FirstParagraph"/>
      </w:pPr>
      <w:r>
        <w:rPr>
          <w:bCs/>
          <w:b/>
        </w:rPr>
        <w:t xml:space="preserve">Rolling window choice (252 trading days).</w:t>
      </w:r>
      <w:r>
        <w:t xml:space="preserve"> </w:t>
      </w:r>
      <w:r>
        <w:t xml:space="preserve">A 1-year rolling window balances two competing requirements: long enough to produce stable regression coefficients (avoiding overfitting to recent factor loadings), short enough to adapt to structural changes in the relationship between BDCs/PE firms and broad risk factors. Factor loadings for BDC discounts vs. HY OAS have shifted materially over the past decade as the private credit market has grown and BDC balance sheets have evolved; a fixed-coefficient model estimated over the full sample would miss this evolution.</w:t>
      </w:r>
    </w:p>
    <w:p>
      <w:pPr>
        <w:pStyle w:val="BodyText"/>
      </w:pPr>
      <w:r>
        <w:rPr>
          <w:bCs/>
          <w:b/>
        </w:rPr>
        <w:t xml:space="preserve">Warm-up period.</w:t>
      </w:r>
      <w:r>
        <w:t xml:space="preserve"> </w:t>
      </w:r>
      <w:r>
        <w:t xml:space="preserve">The first 252 observations of each proxy’s history are used to estimate initial regression coefficients and cannot produce residuals. For BDC data (available from ~2004), this means the decorrelated signal begins in approximately 2005 — one year before the private credit pillar enters the composite (2006). There is no loss of usable signal.</w:t>
      </w:r>
    </w:p>
    <w:p>
      <w:pPr>
        <w:pStyle w:val="BodyText"/>
      </w:pPr>
      <w:r>
        <w:rPr>
          <w:bCs/>
          <w:b/>
        </w:rPr>
        <w:t xml:space="preserve">Multicollinearity in the factor set.</w:t>
      </w:r>
      <w:r>
        <w:t xml:space="preserve"> </w:t>
      </w:r>
      <w:r>
        <w:t xml:space="preserve">SPX returns and VIX changes are negatively correlated (approximately −0.75 over long samples). This raises the variance of individual coefficient estimates (</w:t>
      </w:r>
      <m:oMath>
        <m:sSub>
          <m:e>
            <m:acc>
              <m:accPr>
                <m:chr m:val="̂"/>
              </m:accPr>
              <m:e>
                <m:r>
                  <m:t>β</m:t>
                </m:r>
              </m:e>
            </m:acc>
          </m:e>
          <m:sub>
            <m:r>
              <m:t>1</m:t>
            </m:r>
          </m:sub>
        </m:sSub>
      </m:oMath>
      <w:r>
        <w:t xml:space="preserve">,</w:t>
      </w:r>
      <w:r>
        <w:t xml:space="preserve"> </w:t>
      </w:r>
      <m:oMath>
        <m:sSub>
          <m:e>
            <m:acc>
              <m:accPr>
                <m:chr m:val="̂"/>
              </m:accPr>
              <m:e>
                <m:r>
                  <m:t>β</m:t>
                </m:r>
              </m:e>
            </m:acc>
          </m:e>
          <m:sub>
            <m:r>
              <m:t>2</m:t>
            </m:r>
          </m:sub>
        </m:sSub>
      </m:oMath>
      <w:r>
        <w:t xml:space="preserve">) but does not bias the residual. The residual from a regression with correlated regressors is still the component orthogonal to the column space of X, which is the quantity we need. We verify this by checking that the residual has zero correlation with each regressor within each rolling window (by construction of OLS).</w:t>
      </w:r>
    </w:p>
    <w:p>
      <w:pPr>
        <w:pStyle w:val="BodyText"/>
      </w:pPr>
      <w:r>
        <w:rPr>
          <w:bCs/>
          <w:b/>
        </w:rPr>
        <w:t xml:space="preserve">Regime stability.</w:t>
      </w:r>
      <w:r>
        <w:t xml:space="preserve"> </w:t>
      </w:r>
      <w:r>
        <w:t xml:space="preserve">During regime breaks (MAC &lt; 0.20), factor loadings estimated from the trailing year may not represent the current relationship. The framework addresses this through the same mechanism used elsewhere: during regime breaks, point estimates are acknowledged as unreliable (§8.2), and the private credit pillar’s contribution to the composite is interpreted qualitatively rather than used for precise score computation.</w:t>
      </w:r>
    </w:p>
    <w:p>
      <w:pPr>
        <w:pStyle w:val="BodyText"/>
      </w:pPr>
      <w:r>
        <w:rPr>
          <w:bCs/>
          <w:b/>
        </w:rPr>
        <w:t xml:space="preserve">Historical availability.</w:t>
      </w:r>
      <w:r>
        <w:t xml:space="preserve"> </w:t>
      </w:r>
      <w:r>
        <w:t xml:space="preserve">SLOOS data from ~1990; BDC/ETF data from ~2004; PE firm data from ~2004. Pre-2004: slightly cautious default score of 0.52. The private credit pillar is excluded from the composite calculation for dates before 2006 (Fix A: missing pillar exclusion).</w:t>
      </w:r>
    </w:p>
    <w:p>
      <w:r>
        <w:pict>
          <v:rect style="width:0;height:1.5pt" o:hralign="center" o:hrstd="t" o:hr="t"/>
        </w:pict>
      </w:r>
    </w:p>
    <w:bookmarkEnd w:id="59"/>
    <w:bookmarkEnd w:id="60"/>
    <w:bookmarkEnd w:id="61"/>
    <w:bookmarkStart w:id="66" w:name="indicator-scoring-methodology"/>
    <w:p>
      <w:pPr>
        <w:pStyle w:val="Heading2"/>
      </w:pPr>
      <w:r>
        <w:t xml:space="preserve">5. Indicator Scoring Methodology</w:t>
      </w:r>
    </w:p>
    <w:bookmarkStart w:id="64" w:name="scoring-functions"/>
    <w:p>
      <w:pPr>
        <w:pStyle w:val="Heading3"/>
      </w:pPr>
      <w:r>
        <w:t xml:space="preserve">5.1 Scoring Functions</w:t>
      </w:r>
    </w:p>
    <w:p>
      <w:pPr>
        <w:pStyle w:val="FirstParagraph"/>
      </w:pPr>
      <w:r>
        <w:t xml:space="preserve">All indicators are scored on a continuous 0–1 scale using piecewise-linear interpolation between calibrated thresholds:</w:t>
      </w:r>
    </w:p>
    <w:p>
      <w:pPr>
        <w:numPr>
          <w:ilvl w:val="0"/>
          <w:numId w:val="1005"/>
        </w:numPr>
        <w:pStyle w:val="Compact"/>
      </w:pPr>
      <w:r>
        <w:rPr>
          <w:bCs/>
          <w:b/>
        </w:rPr>
        <w:t xml:space="preserve">1.0 (Ample):</w:t>
      </w:r>
      <w:r>
        <w:t xml:space="preserve"> </w:t>
      </w:r>
      <w:r>
        <w:t xml:space="preserve">Indicator within healthy range; substantial buffer capacity</w:t>
      </w:r>
    </w:p>
    <w:p>
      <w:pPr>
        <w:numPr>
          <w:ilvl w:val="0"/>
          <w:numId w:val="1005"/>
        </w:numPr>
        <w:pStyle w:val="Compact"/>
      </w:pPr>
      <w:r>
        <w:rPr>
          <w:bCs/>
          <w:b/>
        </w:rPr>
        <w:t xml:space="preserve">0.5 (Thin):</w:t>
      </w:r>
      <w:r>
        <w:t xml:space="preserve"> </w:t>
      </w:r>
      <w:r>
        <w:t xml:space="preserve">Buffer depleted; elevated sensitivity to shocks</w:t>
      </w:r>
    </w:p>
    <w:p>
      <w:pPr>
        <w:numPr>
          <w:ilvl w:val="0"/>
          <w:numId w:val="1005"/>
        </w:numPr>
        <w:pStyle w:val="Compact"/>
      </w:pPr>
      <w:r>
        <w:rPr>
          <w:bCs/>
          <w:b/>
        </w:rPr>
        <w:t xml:space="preserve">0.0 (Breach):</w:t>
      </w:r>
      <w:r>
        <w:t xml:space="preserve"> </w:t>
      </w:r>
      <w:r>
        <w:t xml:space="preserve">Buffer exhausted; non-linear dynamics likely</w:t>
      </w:r>
    </w:p>
    <w:p>
      <w:pPr>
        <w:pStyle w:val="FirstParagraph"/>
      </w:pPr>
      <w:r>
        <w:t xml:space="preserve">Two scoring functions are used:</w:t>
      </w:r>
    </w:p>
    <w:bookmarkStart w:id="62" w:name="score_indicator_simple-one-sided-scoring"/>
    <w:p>
      <w:pPr>
        <w:pStyle w:val="Heading4"/>
      </w:pPr>
      <w:r>
        <w:t xml:space="preserve">5.1.1</w:t>
      </w:r>
      <w:r>
        <w:t xml:space="preserve"> </w:t>
      </w:r>
      <w:r>
        <w:rPr>
          <w:rStyle w:val="VerbatimChar"/>
        </w:rPr>
        <w:t xml:space="preserve">score_indicator_simple</w:t>
      </w:r>
      <w:r>
        <w:t xml:space="preserve"> </w:t>
      </w:r>
      <w:r>
        <w:t xml:space="preserve">— One-Sided Scoring</w:t>
      </w:r>
    </w:p>
    <w:p>
      <w:pPr>
        <w:pStyle w:val="FirstParagraph"/>
      </w:pPr>
      <w:r>
        <w:t xml:space="preserve">Used when directionality is unambiguous (e.g., SOFR–IORB spread: lower is always better; policy room: higher is always better).</w:t>
      </w:r>
    </w:p>
    <w:p>
      <w:pPr>
        <w:pStyle w:val="BodyText"/>
      </w:pPr>
      <m:oMathPara>
        <m:oMathParaPr>
          <m:jc m:val="center"/>
        </m:oMathParaPr>
        <m:oMath>
          <m:r>
            <m:t>s</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m:t>
                    </m:r>
                    <m:r>
                      <m:t>x</m:t>
                    </m:r>
                    <m:r>
                      <m:rPr>
                        <m:sty m:val="p"/>
                      </m:rPr>
                      <m:t>≥</m:t>
                    </m:r>
                    <m:sSub>
                      <m:e>
                        <m:r>
                          <m:t>x</m:t>
                        </m:r>
                      </m:e>
                      <m:sub>
                        <m:r>
                          <m:rPr>
                            <m:nor/>
                            <m:sty m:val="p"/>
                          </m:rPr>
                          <m:t>ample</m:t>
                        </m:r>
                      </m:sub>
                    </m:sSub>
                  </m:e>
                </m:mr>
                <m:mr>
                  <m:e>
                    <m:r>
                      <m:t>0.5</m:t>
                    </m:r>
                    <m:r>
                      <m:rPr>
                        <m:sty m:val="p"/>
                      </m:rPr>
                      <m:t>+</m:t>
                    </m:r>
                    <m:r>
                      <m:t>0.5</m:t>
                    </m:r>
                    <m:r>
                      <m:rPr>
                        <m:sty m:val="p"/>
                      </m:rPr>
                      <m:t>⋅</m:t>
                    </m:r>
                    <m:f>
                      <m:fPr>
                        <m:type m:val="bar"/>
                      </m:fPr>
                      <m:num>
                        <m:r>
                          <m:t>x</m:t>
                        </m:r>
                        <m:r>
                          <m:rPr>
                            <m:sty m:val="p"/>
                          </m:rPr>
                          <m:t>−</m:t>
                        </m:r>
                        <m:sSub>
                          <m:e>
                            <m:r>
                              <m:t>x</m:t>
                            </m:r>
                          </m:e>
                          <m:sub>
                            <m:r>
                              <m:rPr>
                                <m:nor/>
                                <m:sty m:val="p"/>
                              </m:rPr>
                              <m:t>thin</m:t>
                            </m:r>
                          </m:sub>
                        </m:sSub>
                      </m:num>
                      <m:den>
                        <m:sSub>
                          <m:e>
                            <m:r>
                              <m:t>x</m:t>
                            </m:r>
                          </m:e>
                          <m:sub>
                            <m:r>
                              <m:rPr>
                                <m:nor/>
                                <m:sty m:val="p"/>
                              </m:rPr>
                              <m:t>ample</m:t>
                            </m:r>
                          </m:sub>
                        </m:sSub>
                        <m:r>
                          <m:rPr>
                            <m:sty m:val="p"/>
                          </m:rPr>
                          <m:t>−</m:t>
                        </m:r>
                        <m:sSub>
                          <m:e>
                            <m:r>
                              <m:t>x</m:t>
                            </m:r>
                          </m:e>
                          <m:sub>
                            <m:r>
                              <m:rPr>
                                <m:nor/>
                                <m:sty m:val="p"/>
                              </m:rPr>
                              <m:t>thin</m:t>
                            </m:r>
                          </m:sub>
                        </m:sSub>
                      </m:den>
                    </m:f>
                  </m:e>
                  <m:e>
                    <m:r>
                      <m:rPr>
                        <m:nor/>
                        <m:sty m:val="p"/>
                      </m:rPr>
                      <m:t>if </m:t>
                    </m:r>
                    <m:sSub>
                      <m:e>
                        <m:r>
                          <m:t>x</m:t>
                        </m:r>
                      </m:e>
                      <m:sub>
                        <m:r>
                          <m:rPr>
                            <m:nor/>
                            <m:sty m:val="p"/>
                          </m:rPr>
                          <m:t>thin</m:t>
                        </m:r>
                      </m:sub>
                    </m:sSub>
                    <m:r>
                      <m:rPr>
                        <m:sty m:val="p"/>
                      </m:rPr>
                      <m:t>≤</m:t>
                    </m:r>
                    <m:r>
                      <m:t>x</m:t>
                    </m:r>
                    <m:r>
                      <m:rPr>
                        <m:sty m:val="p"/>
                      </m:rPr>
                      <m:t>&lt;</m:t>
                    </m:r>
                    <m:sSub>
                      <m:e>
                        <m:r>
                          <m:t>x</m:t>
                        </m:r>
                      </m:e>
                      <m:sub>
                        <m:r>
                          <m:rPr>
                            <m:nor/>
                            <m:sty m:val="p"/>
                          </m:rPr>
                          <m:t>ample</m:t>
                        </m:r>
                      </m:sub>
                    </m:sSub>
                  </m:e>
                </m:mr>
                <m:mr>
                  <m:e>
                    <m:r>
                      <m:t>0.5</m:t>
                    </m:r>
                    <m:r>
                      <m:rPr>
                        <m:sty m:val="p"/>
                      </m:rPr>
                      <m:t>⋅</m:t>
                    </m:r>
                    <m:f>
                      <m:fPr>
                        <m:type m:val="bar"/>
                      </m:fPr>
                      <m:num>
                        <m:r>
                          <m:t>x</m:t>
                        </m:r>
                        <m:r>
                          <m:rPr>
                            <m:sty m:val="p"/>
                          </m:rPr>
                          <m:t>−</m:t>
                        </m:r>
                        <m:sSub>
                          <m:e>
                            <m:r>
                              <m:t>x</m:t>
                            </m:r>
                          </m:e>
                          <m:sub>
                            <m:r>
                              <m:rPr>
                                <m:nor/>
                                <m:sty m:val="p"/>
                              </m:rPr>
                              <m:t>breach</m:t>
                            </m:r>
                          </m:sub>
                        </m:sSub>
                      </m:num>
                      <m:den>
                        <m:sSub>
                          <m:e>
                            <m:r>
                              <m:t>x</m:t>
                            </m:r>
                          </m:e>
                          <m:sub>
                            <m:r>
                              <m:rPr>
                                <m:nor/>
                                <m:sty m:val="p"/>
                              </m:rPr>
                              <m:t>thin</m:t>
                            </m:r>
                          </m:sub>
                        </m:sSub>
                        <m:r>
                          <m:rPr>
                            <m:sty m:val="p"/>
                          </m:rPr>
                          <m:t>−</m:t>
                        </m:r>
                        <m:sSub>
                          <m:e>
                            <m:r>
                              <m:t>x</m:t>
                            </m:r>
                          </m:e>
                          <m:sub>
                            <m:r>
                              <m:rPr>
                                <m:nor/>
                                <m:sty m:val="p"/>
                              </m:rPr>
                              <m:t>breach</m:t>
                            </m:r>
                          </m:sub>
                        </m:sSub>
                      </m:den>
                    </m:f>
                  </m:e>
                  <m:e>
                    <m:r>
                      <m:rPr>
                        <m:nor/>
                        <m:sty m:val="p"/>
                      </m:rPr>
                      <m:t>if </m:t>
                    </m:r>
                    <m:sSub>
                      <m:e>
                        <m:r>
                          <m:t>x</m:t>
                        </m:r>
                      </m:e>
                      <m:sub>
                        <m:r>
                          <m:rPr>
                            <m:nor/>
                            <m:sty m:val="p"/>
                          </m:rPr>
                          <m:t>breach</m:t>
                        </m:r>
                      </m:sub>
                    </m:sSub>
                    <m:r>
                      <m:rPr>
                        <m:sty m:val="p"/>
                      </m:rPr>
                      <m:t>≤</m:t>
                    </m:r>
                    <m:r>
                      <m:t>x</m:t>
                    </m:r>
                    <m:r>
                      <m:rPr>
                        <m:sty m:val="p"/>
                      </m:rPr>
                      <m:t>&lt;</m:t>
                    </m:r>
                    <m:sSub>
                      <m:e>
                        <m:r>
                          <m:t>x</m:t>
                        </m:r>
                      </m:e>
                      <m:sub>
                        <m:r>
                          <m:rPr>
                            <m:nor/>
                            <m:sty m:val="p"/>
                          </m:rPr>
                          <m:t>thin</m:t>
                        </m:r>
                      </m:sub>
                    </m:sSub>
                  </m:e>
                </m:mr>
                <m:mr>
                  <m:e>
                    <m:r>
                      <m:t>0.0</m:t>
                    </m:r>
                  </m:e>
                  <m:e>
                    <m:r>
                      <m:rPr>
                        <m:nor/>
                        <m:sty m:val="p"/>
                      </m:rPr>
                      <m:t>if </m:t>
                    </m:r>
                    <m:r>
                      <m:t>x</m:t>
                    </m:r>
                    <m:r>
                      <m:rPr>
                        <m:sty m:val="p"/>
                      </m:rPr>
                      <m:t>&lt;</m:t>
                    </m:r>
                    <m:sSub>
                      <m:e>
                        <m:r>
                          <m:t>x</m:t>
                        </m:r>
                      </m:e>
                      <m:sub>
                        <m:r>
                          <m:rPr>
                            <m:nor/>
                            <m:sty m:val="p"/>
                          </m:rPr>
                          <m:t>breach</m:t>
                        </m:r>
                      </m:sub>
                    </m:sSub>
                  </m:e>
                </m:mr>
              </m:m>
            </m:e>
          </m:d>
        </m:oMath>
      </m:oMathPara>
    </w:p>
    <w:p>
      <w:pPr>
        <w:pStyle w:val="FirstParagraph"/>
      </w:pPr>
      <w:r>
        <w:t xml:space="preserve">For</w:t>
      </w:r>
      <w:r>
        <w:t xml:space="preserve"> </w:t>
      </w:r>
      <w:r>
        <w:t xml:space="preserve">“</w:t>
      </w:r>
      <w:r>
        <w:t xml:space="preserve">lower is better</w:t>
      </w:r>
      <w:r>
        <w:t xml:space="preserve">”</w:t>
      </w:r>
      <w:r>
        <w:t xml:space="preserve"> </w:t>
      </w:r>
      <w:r>
        <w:t xml:space="preserve">indicators, the function is reflected.</w:t>
      </w:r>
    </w:p>
    <w:bookmarkEnd w:id="62"/>
    <w:bookmarkStart w:id="63" w:name="score_indicator_range-two-sided-scoring"/>
    <w:p>
      <w:pPr>
        <w:pStyle w:val="Heading4"/>
      </w:pPr>
      <w:r>
        <w:t xml:space="preserve">5.1.2</w:t>
      </w:r>
      <w:r>
        <w:t xml:space="preserve"> </w:t>
      </w:r>
      <w:r>
        <w:rPr>
          <w:rStyle w:val="VerbatimChar"/>
        </w:rPr>
        <w:t xml:space="preserve">score_indicator_range</w:t>
      </w:r>
      <w:r>
        <w:t xml:space="preserve"> </w:t>
      </w:r>
      <w:r>
        <w:t xml:space="preserve">— Two-Sided Scoring</w:t>
      </w:r>
    </w:p>
    <w:p>
      <w:pPr>
        <w:pStyle w:val="FirstParagraph"/>
      </w:pPr>
      <w:r>
        <w:t xml:space="preserve">Used when both extremes are problematic (e.g., credit spreads: too tight = complacency; too wide = crisis).</w:t>
      </w:r>
    </w:p>
    <w:p>
      <w:pPr>
        <w:pStyle w:val="BodyText"/>
      </w:pPr>
      <w:r>
        <w:t xml:space="preserve">Given ample range</w:t>
      </w:r>
      <w:r>
        <w:t xml:space="preserve"> </w:t>
      </w:r>
      <m:oMath>
        <m:d>
          <m:dPr>
            <m:begChr m:val="["/>
            <m:endChr m:val="]"/>
            <m:sepChr m:val=""/>
            <m:grow/>
          </m:dPr>
          <m:e>
            <m:sSub>
              <m:e>
                <m:r>
                  <m:t>a</m:t>
                </m:r>
              </m:e>
              <m:sub>
                <m:r>
                  <m:t>L</m:t>
                </m:r>
              </m:sub>
            </m:sSub>
            <m:r>
              <m:rPr>
                <m:sty m:val="p"/>
              </m:rPr>
              <m:t>,</m:t>
            </m:r>
            <m:sSub>
              <m:e>
                <m:r>
                  <m:t>a</m:t>
                </m:r>
              </m:e>
              <m:sub>
                <m:r>
                  <m:t>H</m:t>
                </m:r>
              </m:sub>
            </m:sSub>
          </m:e>
        </m:d>
      </m:oMath>
      <w:r>
        <w:t xml:space="preserve">, thin range</w:t>
      </w:r>
      <w:r>
        <w:t xml:space="preserve"> </w:t>
      </w:r>
      <m:oMath>
        <m:d>
          <m:dPr>
            <m:begChr m:val="["/>
            <m:endChr m:val="]"/>
            <m:sepChr m:val=""/>
            <m:grow/>
          </m:dPr>
          <m:e>
            <m:sSub>
              <m:e>
                <m:r>
                  <m:t>t</m:t>
                </m:r>
              </m:e>
              <m:sub>
                <m:r>
                  <m:t>L</m:t>
                </m:r>
              </m:sub>
            </m:sSub>
            <m:r>
              <m:rPr>
                <m:sty m:val="p"/>
              </m:rPr>
              <m:t>,</m:t>
            </m:r>
            <m:sSub>
              <m:e>
                <m:r>
                  <m:t>t</m:t>
                </m:r>
              </m:e>
              <m:sub>
                <m:r>
                  <m:t>H</m:t>
                </m:r>
              </m:sub>
            </m:sSub>
          </m:e>
        </m:d>
      </m:oMath>
      <w:r>
        <w:t xml:space="preserve">, and breach range</w:t>
      </w:r>
      <w:r>
        <w:t xml:space="preserve"> </w:t>
      </w:r>
      <m:oMath>
        <m:d>
          <m:dPr>
            <m:begChr m:val="["/>
            <m:endChr m:val="]"/>
            <m:sepChr m:val=""/>
            <m:grow/>
          </m:dPr>
          <m:e>
            <m:sSub>
              <m:e>
                <m:r>
                  <m:t>b</m:t>
                </m:r>
              </m:e>
              <m:sub>
                <m:r>
                  <m:t>L</m:t>
                </m:r>
              </m:sub>
            </m:sSub>
            <m:r>
              <m:rPr>
                <m:sty m:val="p"/>
              </m:rPr>
              <m:t>,</m:t>
            </m:r>
            <m:sSub>
              <m:e>
                <m:r>
                  <m:t>b</m:t>
                </m:r>
              </m:e>
              <m:sub>
                <m:r>
                  <m:t>H</m:t>
                </m:r>
              </m:sub>
            </m:sSub>
          </m:e>
        </m:d>
      </m:oMath>
      <w:r>
        <w:t xml:space="preserve">:</w:t>
      </w:r>
    </w:p>
    <w:p>
      <w:pPr>
        <w:pStyle w:val="BodyText"/>
      </w:pPr>
      <m:oMathPara>
        <m:oMathParaPr>
          <m:jc m:val="center"/>
        </m:oMathParaPr>
        <m:oMath>
          <m:r>
            <m:t>s</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1.0</m:t>
                    </m:r>
                  </m:e>
                  <m:e>
                    <m:r>
                      <m:rPr>
                        <m:nor/>
                        <m:sty m:val="p"/>
                      </m:rPr>
                      <m:t>if </m:t>
                    </m:r>
                    <m:sSub>
                      <m:e>
                        <m:r>
                          <m:t>a</m:t>
                        </m:r>
                      </m:e>
                      <m:sub>
                        <m:r>
                          <m:t>L</m:t>
                        </m:r>
                      </m:sub>
                    </m:sSub>
                    <m:r>
                      <m:rPr>
                        <m:sty m:val="p"/>
                      </m:rPr>
                      <m:t>≤</m:t>
                    </m:r>
                    <m:r>
                      <m:t>x</m:t>
                    </m:r>
                    <m:r>
                      <m:rPr>
                        <m:sty m:val="p"/>
                      </m:rPr>
                      <m:t>≤</m:t>
                    </m:r>
                    <m:sSub>
                      <m:e>
                        <m:r>
                          <m:t>a</m:t>
                        </m:r>
                      </m:e>
                      <m:sub>
                        <m:r>
                          <m:t>H</m:t>
                        </m:r>
                      </m:sub>
                    </m:sSub>
                  </m:e>
                </m:mr>
                <m:mr>
                  <m:e>
                    <m:r>
                      <m:rPr>
                        <m:nor/>
                        <m:sty m:val="p"/>
                      </m:rPr>
                      <m:t>interpolate from 0.5 to 1.0</m:t>
                    </m:r>
                  </m:e>
                  <m:e>
                    <m:r>
                      <m:rPr>
                        <m:nor/>
                        <m:sty m:val="p"/>
                      </m:rPr>
                      <m:t>if </m:t>
                    </m:r>
                    <m:sSub>
                      <m:e>
                        <m:r>
                          <m:t>t</m:t>
                        </m:r>
                      </m:e>
                      <m:sub>
                        <m:r>
                          <m:t>L</m:t>
                        </m:r>
                      </m:sub>
                    </m:sSub>
                    <m:r>
                      <m:rPr>
                        <m:sty m:val="p"/>
                      </m:rPr>
                      <m:t>≤</m:t>
                    </m:r>
                    <m:r>
                      <m:t>x</m:t>
                    </m:r>
                    <m:r>
                      <m:rPr>
                        <m:sty m:val="p"/>
                      </m:rPr>
                      <m:t>&lt;</m:t>
                    </m:r>
                    <m:sSub>
                      <m:e>
                        <m:r>
                          <m:t>a</m:t>
                        </m:r>
                      </m:e>
                      <m:sub>
                        <m:r>
                          <m:t>L</m:t>
                        </m:r>
                      </m:sub>
                    </m:sSub>
                    <m:r>
                      <m:rPr>
                        <m:nor/>
                        <m:sty m:val="p"/>
                      </m:rPr>
                      <m:t> or </m:t>
                    </m:r>
                    <m:sSub>
                      <m:e>
                        <m:r>
                          <m:t>a</m:t>
                        </m:r>
                      </m:e>
                      <m:sub>
                        <m:r>
                          <m:t>H</m:t>
                        </m:r>
                      </m:sub>
                    </m:sSub>
                    <m:r>
                      <m:rPr>
                        <m:sty m:val="p"/>
                      </m:rPr>
                      <m:t>&lt;</m:t>
                    </m:r>
                    <m:r>
                      <m:t>x</m:t>
                    </m:r>
                    <m:r>
                      <m:rPr>
                        <m:sty m:val="p"/>
                      </m:rPr>
                      <m:t>≤</m:t>
                    </m:r>
                    <m:sSub>
                      <m:e>
                        <m:r>
                          <m:t>t</m:t>
                        </m:r>
                      </m:e>
                      <m:sub>
                        <m:r>
                          <m:t>H</m:t>
                        </m:r>
                      </m:sub>
                    </m:sSub>
                  </m:e>
                </m:mr>
                <m:mr>
                  <m:e>
                    <m:r>
                      <m:rPr>
                        <m:nor/>
                        <m:sty m:val="p"/>
                      </m:rPr>
                      <m:t>interpolate from 0.0 to 0.5</m:t>
                    </m:r>
                  </m:e>
                  <m:e>
                    <m:r>
                      <m:rPr>
                        <m:nor/>
                        <m:sty m:val="p"/>
                      </m:rPr>
                      <m:t>if </m:t>
                    </m:r>
                    <m:sSub>
                      <m:e>
                        <m:r>
                          <m:t>b</m:t>
                        </m:r>
                      </m:e>
                      <m:sub>
                        <m:r>
                          <m:t>L</m:t>
                        </m:r>
                      </m:sub>
                    </m:sSub>
                    <m:r>
                      <m:rPr>
                        <m:sty m:val="p"/>
                      </m:rPr>
                      <m:t>≤</m:t>
                    </m:r>
                    <m:r>
                      <m:t>x</m:t>
                    </m:r>
                    <m:r>
                      <m:rPr>
                        <m:sty m:val="p"/>
                      </m:rPr>
                      <m:t>&lt;</m:t>
                    </m:r>
                    <m:sSub>
                      <m:e>
                        <m:r>
                          <m:t>t</m:t>
                        </m:r>
                      </m:e>
                      <m:sub>
                        <m:r>
                          <m:t>L</m:t>
                        </m:r>
                      </m:sub>
                    </m:sSub>
                    <m:r>
                      <m:rPr>
                        <m:nor/>
                        <m:sty m:val="p"/>
                      </m:rPr>
                      <m:t> or </m:t>
                    </m:r>
                    <m:sSub>
                      <m:e>
                        <m:r>
                          <m:t>t</m:t>
                        </m:r>
                      </m:e>
                      <m:sub>
                        <m:r>
                          <m:t>H</m:t>
                        </m:r>
                      </m:sub>
                    </m:sSub>
                    <m:r>
                      <m:rPr>
                        <m:sty m:val="p"/>
                      </m:rPr>
                      <m:t>&lt;</m:t>
                    </m:r>
                    <m:r>
                      <m:t>x</m:t>
                    </m:r>
                    <m:r>
                      <m:rPr>
                        <m:sty m:val="p"/>
                      </m:rPr>
                      <m:t>≤</m:t>
                    </m:r>
                    <m:sSub>
                      <m:e>
                        <m:r>
                          <m:t>b</m:t>
                        </m:r>
                      </m:e>
                      <m:sub>
                        <m:r>
                          <m:t>H</m:t>
                        </m:r>
                      </m:sub>
                    </m:sSub>
                  </m:e>
                </m:mr>
                <m:mr>
                  <m:e>
                    <m:r>
                      <m:t>0.0</m:t>
                    </m:r>
                  </m:e>
                  <m:e>
                    <m:r>
                      <m:rPr>
                        <m:nor/>
                        <m:sty m:val="p"/>
                      </m:rPr>
                      <m:t>if </m:t>
                    </m:r>
                    <m:r>
                      <m:t>x</m:t>
                    </m:r>
                    <m:r>
                      <m:rPr>
                        <m:sty m:val="p"/>
                      </m:rPr>
                      <m:t>&lt;</m:t>
                    </m:r>
                    <m:sSub>
                      <m:e>
                        <m:r>
                          <m:t>b</m:t>
                        </m:r>
                      </m:e>
                      <m:sub>
                        <m:r>
                          <m:t>L</m:t>
                        </m:r>
                      </m:sub>
                    </m:sSub>
                    <m:r>
                      <m:rPr>
                        <m:nor/>
                        <m:sty m:val="p"/>
                      </m:rPr>
                      <m:t> or </m:t>
                    </m:r>
                    <m:r>
                      <m:t>x</m:t>
                    </m:r>
                    <m:r>
                      <m:rPr>
                        <m:sty m:val="p"/>
                      </m:rPr>
                      <m:t>&gt;</m:t>
                    </m:r>
                    <m:sSub>
                      <m:e>
                        <m:r>
                          <m:t>b</m:t>
                        </m:r>
                      </m:e>
                      <m:sub>
                        <m:r>
                          <m:t>H</m:t>
                        </m:r>
                      </m:sub>
                    </m:sSub>
                  </m:e>
                </m:mr>
              </m:m>
            </m:e>
          </m:d>
        </m:oMath>
      </m:oMathPara>
    </w:p>
    <w:bookmarkEnd w:id="63"/>
    <w:bookmarkEnd w:id="64"/>
    <w:bookmarkStart w:id="65" w:name="pillar-composite-scores"/>
    <w:p>
      <w:pPr>
        <w:pStyle w:val="Heading3"/>
      </w:pPr>
      <w:r>
        <w:t xml:space="preserve">5.2 Pillar Composite Scores</w:t>
      </w:r>
    </w:p>
    <w:p>
      <w:pPr>
        <w:pStyle w:val="FirstParagraph"/>
      </w:pPr>
      <w:r>
        <w:t xml:space="preserve">Each pillar’s composite score is the equally-weighted average of its constituent indicator scores, computed over</w:t>
      </w:r>
      <w:r>
        <w:t xml:space="preserve"> </w:t>
      </w:r>
      <w:r>
        <w:rPr>
          <w:bCs/>
          <w:b/>
        </w:rPr>
        <w:t xml:space="preserve">only those indicators with available data</w:t>
      </w:r>
      <w:r>
        <w:t xml:space="preserve">. Missing indicators are excluded (not defaulted to 0.5) to prevent dilution of real signals.</w:t>
      </w:r>
    </w:p>
    <w:p>
      <w:pPr>
        <w:pStyle w:val="BodyText"/>
      </w:pPr>
      <m:oMathPara>
        <m:oMathParaPr>
          <m:jc m:val="center"/>
        </m:oMathParaPr>
        <m:oMath>
          <m:sSub>
            <m:e>
              <m:r>
                <m:rPr>
                  <m:nor/>
                  <m:sty m:val="p"/>
                </m:rPr>
                <m:t>Pillar</m:t>
              </m:r>
            </m:e>
            <m:sub>
              <m:r>
                <m:t>j</m:t>
              </m:r>
            </m:sub>
          </m:sSub>
          <m:r>
            <m:rPr>
              <m:sty m:val="p"/>
            </m:rPr>
            <m:t>=</m:t>
          </m:r>
          <m:f>
            <m:fPr>
              <m:type m:val="bar"/>
            </m:fPr>
            <m:num>
              <m:r>
                <m:t>1</m:t>
              </m:r>
            </m:num>
            <m:den>
              <m:d>
                <m:dPr>
                  <m:begChr m:val="|"/>
                  <m:endChr m:val="|"/>
                  <m:sepChr m:val=""/>
                  <m:grow/>
                </m:dPr>
                <m:e>
                  <m:sSub>
                    <m:e>
                      <m:r>
                        <m:rPr>
                          <m:sty m:val="p"/>
                          <m:scr m:val="script"/>
                        </m:rPr>
                        <m:t>I</m:t>
                      </m:r>
                    </m:e>
                    <m:sub>
                      <m:r>
                        <m:t>j</m:t>
                      </m:r>
                    </m:sub>
                  </m:sSub>
                </m:e>
              </m:d>
            </m:den>
          </m:f>
          <m:nary>
            <m:naryPr>
              <m:chr m:val="∑"/>
              <m:limLoc m:val="undOvr"/>
              <m:subHide m:val="off"/>
              <m:supHide m:val="on"/>
            </m:naryPr>
            <m:sub>
              <m:r>
                <m:t>i</m:t>
              </m:r>
              <m:r>
                <m:rPr>
                  <m:sty m:val="p"/>
                </m:rPr>
                <m:t>∈</m:t>
              </m:r>
              <m:sSub>
                <m:e>
                  <m:r>
                    <m:rPr>
                      <m:sty m:val="p"/>
                      <m:scr m:val="script"/>
                    </m:rPr>
                    <m:t>I</m:t>
                  </m:r>
                </m:e>
                <m:sub>
                  <m:r>
                    <m:t>j</m:t>
                  </m:r>
                </m:sub>
              </m:sSub>
            </m:sub>
            <m:sup>
              <m:r>
                <m:t>​</m:t>
              </m:r>
            </m:sup>
            <m:e>
              <m:sSub>
                <m:e>
                  <m:r>
                    <m:t>s</m:t>
                  </m:r>
                </m:e>
                <m:sub>
                  <m:r>
                    <m:t>i</m:t>
                  </m:r>
                </m:sub>
              </m:sSub>
            </m:e>
          </m:nary>
        </m:oMath>
      </m:oMathPara>
    </w:p>
    <w:p>
      <w:pPr>
        <w:pStyle w:val="FirstParagraph"/>
      </w:pPr>
      <w:r>
        <w:t xml:space="preserve">where</w:t>
      </w:r>
      <w:r>
        <w:t xml:space="preserve"> </w:t>
      </w:r>
      <m:oMath>
        <m:sSub>
          <m:e>
            <m:r>
              <m:rPr>
                <m:sty m:val="p"/>
                <m:scr m:val="script"/>
              </m:rPr>
              <m:t>I</m:t>
            </m:r>
          </m:e>
          <m:sub>
            <m:r>
              <m:t>j</m:t>
            </m:r>
          </m:sub>
        </m:sSub>
      </m:oMath>
      <w:r>
        <w:t xml:space="preserve"> </w:t>
      </w:r>
      <w:r>
        <w:t xml:space="preserve">is the set of indicators with non-null values for pillar</w:t>
      </w:r>
      <w:r>
        <w:t xml:space="preserve"> </w:t>
      </w:r>
      <m:oMath>
        <m:r>
          <m:t>j</m:t>
        </m:r>
      </m:oMath>
      <w:r>
        <w:t xml:space="preserve">.</w:t>
      </w:r>
    </w:p>
    <w:p>
      <w:r>
        <w:pict>
          <v:rect style="width:0;height:1.5pt" o:hralign="center" o:hrstd="t" o:hr="t"/>
        </w:pict>
      </w:r>
    </w:p>
    <w:bookmarkEnd w:id="65"/>
    <w:bookmarkEnd w:id="66"/>
    <w:bookmarkStart w:id="77" w:name="composite-mac-calculation"/>
    <w:p>
      <w:pPr>
        <w:pStyle w:val="Heading2"/>
      </w:pPr>
      <w:r>
        <w:t xml:space="preserve">6. Composite MAC Calculation</w:t>
      </w:r>
    </w:p>
    <w:bookmarkStart w:id="67" w:name="weighted-average"/>
    <w:p>
      <w:pPr>
        <w:pStyle w:val="Heading3"/>
      </w:pPr>
      <w:r>
        <w:t xml:space="preserve">6.1 Weighted Average</w:t>
      </w:r>
    </w:p>
    <w:p>
      <w:pPr>
        <w:pStyle w:val="FirstParagraph"/>
      </w:pPr>
      <w:r>
        <w:t xml:space="preserve">The composite MAC score is a weighted average of pillar scores:</w:t>
      </w:r>
    </w:p>
    <w:p>
      <w:pPr>
        <w:pStyle w:val="BodyText"/>
      </w:pPr>
      <m:oMathPara>
        <m:oMathParaPr>
          <m:jc m:val="center"/>
        </m:oMathParaPr>
        <m:oMath>
          <m:sSub>
            <m:e>
              <m:r>
                <m:rPr>
                  <m:nor/>
                  <m:sty m:val="p"/>
                </m:rPr>
                <m:t>MAC</m:t>
              </m:r>
            </m:e>
            <m:sub>
              <m:r>
                <m:rPr>
                  <m:nor/>
                  <m:sty m:val="p"/>
                </m:rPr>
                <m:t>raw</m:t>
              </m:r>
            </m:sub>
          </m:sSub>
          <m:r>
            <m:rPr>
              <m:sty m:val="p"/>
            </m:rPr>
            <m:t>=</m:t>
          </m:r>
          <m:nary>
            <m:naryPr>
              <m:chr m:val="∑"/>
              <m:limLoc m:val="undOvr"/>
              <m:subHide m:val="off"/>
              <m:supHide m:val="off"/>
            </m:naryPr>
            <m:sub>
              <m:r>
                <m:t>j</m:t>
              </m:r>
              <m:r>
                <m:rPr>
                  <m:sty m:val="p"/>
                </m:rPr>
                <m:t>=</m:t>
              </m:r>
              <m:r>
                <m:t>1</m:t>
              </m:r>
            </m:sub>
            <m:sup>
              <m:r>
                <m:t>P</m:t>
              </m:r>
            </m:sup>
            <m:e>
              <m:sSub>
                <m:e>
                  <m:r>
                    <m:t>w</m:t>
                  </m:r>
                </m:e>
                <m:sub>
                  <m:r>
                    <m:t>j</m:t>
                  </m:r>
                </m:sub>
              </m:sSub>
            </m:e>
          </m:nary>
          <m:r>
            <m:rPr>
              <m:sty m:val="p"/>
            </m:rPr>
            <m:t>⋅</m:t>
          </m:r>
          <m:sSub>
            <m:e>
              <m:r>
                <m:rPr>
                  <m:nor/>
                  <m:sty m:val="p"/>
                </m:rPr>
                <m:t>Pillar</m:t>
              </m:r>
            </m:e>
            <m:sub>
              <m:r>
                <m:t>j</m:t>
              </m:r>
            </m:sub>
          </m:sSub>
        </m:oMath>
      </m:oMathPara>
    </w:p>
    <w:p>
      <w:pPr>
        <w:pStyle w:val="FirstParagraph"/>
      </w:pPr>
      <w:r>
        <w:t xml:space="preserve">where</w:t>
      </w:r>
      <w:r>
        <w:t xml:space="preserve"> </w:t>
      </w:r>
      <m:oMath>
        <m:r>
          <m:t>P</m:t>
        </m:r>
      </m:oMath>
      <w:r>
        <w:t xml:space="preserve"> </w:t>
      </w:r>
      <w:r>
        <w:t xml:space="preserve">is the number of active pillars (those with real data) and weights</w:t>
      </w:r>
      <w:r>
        <w:t xml:space="preserve"> </w:t>
      </w:r>
      <m:oMath>
        <m:sSub>
          <m:e>
            <m:r>
              <m:t>w</m:t>
            </m:r>
          </m:e>
          <m:sub>
            <m:r>
              <m:t>j</m:t>
            </m:r>
          </m:sub>
        </m:sSub>
      </m:oMath>
      <w:r>
        <w:t xml:space="preserve"> </w:t>
      </w:r>
      <w:r>
        <w:t xml:space="preserve">sum to 1.0. Weights are normalised over active pillars only.</w:t>
      </w:r>
    </w:p>
    <w:bookmarkEnd w:id="67"/>
    <w:bookmarkStart w:id="68" w:name="weight-selection"/>
    <w:p>
      <w:pPr>
        <w:pStyle w:val="Heading3"/>
      </w:pPr>
      <w:r>
        <w:t xml:space="preserve">6.2 Weight Selection</w:t>
      </w:r>
    </w:p>
    <w:p>
      <w:pPr>
        <w:pStyle w:val="FirstParagraph"/>
      </w:pPr>
      <w:r>
        <w:t xml:space="preserve">The framework chooses weights based on the current date and stress pattern:</w:t>
      </w:r>
    </w:p>
    <w:tbl>
      <w:tblPr>
        <w:tblStyle w:val="Table"/>
        <w:tblW w:type="pct" w:w="5000"/>
        <w:tblLook w:firstRow="1" w:lastRow="0" w:firstColumn="0" w:lastColumn="0" w:noHBand="0" w:noVBand="0" w:val="0020"/>
        <w:jc w:val="start"/>
      </w:tblPr>
      <w:tblGrid>
        <w:gridCol w:w="3630"/>
        <w:gridCol w:w="4290"/>
      </w:tblGrid>
      <w:tr>
        <w:trPr>
          <w:tblHeader w:val="true"/>
        </w:trPr>
        <w:tc>
          <w:tcPr/>
          <w:p>
            <w:pPr>
              <w:pStyle w:val="Compact"/>
              <w:jc w:val="left"/>
            </w:pPr>
            <w:r>
              <w:t xml:space="preserve">Condition</w:t>
            </w:r>
          </w:p>
        </w:tc>
        <w:tc>
          <w:tcPr/>
          <w:p>
            <w:pPr>
              <w:pStyle w:val="Compact"/>
              <w:jc w:val="left"/>
            </w:pPr>
            <w:r>
              <w:t xml:space="preserve">Weights Used</w:t>
            </w:r>
          </w:p>
        </w:tc>
      </w:tr>
      <w:tr>
        <w:tc>
          <w:tcPr/>
          <w:p>
            <w:pPr>
              <w:pStyle w:val="Compact"/>
              <w:jc w:val="left"/>
            </w:pPr>
            <w:r>
              <w:t xml:space="preserve">2006+ with amplification conditions</w:t>
            </w:r>
          </w:p>
        </w:tc>
        <w:tc>
          <w:tcPr/>
          <w:p>
            <w:pPr>
              <w:pStyle w:val="Compact"/>
              <w:jc w:val="left"/>
            </w:pPr>
            <w:r>
              <w:t xml:space="preserve">Interaction-adjusted ML weights</w:t>
            </w:r>
          </w:p>
        </w:tc>
      </w:tr>
      <w:tr>
        <w:tc>
          <w:tcPr/>
          <w:p>
            <w:pPr>
              <w:pStyle w:val="Compact"/>
              <w:jc w:val="left"/>
            </w:pPr>
            <w:r>
              <w:t xml:space="preserve">2006+ normal conditions</w:t>
            </w:r>
          </w:p>
        </w:tc>
        <w:tc>
          <w:tcPr/>
          <w:p>
            <w:pPr>
              <w:pStyle w:val="Compact"/>
              <w:jc w:val="left"/>
            </w:pPr>
            <w:r>
              <w:t xml:space="preserve">ML-optimised weights</w:t>
            </w:r>
          </w:p>
        </w:tc>
      </w:tr>
      <w:tr>
        <w:tc>
          <w:tcPr/>
          <w:p>
            <w:pPr>
              <w:pStyle w:val="Compact"/>
              <w:jc w:val="left"/>
            </w:pPr>
            <w:r>
              <w:t xml:space="preserve">Pre-1971</w:t>
            </w:r>
          </w:p>
        </w:tc>
        <w:tc>
          <w:tcPr/>
          <w:p>
            <w:pPr>
              <w:pStyle w:val="Compact"/>
              <w:jc w:val="left"/>
            </w:pPr>
            <w:r>
              <w:t xml:space="preserve">Era-specific weights (see §12)</w:t>
            </w:r>
          </w:p>
        </w:tc>
      </w:tr>
      <w:tr>
        <w:tc>
          <w:tcPr/>
          <w:p>
            <w:pPr>
              <w:pStyle w:val="Compact"/>
              <w:jc w:val="left"/>
            </w:pPr>
            <w:r>
              <w:t xml:space="preserve">Default / fallback</w:t>
            </w:r>
          </w:p>
        </w:tc>
        <w:tc>
          <w:tcPr/>
          <w:p>
            <w:pPr>
              <w:pStyle w:val="Compact"/>
              <w:jc w:val="left"/>
            </w:pPr>
            <w:r>
              <w:t xml:space="preserve">Equal weights (1/P)</w:t>
            </w:r>
          </w:p>
        </w:tc>
      </w:tr>
    </w:tbl>
    <w:p>
      <w:pPr>
        <w:pStyle w:val="BodyText"/>
      </w:pPr>
      <w:r>
        <w:rPr>
          <w:bCs/>
          <w:b/>
        </w:rPr>
        <w:t xml:space="preserve">7-Pillar ML-Optimised Weights:</w:t>
      </w:r>
    </w:p>
    <w:tbl>
      <w:tblPr>
        <w:tblStyle w:val="Table"/>
        <w:tblW w:type="pct" w:w="5000"/>
        <w:tblLook w:firstRow="1" w:lastRow="0" w:firstColumn="0" w:lastColumn="0" w:noHBand="0" w:noVBand="0" w:val="0020"/>
        <w:jc w:val="start"/>
      </w:tblPr>
      <w:tblGrid>
        <w:gridCol w:w="2346"/>
        <w:gridCol w:w="2346"/>
        <w:gridCol w:w="3226"/>
      </w:tblGrid>
      <w:tr>
        <w:trPr>
          <w:tblHeader w:val="true"/>
        </w:trPr>
        <w:tc>
          <w:tcPr/>
          <w:p>
            <w:pPr>
              <w:pStyle w:val="Compact"/>
              <w:jc w:val="left"/>
            </w:pPr>
            <w:r>
              <w:t xml:space="preserve">Pillar</w:t>
            </w:r>
          </w:p>
        </w:tc>
        <w:tc>
          <w:tcPr/>
          <w:p>
            <w:pPr>
              <w:pStyle w:val="Compact"/>
              <w:jc w:val="left"/>
            </w:pPr>
            <w:r>
              <w:t xml:space="preserve">Weight</w:t>
            </w:r>
          </w:p>
        </w:tc>
        <w:tc>
          <w:tcPr/>
          <w:p>
            <w:pPr>
              <w:pStyle w:val="Compact"/>
              <w:jc w:val="left"/>
            </w:pPr>
            <w:r>
              <w:t xml:space="preserve">Rationale</w:t>
            </w:r>
          </w:p>
        </w:tc>
      </w:tr>
      <w:tr>
        <w:tc>
          <w:tcPr/>
          <w:p>
            <w:pPr>
              <w:pStyle w:val="Compact"/>
              <w:jc w:val="left"/>
            </w:pPr>
            <w:r>
              <w:t xml:space="preserve">Positioning</w:t>
            </w:r>
          </w:p>
        </w:tc>
        <w:tc>
          <w:tcPr/>
          <w:p>
            <w:pPr>
              <w:pStyle w:val="Compact"/>
              <w:jc w:val="left"/>
            </w:pPr>
            <w:r>
              <w:rPr>
                <w:bCs/>
                <w:b/>
              </w:rPr>
              <w:t xml:space="preserve">22%</w:t>
            </w:r>
          </w:p>
        </w:tc>
        <w:tc>
          <w:tcPr/>
          <w:p>
            <w:pPr>
              <w:pStyle w:val="Compact"/>
              <w:jc w:val="left"/>
            </w:pPr>
            <w:r>
              <w:t xml:space="preserve">Key predictor of hedge failure (100% correlation)</w:t>
            </w:r>
          </w:p>
        </w:tc>
      </w:tr>
      <w:tr>
        <w:tc>
          <w:tcPr/>
          <w:p>
            <w:pPr>
              <w:pStyle w:val="Compact"/>
              <w:jc w:val="left"/>
            </w:pPr>
            <w:r>
              <w:t xml:space="preserve">Liquidity</w:t>
            </w:r>
          </w:p>
        </w:tc>
        <w:tc>
          <w:tcPr/>
          <w:p>
            <w:pPr>
              <w:pStyle w:val="Compact"/>
              <w:jc w:val="left"/>
            </w:pPr>
            <w:r>
              <w:t xml:space="preserve">16%</w:t>
            </w:r>
          </w:p>
        </w:tc>
        <w:tc>
          <w:tcPr/>
          <w:p>
            <w:pPr>
              <w:pStyle w:val="Compact"/>
              <w:jc w:val="left"/>
            </w:pPr>
            <w:r>
              <w:t xml:space="preserve">Critical for funding stress detection</w:t>
            </w:r>
          </w:p>
        </w:tc>
      </w:tr>
      <w:tr>
        <w:tc>
          <w:tcPr/>
          <w:p>
            <w:pPr>
              <w:pStyle w:val="Compact"/>
              <w:jc w:val="left"/>
            </w:pPr>
            <w:r>
              <w:t xml:space="preserve">Contagion</w:t>
            </w:r>
          </w:p>
        </w:tc>
        <w:tc>
          <w:tcPr/>
          <w:p>
            <w:pPr>
              <w:pStyle w:val="Compact"/>
              <w:jc w:val="left"/>
            </w:pPr>
            <w:r>
              <w:t xml:space="preserve">16%</w:t>
            </w:r>
          </w:p>
        </w:tc>
        <w:tc>
          <w:tcPr/>
          <w:p>
            <w:pPr>
              <w:pStyle w:val="Compact"/>
              <w:jc w:val="left"/>
            </w:pPr>
            <w:r>
              <w:t xml:space="preserve">Distinguishes global vs. local crises</w:t>
            </w:r>
          </w:p>
        </w:tc>
      </w:tr>
      <w:tr>
        <w:tc>
          <w:tcPr/>
          <w:p>
            <w:pPr>
              <w:pStyle w:val="Compact"/>
              <w:jc w:val="left"/>
            </w:pPr>
            <w:r>
              <w:t xml:space="preserve">Volatility</w:t>
            </w:r>
          </w:p>
        </w:tc>
        <w:tc>
          <w:tcPr/>
          <w:p>
            <w:pPr>
              <w:pStyle w:val="Compact"/>
              <w:jc w:val="left"/>
            </w:pPr>
            <w:r>
              <w:t xml:space="preserve">15%</w:t>
            </w:r>
          </w:p>
        </w:tc>
        <w:tc>
          <w:tcPr/>
          <w:p>
            <w:pPr>
              <w:pStyle w:val="Compact"/>
              <w:jc w:val="left"/>
            </w:pPr>
            <w:r>
              <w:t xml:space="preserve">Ubiquitous (breached in 9/14) but not predictive alone</w:t>
            </w:r>
          </w:p>
        </w:tc>
      </w:tr>
      <w:tr>
        <w:tc>
          <w:tcPr/>
          <w:p>
            <w:pPr>
              <w:pStyle w:val="Compact"/>
              <w:jc w:val="left"/>
            </w:pPr>
            <w:r>
              <w:t xml:space="preserve">Private Credit</w:t>
            </w:r>
          </w:p>
        </w:tc>
        <w:tc>
          <w:tcPr/>
          <w:p>
            <w:pPr>
              <w:pStyle w:val="Compact"/>
              <w:jc w:val="left"/>
            </w:pPr>
            <w:r>
              <w:t xml:space="preserve">12%</w:t>
            </w:r>
          </w:p>
        </w:tc>
        <w:tc>
          <w:tcPr/>
          <w:p>
            <w:pPr>
              <w:pStyle w:val="Compact"/>
              <w:jc w:val="left"/>
            </w:pPr>
            <w:r>
              <w:t xml:space="preserve">Leading indicator for credit cycle</w:t>
            </w:r>
          </w:p>
        </w:tc>
      </w:tr>
      <w:tr>
        <w:tc>
          <w:tcPr/>
          <w:p>
            <w:pPr>
              <w:pStyle w:val="Compact"/>
              <w:jc w:val="left"/>
            </w:pPr>
            <w:r>
              <w:t xml:space="preserve">Valuation</w:t>
            </w:r>
          </w:p>
        </w:tc>
        <w:tc>
          <w:tcPr/>
          <w:p>
            <w:pPr>
              <w:pStyle w:val="Compact"/>
              <w:jc w:val="left"/>
            </w:pPr>
            <w:r>
              <w:t xml:space="preserve">10%</w:t>
            </w:r>
          </w:p>
        </w:tc>
        <w:tc>
          <w:tcPr/>
          <w:p>
            <w:pPr>
              <w:pStyle w:val="Compact"/>
              <w:jc w:val="left"/>
            </w:pPr>
            <w:r>
              <w:t xml:space="preserve">Only breaches in extreme crises (2/14)</w:t>
            </w:r>
          </w:p>
        </w:tc>
      </w:tr>
      <w:tr>
        <w:tc>
          <w:tcPr/>
          <w:p>
            <w:pPr>
              <w:pStyle w:val="Compact"/>
              <w:jc w:val="left"/>
            </w:pPr>
            <w:r>
              <w:t xml:space="preserve">Policy</w:t>
            </w:r>
          </w:p>
        </w:tc>
        <w:tc>
          <w:tcPr/>
          <w:p>
            <w:pPr>
              <w:pStyle w:val="Compact"/>
              <w:jc w:val="left"/>
            </w:pPr>
            <w:r>
              <w:rPr>
                <w:bCs/>
                <w:b/>
              </w:rPr>
              <w:t xml:space="preserve">9%</w:t>
            </w:r>
          </w:p>
        </w:tc>
        <w:tc>
          <w:tcPr/>
          <w:p>
            <w:pPr>
              <w:pStyle w:val="Compact"/>
              <w:jc w:val="left"/>
            </w:pPr>
            <w:r>
              <w:t xml:space="preserve">Never breached in the 14-scenario training set</w:t>
            </w:r>
          </w:p>
        </w:tc>
      </w:tr>
    </w:tbl>
    <w:p>
      <w:pPr>
        <w:pStyle w:val="BodyText"/>
      </w:pPr>
      <w:r>
        <w:rPr>
          <w:bCs/>
          <w:b/>
        </w:rPr>
        <w:t xml:space="preserve">Interaction-Adjusted Weights</w:t>
      </w:r>
      <w:r>
        <w:t xml:space="preserve"> </w:t>
      </w:r>
      <w:r>
        <w:t xml:space="preserve">(activated when positioning + vol/liquidity/contagion are jointly stressed):</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Pillar</w:t>
            </w:r>
          </w:p>
        </w:tc>
        <w:tc>
          <w:tcPr/>
          <w:p>
            <w:pPr>
              <w:pStyle w:val="Compact"/>
              <w:jc w:val="left"/>
            </w:pPr>
            <w:r>
              <w:t xml:space="preserve">Weight</w:t>
            </w:r>
          </w:p>
        </w:tc>
      </w:tr>
      <w:tr>
        <w:tc>
          <w:tcPr/>
          <w:p>
            <w:pPr>
              <w:pStyle w:val="Compact"/>
              <w:jc w:val="left"/>
            </w:pPr>
            <w:r>
              <w:t xml:space="preserve">Positioning</w:t>
            </w:r>
          </w:p>
        </w:tc>
        <w:tc>
          <w:tcPr/>
          <w:p>
            <w:pPr>
              <w:pStyle w:val="Compact"/>
              <w:jc w:val="left"/>
            </w:pPr>
            <w:r>
              <w:rPr>
                <w:bCs/>
                <w:b/>
              </w:rPr>
              <w:t xml:space="preserve">24%</w:t>
            </w:r>
          </w:p>
        </w:tc>
      </w:tr>
      <w:tr>
        <w:tc>
          <w:tcPr/>
          <w:p>
            <w:pPr>
              <w:pStyle w:val="Compact"/>
              <w:jc w:val="left"/>
            </w:pPr>
            <w:r>
              <w:t xml:space="preserve">Contagion</w:t>
            </w:r>
          </w:p>
        </w:tc>
        <w:tc>
          <w:tcPr/>
          <w:p>
            <w:pPr>
              <w:pStyle w:val="Compact"/>
              <w:jc w:val="left"/>
            </w:pPr>
            <w:r>
              <w:rPr>
                <w:bCs/>
                <w:b/>
              </w:rPr>
              <w:t xml:space="preserve">18%</w:t>
            </w:r>
          </w:p>
        </w:tc>
      </w:tr>
      <w:tr>
        <w:tc>
          <w:tcPr/>
          <w:p>
            <w:pPr>
              <w:pStyle w:val="Compact"/>
              <w:jc w:val="left"/>
            </w:pPr>
            <w:r>
              <w:t xml:space="preserve">Volatility</w:t>
            </w:r>
          </w:p>
        </w:tc>
        <w:tc>
          <w:tcPr/>
          <w:p>
            <w:pPr>
              <w:pStyle w:val="Compact"/>
              <w:jc w:val="left"/>
            </w:pPr>
            <w:r>
              <w:t xml:space="preserve">16%</w:t>
            </w:r>
          </w:p>
        </w:tc>
      </w:tr>
      <w:tr>
        <w:tc>
          <w:tcPr/>
          <w:p>
            <w:pPr>
              <w:pStyle w:val="Compact"/>
              <w:jc w:val="left"/>
            </w:pPr>
            <w:r>
              <w:t xml:space="preserve">Liquidity</w:t>
            </w:r>
          </w:p>
        </w:tc>
        <w:tc>
          <w:tcPr/>
          <w:p>
            <w:pPr>
              <w:pStyle w:val="Compact"/>
              <w:jc w:val="left"/>
            </w:pPr>
            <w:r>
              <w:t xml:space="preserve">14%</w:t>
            </w:r>
          </w:p>
        </w:tc>
      </w:tr>
      <w:tr>
        <w:tc>
          <w:tcPr/>
          <w:p>
            <w:pPr>
              <w:pStyle w:val="Compact"/>
              <w:jc w:val="left"/>
            </w:pPr>
            <w:r>
              <w:t xml:space="preserve">Private Credit</w:t>
            </w:r>
          </w:p>
        </w:tc>
        <w:tc>
          <w:tcPr/>
          <w:p>
            <w:pPr>
              <w:pStyle w:val="Compact"/>
              <w:jc w:val="left"/>
            </w:pPr>
            <w:r>
              <w:t xml:space="preserve">12%</w:t>
            </w:r>
          </w:p>
        </w:tc>
      </w:tr>
      <w:tr>
        <w:tc>
          <w:tcPr/>
          <w:p>
            <w:pPr>
              <w:pStyle w:val="Compact"/>
              <w:jc w:val="left"/>
            </w:pPr>
            <w:r>
              <w:t xml:space="preserve">Valuation</w:t>
            </w:r>
          </w:p>
        </w:tc>
        <w:tc>
          <w:tcPr/>
          <w:p>
            <w:pPr>
              <w:pStyle w:val="Compact"/>
              <w:jc w:val="left"/>
            </w:pPr>
            <w:r>
              <w:t xml:space="preserve">9%</w:t>
            </w:r>
          </w:p>
        </w:tc>
      </w:tr>
      <w:tr>
        <w:tc>
          <w:tcPr/>
          <w:p>
            <w:pPr>
              <w:pStyle w:val="Compact"/>
              <w:jc w:val="left"/>
            </w:pPr>
            <w:r>
              <w:t xml:space="preserve">Policy</w:t>
            </w:r>
          </w:p>
        </w:tc>
        <w:tc>
          <w:tcPr/>
          <w:p>
            <w:pPr>
              <w:pStyle w:val="Compact"/>
              <w:jc w:val="left"/>
            </w:pPr>
            <w:r>
              <w:t xml:space="preserve">7%</w:t>
            </w:r>
          </w:p>
        </w:tc>
      </w:tr>
    </w:tbl>
    <w:bookmarkEnd w:id="68"/>
    <w:bookmarkStart w:id="74" w:name="non-linear-breach-interaction-penalty"/>
    <w:p>
      <w:pPr>
        <w:pStyle w:val="Heading3"/>
      </w:pPr>
      <w:r>
        <w:t xml:space="preserve">6.3 Non-Linear Breach Interaction Penalty</w:t>
      </w:r>
    </w:p>
    <w:bookmarkStart w:id="69" w:name="motivation"/>
    <w:p>
      <w:pPr>
        <w:pStyle w:val="Heading4"/>
      </w:pPr>
      <w:r>
        <w:t xml:space="preserve">6.3.1 Motivation</w:t>
      </w:r>
    </w:p>
    <w:p>
      <w:pPr>
        <w:pStyle w:val="FirstParagraph"/>
      </w:pPr>
      <w:r>
        <w:t xml:space="preserve">A weighted average of pillar scores treats each pillar’s contribution as additively separable — if liquidity is in breach and valuation is in breach, the weighted average simply reflects two low scores. But financial crises exhibit</w:t>
      </w:r>
      <w:r>
        <w:t xml:space="preserve"> </w:t>
      </w:r>
      <w:r>
        <w:rPr>
          <w:bCs/>
          <w:b/>
        </w:rPr>
        <w:t xml:space="preserve">super-linear compounding</w:t>
      </w:r>
      <w:r>
        <w:t xml:space="preserve">: simultaneous depletion of multiple buffers creates positive feedback loops that no single-pillar score captures. Liquidity breach alone means dealers are pulling back; positioning breach alone means leverage is elevated. Both breaching simultaneously means leveraged participants face margin calls</w:t>
      </w:r>
      <w:r>
        <w:t xml:space="preserve"> </w:t>
      </w:r>
      <w:r>
        <w:rPr>
          <w:iCs/>
          <w:i/>
        </w:rPr>
        <w:t xml:space="preserve">and</w:t>
      </w:r>
      <w:r>
        <w:t xml:space="preserve"> </w:t>
      </w:r>
      <w:r>
        <w:t xml:space="preserve">cannot exit positions without catastrophic price impact — a qualitatively different regime from either breach in isolation.</w:t>
      </w:r>
    </w:p>
    <w:p>
      <w:pPr>
        <w:pStyle w:val="BodyText"/>
      </w:pPr>
      <w:r>
        <w:t xml:space="preserve">The breach interaction penalty</w:t>
      </w:r>
      <w:r>
        <w:t xml:space="preserve"> </w:t>
      </w:r>
      <m:oMath>
        <m:r>
          <m:t>π</m:t>
        </m:r>
        <m:d>
          <m:dPr>
            <m:begChr m:val="("/>
            <m:endChr m:val=")"/>
            <m:sepChr m:val=""/>
            <m:grow/>
          </m:dPr>
          <m:e>
            <m:r>
              <m:t>n</m:t>
            </m:r>
          </m:e>
        </m:d>
      </m:oMath>
      <w:r>
        <w:t xml:space="preserve"> </w:t>
      </w:r>
      <w:r>
        <w:t xml:space="preserve">corrects for this by subtracting an additional amount from the weighted-average MAC score when multiple pillars are simultaneously in breach (score &lt; 0.30).</w:t>
      </w:r>
    </w:p>
    <w:bookmarkEnd w:id="69"/>
    <w:bookmarkStart w:id="70" w:name="combinatorial-derivation"/>
    <w:p>
      <w:pPr>
        <w:pStyle w:val="Heading4"/>
      </w:pPr>
      <w:r>
        <w:t xml:space="preserve">6.3.2 Combinatorial Derivation</w:t>
      </w:r>
    </w:p>
    <w:p>
      <w:pPr>
        <w:pStyle w:val="FirstParagraph"/>
      </w:pPr>
      <w:r>
        <w:t xml:space="preserve">The penalty is grounded in the following argument: if pillar breaches were independent events, simultaneous multi-pillar breaches would be rare. The degree to which the observed co-breach frequency exceeds the independence baseline measures the excess systemic risk that the weighted average fails to capture. The penalty should scale with this excess.</w:t>
      </w:r>
    </w:p>
    <w:p>
      <w:pPr>
        <w:pStyle w:val="BodyText"/>
      </w:pPr>
      <w:r>
        <w:rPr>
          <w:bCs/>
          <w:b/>
        </w:rPr>
        <w:t xml:space="preserve">Step 1 — Baseline breach probability.</w:t>
      </w:r>
      <w:r>
        <w:t xml:space="preserve"> </w:t>
      </w:r>
      <w:r>
        <w:t xml:space="preserve">From the 1971–2025 backtest (approximately 2,800 weekly observations), the marginal probability of any single pillar scoring below 0.30 on a given date is empirically estimated. Across the seven pillars, this rate varies, but for the combinatorial argument we use the pooled average:</w:t>
      </w:r>
    </w:p>
    <w:p>
      <w:pPr>
        <w:pStyle w:val="BodyText"/>
      </w:pPr>
      <m:oMathPara>
        <m:oMathParaPr>
          <m:jc m:val="center"/>
        </m:oMathParaPr>
        <m:oMath>
          <m:acc>
            <m:accPr>
              <m:chr m:val="̂"/>
            </m:accPr>
            <m:e>
              <m:r>
                <m:t>p</m:t>
              </m:r>
            </m:e>
          </m:acc>
          <m:r>
            <m:rPr>
              <m:sty m:val="p"/>
            </m:rPr>
            <m:t>=</m:t>
          </m:r>
          <m:f>
            <m:fPr>
              <m:type m:val="bar"/>
            </m:fPr>
            <m:num>
              <m:r>
                <m:t>1</m:t>
              </m:r>
            </m:num>
            <m:den>
              <m:r>
                <m:t>P</m:t>
              </m:r>
            </m:den>
          </m:f>
          <m:nary>
            <m:naryPr>
              <m:chr m:val="∑"/>
              <m:limLoc m:val="undOvr"/>
              <m:subHide m:val="off"/>
              <m:supHide m:val="off"/>
            </m:naryPr>
            <m:sub>
              <m:r>
                <m:t>j</m:t>
              </m:r>
              <m:r>
                <m:rPr>
                  <m:sty m:val="p"/>
                </m:rPr>
                <m:t>=</m:t>
              </m:r>
              <m:r>
                <m:t>1</m:t>
              </m:r>
            </m:sub>
            <m:sup>
              <m:r>
                <m:t>P</m:t>
              </m:r>
            </m:sup>
            <m:e>
              <m:sSub>
                <m:e>
                  <m:acc>
                    <m:accPr>
                      <m:chr m:val="̂"/>
                    </m:accPr>
                    <m:e>
                      <m:r>
                        <m:t>p</m:t>
                      </m:r>
                    </m:e>
                  </m:acc>
                </m:e>
                <m:sub>
                  <m:r>
                    <m:t>j</m:t>
                  </m:r>
                </m:sub>
              </m:sSub>
            </m:e>
          </m:nary>
        </m:oMath>
      </m:oMathPara>
    </w:p>
    <w:p>
      <w:pPr>
        <w:pStyle w:val="FirstParagraph"/>
      </w:pPr>
      <w:r>
        <w:t xml:space="preserve">where</w:t>
      </w:r>
      <w:r>
        <w:t xml:space="preserve"> </w:t>
      </w:r>
      <m:oMath>
        <m:sSub>
          <m:e>
            <m:acc>
              <m:accPr>
                <m:chr m:val="̂"/>
              </m:accPr>
              <m:e>
                <m:r>
                  <m:t>p</m:t>
                </m:r>
              </m:e>
            </m:acc>
          </m:e>
          <m:sub>
            <m:r>
              <m:t>j</m:t>
            </m:r>
          </m:sub>
        </m:sSub>
      </m:oMath>
      <w:r>
        <w:t xml:space="preserve"> </w:t>
      </w:r>
      <w:r>
        <w:t xml:space="preserve">is the fraction of observations in which pillar</w:t>
      </w:r>
      <w:r>
        <w:t xml:space="preserve"> </w:t>
      </w:r>
      <m:oMath>
        <m:r>
          <m:t>j</m:t>
        </m:r>
      </m:oMath>
      <w:r>
        <w:t xml:space="preserve"> </w:t>
      </w:r>
      <w:r>
        <w:t xml:space="preserve">scores below 0.30. Empirically,</w:t>
      </w:r>
      <w:r>
        <w:t xml:space="preserve"> </w:t>
      </w:r>
      <m:oMath>
        <m:acc>
          <m:accPr>
            <m:chr m:val="̂"/>
          </m:accPr>
          <m:e>
            <m:r>
              <m:t>p</m:t>
            </m:r>
          </m:e>
        </m:acc>
        <m:r>
          <m:rPr>
            <m:sty m:val="p"/>
          </m:rPr>
          <m:t>≈</m:t>
        </m:r>
        <m:r>
          <m:t>0.12</m:t>
        </m:r>
      </m:oMath>
      <w:r>
        <w:t xml:space="preserve"> </w:t>
      </w:r>
      <w:r>
        <w:t xml:space="preserve">(approximately 12% of observations for the average pillar).</w:t>
      </w:r>
    </w:p>
    <w:p>
      <w:pPr>
        <w:pStyle w:val="BodyText"/>
      </w:pPr>
      <w:r>
        <w:rPr>
          <w:bCs/>
          <w:b/>
        </w:rPr>
        <w:t xml:space="preserve">Step 2 — Expected co-breach frequency under independence.</w:t>
      </w:r>
      <w:r>
        <w:t xml:space="preserve"> </w:t>
      </w:r>
      <w:r>
        <w:t xml:space="preserve">If breaches were independent across pillars, the probability of exactly</w:t>
      </w:r>
      <w:r>
        <w:t xml:space="preserve"> </w:t>
      </w:r>
      <m:oMath>
        <m:r>
          <m:t>n</m:t>
        </m:r>
      </m:oMath>
      <w:r>
        <w:t xml:space="preserve"> </w:t>
      </w:r>
      <w:r>
        <w:t xml:space="preserve">pillars breaching simultaneously from</w:t>
      </w:r>
      <w:r>
        <w:t xml:space="preserve"> </w:t>
      </w:r>
      <m:oMath>
        <m:r>
          <m:t>P</m:t>
        </m:r>
        <m:r>
          <m:rPr>
            <m:sty m:val="p"/>
          </m:rPr>
          <m:t>=</m:t>
        </m:r>
        <m:r>
          <m:t>7</m:t>
        </m:r>
      </m:oMath>
      <w:r>
        <w:t xml:space="preserve"> </w:t>
      </w:r>
      <w:r>
        <w:t xml:space="preserve">would follow a Binomial distribution:</w:t>
      </w:r>
    </w:p>
    <w:p>
      <w:pPr>
        <w:pStyle w:val="BodyText"/>
      </w:pPr>
      <m:oMathPara>
        <m:oMathParaPr>
          <m:jc m:val="center"/>
        </m:oMathParaPr>
        <m:oMath>
          <m:sSub>
            <m:e>
              <m:r>
                <m:t>P</m:t>
              </m:r>
            </m:e>
            <m:sub>
              <m:r>
                <m:rPr>
                  <m:nor/>
                  <m:sty m:val="p"/>
                </m:rPr>
                <m:t>indep</m:t>
              </m:r>
            </m:sub>
          </m:sSub>
          <m:d>
            <m:dPr>
              <m:begChr m:val="("/>
              <m:endChr m:val=")"/>
              <m:sepChr m:val=""/>
              <m:grow/>
            </m:dPr>
            <m:e>
              <m:r>
                <m:t>n</m:t>
              </m:r>
            </m:e>
          </m:d>
          <m:r>
            <m:rPr>
              <m:sty m:val="p"/>
            </m:rPr>
            <m:t>=</m:t>
          </m:r>
          <m:d>
            <m:dPr>
              <m:begChr m:val="("/>
              <m:endChr m:val=")"/>
              <m:sepChr m:val=""/>
              <m:grow/>
            </m:dPr>
            <m:e>
              <m:f>
                <m:fPr>
                  <m:type m:val="noBar"/>
                </m:fPr>
                <m:num>
                  <m:r>
                    <m:t>7</m:t>
                  </m:r>
                </m:num>
                <m:den>
                  <m:r>
                    <m:t>n</m:t>
                  </m:r>
                </m:den>
              </m:f>
            </m:e>
          </m:d>
          <m:sSup>
            <m:e>
              <m:acc>
                <m:accPr>
                  <m:chr m:val="̂"/>
                </m:accPr>
                <m:e>
                  <m:r>
                    <m:t>p</m:t>
                  </m:r>
                </m:e>
              </m:acc>
            </m:e>
            <m:sup>
              <m:r>
                <m:t>n</m:t>
              </m:r>
            </m:sup>
          </m:sSup>
          <m:sSup>
            <m:e>
              <m:d>
                <m:dPr>
                  <m:begChr m:val="("/>
                  <m:endChr m:val=")"/>
                  <m:sepChr m:val=""/>
                  <m:grow/>
                </m:dPr>
                <m:e>
                  <m:r>
                    <m:t>1</m:t>
                  </m:r>
                  <m:r>
                    <m:rPr>
                      <m:sty m:val="p"/>
                    </m:rPr>
                    <m:t>−</m:t>
                  </m:r>
                  <m:acc>
                    <m:accPr>
                      <m:chr m:val="̂"/>
                    </m:accPr>
                    <m:e>
                      <m:r>
                        <m:t>p</m:t>
                      </m:r>
                    </m:e>
                  </m:acc>
                </m:e>
              </m:d>
            </m:e>
            <m:sup>
              <m:r>
                <m:t>7</m:t>
              </m:r>
              <m:r>
                <m:rPr>
                  <m:sty m:val="p"/>
                </m:rPr>
                <m:t>−</m:t>
              </m:r>
              <m:r>
                <m:t>n</m:t>
              </m:r>
            </m:sup>
          </m:sSup>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m:oMath>
              <m:r>
                <m:t>n</m:t>
              </m:r>
            </m:oMath>
          </w:p>
        </w:tc>
        <w:tc>
          <w:tcPr/>
          <w:p>
            <w:pPr>
              <w:pStyle w:val="Compact"/>
              <w:jc w:val="left"/>
            </w:pPr>
            <m:oMath>
              <m:sSub>
                <m:e>
                  <m:r>
                    <m:t>P</m:t>
                  </m:r>
                </m:e>
                <m:sub>
                  <m:r>
                    <m:rPr>
                      <m:nor/>
                      <m:sty m:val="p"/>
                    </m:rPr>
                    <m:t>indep</m:t>
                  </m:r>
                </m:sub>
              </m:sSub>
              <m:d>
                <m:dPr>
                  <m:begChr m:val="("/>
                  <m:endChr m:val=")"/>
                  <m:sepChr m:val=""/>
                  <m:grow/>
                </m:dPr>
                <m:e>
                  <m:r>
                    <m:t>n</m:t>
                  </m:r>
                </m:e>
              </m:d>
            </m:oMath>
          </w:p>
        </w:tc>
        <w:tc>
          <w:tcPr/>
          <w:p>
            <w:pPr>
              <w:pStyle w:val="Compact"/>
              <w:jc w:val="left"/>
            </w:pPr>
            <w:r>
              <w:t xml:space="preserve">Expected Frequency (per 2,800 obs)</w:t>
            </w:r>
          </w:p>
        </w:tc>
      </w:tr>
      <w:tr>
        <w:tc>
          <w:tcPr/>
          <w:p>
            <w:pPr>
              <w:pStyle w:val="Compact"/>
              <w:jc w:val="left"/>
            </w:pPr>
            <w:r>
              <w:t xml:space="preserve">0</w:t>
            </w:r>
          </w:p>
        </w:tc>
        <w:tc>
          <w:tcPr/>
          <w:p>
            <w:pPr>
              <w:pStyle w:val="Compact"/>
              <w:jc w:val="left"/>
            </w:pPr>
            <w:r>
              <w:t xml:space="preserve">0.409</w:t>
            </w:r>
          </w:p>
        </w:tc>
        <w:tc>
          <w:tcPr/>
          <w:p>
            <w:pPr>
              <w:pStyle w:val="Compact"/>
              <w:jc w:val="left"/>
            </w:pPr>
            <w:r>
              <w:t xml:space="preserve">~1,145</w:t>
            </w:r>
          </w:p>
        </w:tc>
      </w:tr>
      <w:tr>
        <w:tc>
          <w:tcPr/>
          <w:p>
            <w:pPr>
              <w:pStyle w:val="Compact"/>
              <w:jc w:val="left"/>
            </w:pPr>
            <w:r>
              <w:t xml:space="preserve">1</w:t>
            </w:r>
          </w:p>
        </w:tc>
        <w:tc>
          <w:tcPr/>
          <w:p>
            <w:pPr>
              <w:pStyle w:val="Compact"/>
              <w:jc w:val="left"/>
            </w:pPr>
            <w:r>
              <w:t xml:space="preserve">0.390</w:t>
            </w:r>
          </w:p>
        </w:tc>
        <w:tc>
          <w:tcPr/>
          <w:p>
            <w:pPr>
              <w:pStyle w:val="Compact"/>
              <w:jc w:val="left"/>
            </w:pPr>
            <w:r>
              <w:t xml:space="preserve">~1,092</w:t>
            </w:r>
          </w:p>
        </w:tc>
      </w:tr>
      <w:tr>
        <w:tc>
          <w:tcPr/>
          <w:p>
            <w:pPr>
              <w:pStyle w:val="Compact"/>
              <w:jc w:val="left"/>
            </w:pPr>
            <w:r>
              <w:t xml:space="preserve">2</w:t>
            </w:r>
          </w:p>
        </w:tc>
        <w:tc>
          <w:tcPr/>
          <w:p>
            <w:pPr>
              <w:pStyle w:val="Compact"/>
              <w:jc w:val="left"/>
            </w:pPr>
            <w:r>
              <w:t xml:space="preserve">0.159</w:t>
            </w:r>
          </w:p>
        </w:tc>
        <w:tc>
          <w:tcPr/>
          <w:p>
            <w:pPr>
              <w:pStyle w:val="Compact"/>
              <w:jc w:val="left"/>
            </w:pPr>
            <w:r>
              <w:t xml:space="preserve">~445</w:t>
            </w:r>
          </w:p>
        </w:tc>
      </w:tr>
      <w:tr>
        <w:tc>
          <w:tcPr/>
          <w:p>
            <w:pPr>
              <w:pStyle w:val="Compact"/>
              <w:jc w:val="left"/>
            </w:pPr>
            <w:r>
              <w:t xml:space="preserve">3</w:t>
            </w:r>
          </w:p>
        </w:tc>
        <w:tc>
          <w:tcPr/>
          <w:p>
            <w:pPr>
              <w:pStyle w:val="Compact"/>
              <w:jc w:val="left"/>
            </w:pPr>
            <w:r>
              <w:t xml:space="preserve">0.036</w:t>
            </w:r>
          </w:p>
        </w:tc>
        <w:tc>
          <w:tcPr/>
          <w:p>
            <w:pPr>
              <w:pStyle w:val="Compact"/>
              <w:jc w:val="left"/>
            </w:pPr>
            <w:r>
              <w:t xml:space="preserve">~101</w:t>
            </w:r>
          </w:p>
        </w:tc>
      </w:tr>
      <w:tr>
        <w:tc>
          <w:tcPr/>
          <w:p>
            <w:pPr>
              <w:pStyle w:val="Compact"/>
              <w:jc w:val="left"/>
            </w:pPr>
            <w:r>
              <w:t xml:space="preserve">4</w:t>
            </w:r>
          </w:p>
        </w:tc>
        <w:tc>
          <w:tcPr/>
          <w:p>
            <w:pPr>
              <w:pStyle w:val="Compact"/>
              <w:jc w:val="left"/>
            </w:pPr>
            <w:r>
              <w:t xml:space="preserve">0.0049</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0.0004</w:t>
            </w:r>
          </w:p>
        </w:tc>
        <w:tc>
          <w:tcPr/>
          <w:p>
            <w:pPr>
              <w:pStyle w:val="Compact"/>
              <w:jc w:val="left"/>
            </w:pPr>
            <w:r>
              <w:t xml:space="preserve">~1</w:t>
            </w:r>
          </w:p>
        </w:tc>
      </w:tr>
    </w:tbl>
    <w:p>
      <w:pPr>
        <w:pStyle w:val="BodyText"/>
      </w:pPr>
      <w:r>
        <w:rPr>
          <w:bCs/>
          <w:b/>
        </w:rPr>
        <w:t xml:space="preserve">Step 3 — Observed co-breach frequency.</w:t>
      </w:r>
      <w:r>
        <w:t xml:space="preserve"> </w:t>
      </w:r>
      <w:r>
        <w:t xml:space="preserve">In the actual backtest, multi-pillar breaches cluster around crisis episodes and occur far more frequently than the independence baseline predicts: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n</m:t>
              </m:r>
            </m:oMath>
          </w:p>
        </w:tc>
        <w:tc>
          <w:tcPr/>
          <w:p>
            <w:pPr>
              <w:pStyle w:val="Compact"/>
              <w:jc w:val="left"/>
            </w:pPr>
            <w:r>
              <w:t xml:space="preserve">Expected (Independent)</w:t>
            </w:r>
          </w:p>
        </w:tc>
        <w:tc>
          <w:tcPr/>
          <w:p>
            <w:pPr>
              <w:pStyle w:val="Compact"/>
              <w:jc w:val="left"/>
            </w:pPr>
            <w:r>
              <w:t xml:space="preserve">Observed (Backtest)</w:t>
            </w:r>
          </w:p>
        </w:tc>
        <w:tc>
          <w:tcPr/>
          <w:p>
            <w:pPr>
              <w:pStyle w:val="Compact"/>
              <w:jc w:val="left"/>
            </w:pPr>
            <w:r>
              <w:t xml:space="preserve">Excess Ratio</w:t>
            </w:r>
          </w:p>
        </w:tc>
      </w:tr>
      <w:tr>
        <w:tc>
          <w:tcPr/>
          <w:p>
            <w:pPr>
              <w:pStyle w:val="Compact"/>
              <w:jc w:val="left"/>
            </w:pPr>
            <w:r>
              <w:t xml:space="preserve">2</w:t>
            </w:r>
          </w:p>
        </w:tc>
        <w:tc>
          <w:tcPr/>
          <w:p>
            <w:pPr>
              <w:pStyle w:val="Compact"/>
              <w:jc w:val="left"/>
            </w:pPr>
            <w:r>
              <w:t xml:space="preserve">~445</w:t>
            </w:r>
          </w:p>
        </w:tc>
        <w:tc>
          <w:tcPr/>
          <w:p>
            <w:pPr>
              <w:pStyle w:val="Compact"/>
              <w:jc w:val="left"/>
            </w:pPr>
            <w:r>
              <w:t xml:space="preserve">~520–600</w:t>
            </w:r>
          </w:p>
        </w:tc>
        <w:tc>
          <w:tcPr/>
          <w:p>
            <w:pPr>
              <w:pStyle w:val="Compact"/>
              <w:jc w:val="left"/>
            </w:pPr>
            <w:r>
              <w:t xml:space="preserve">~1.2–1.3×</w:t>
            </w:r>
          </w:p>
        </w:tc>
      </w:tr>
      <w:tr>
        <w:tc>
          <w:tcPr/>
          <w:p>
            <w:pPr>
              <w:pStyle w:val="Compact"/>
              <w:jc w:val="left"/>
            </w:pPr>
            <w:r>
              <w:t xml:space="preserve">3</w:t>
            </w:r>
          </w:p>
        </w:tc>
        <w:tc>
          <w:tcPr/>
          <w:p>
            <w:pPr>
              <w:pStyle w:val="Compact"/>
              <w:jc w:val="left"/>
            </w:pPr>
            <w:r>
              <w:t xml:space="preserve">~101</w:t>
            </w:r>
          </w:p>
        </w:tc>
        <w:tc>
          <w:tcPr/>
          <w:p>
            <w:pPr>
              <w:pStyle w:val="Compact"/>
              <w:jc w:val="left"/>
            </w:pPr>
            <w:r>
              <w:t xml:space="preserve">~180–220</w:t>
            </w:r>
          </w:p>
        </w:tc>
        <w:tc>
          <w:tcPr/>
          <w:p>
            <w:pPr>
              <w:pStyle w:val="Compact"/>
              <w:jc w:val="left"/>
            </w:pPr>
            <w:r>
              <w:t xml:space="preserve">~1.8–2.2×</w:t>
            </w:r>
          </w:p>
        </w:tc>
      </w:tr>
      <w:tr>
        <w:tc>
          <w:tcPr/>
          <w:p>
            <w:pPr>
              <w:pStyle w:val="Compact"/>
              <w:jc w:val="left"/>
            </w:pPr>
            <w:r>
              <w:t xml:space="preserve">4</w:t>
            </w:r>
          </w:p>
        </w:tc>
        <w:tc>
          <w:tcPr/>
          <w:p>
            <w:pPr>
              <w:pStyle w:val="Compact"/>
              <w:jc w:val="left"/>
            </w:pPr>
            <w:r>
              <w:t xml:space="preserve">~14</w:t>
            </w:r>
          </w:p>
        </w:tc>
        <w:tc>
          <w:tcPr/>
          <w:p>
            <w:pPr>
              <w:pStyle w:val="Compact"/>
              <w:jc w:val="left"/>
            </w:pPr>
            <w:r>
              <w:t xml:space="preserve">~50–70</w:t>
            </w:r>
          </w:p>
        </w:tc>
        <w:tc>
          <w:tcPr/>
          <w:p>
            <w:pPr>
              <w:pStyle w:val="Compact"/>
              <w:jc w:val="left"/>
            </w:pPr>
            <w:r>
              <w:t xml:space="preserve">~3.6–5.0×</w:t>
            </w:r>
          </w:p>
        </w:tc>
      </w:tr>
      <w:tr>
        <w:tc>
          <w:tcPr/>
          <w:p>
            <w:pPr>
              <w:pStyle w:val="Compact"/>
              <w:jc w:val="left"/>
            </w:pPr>
            <w:r>
              <w:t xml:space="preserve">5+</w:t>
            </w:r>
          </w:p>
        </w:tc>
        <w:tc>
          <w:tcPr/>
          <w:p>
            <w:pPr>
              <w:pStyle w:val="Compact"/>
              <w:jc w:val="left"/>
            </w:pPr>
            <w:r>
              <w:t xml:space="preserve">~1</w:t>
            </w:r>
          </w:p>
        </w:tc>
        <w:tc>
          <w:tcPr/>
          <w:p>
            <w:pPr>
              <w:pStyle w:val="Compact"/>
              <w:jc w:val="left"/>
            </w:pPr>
            <w:r>
              <w:t xml:space="preserve">~15–25</w:t>
            </w:r>
          </w:p>
        </w:tc>
        <w:tc>
          <w:tcPr/>
          <w:p>
            <w:pPr>
              <w:pStyle w:val="Compact"/>
              <w:jc w:val="left"/>
            </w:pPr>
            <w:r>
              <w:t xml:space="preserve">~15–25×</w:t>
            </w:r>
          </w:p>
        </w:tc>
      </w:tr>
    </w:tbl>
    <w:p>
      <w:pPr>
        <w:pStyle w:val="BodyText"/>
      </w:pPr>
      <w:r>
        <w:rPr>
          <w:iCs/>
          <w:i/>
        </w:rPr>
        <w:t xml:space="preserve">Note: Observed ranges reflect variation across the backtest depending on era-weighting and threshold perturbation. Exact values are reported in the backtest results (§15).</w:t>
      </w:r>
    </w:p>
    <w:p>
      <w:pPr>
        <w:pStyle w:val="BodyText"/>
      </w:pPr>
      <w:r>
        <w:t xml:space="preserve">The excess ratio grows super-linearly with</w:t>
      </w:r>
      <w:r>
        <w:t xml:space="preserve"> </w:t>
      </w:r>
      <m:oMath>
        <m:r>
          <m:t>n</m:t>
        </m:r>
      </m:oMath>
      <w:r>
        <w:t xml:space="preserve">: 2 simultaneous breaches are mildly more common than independence predicts (~1.3×), but 4+ breaches are dramatically more common (~4–5×), and 5+ breaches are an order of magnitude above baseline. This confirms that pillar breaches are positively correlated during stress — exactly the clustering effect the penalty is designed to capture.</w:t>
      </w:r>
    </w:p>
    <w:p>
      <w:pPr>
        <w:pStyle w:val="BodyText"/>
      </w:pPr>
      <w:r>
        <w:rPr>
          <w:bCs/>
          <w:b/>
        </w:rPr>
        <w:t xml:space="preserve">Step 4 — Penalty calibration.</w:t>
      </w:r>
      <w:r>
        <w:t xml:space="preserve"> </w:t>
      </w:r>
      <w:r>
        <w:t xml:space="preserve">The penalty</w:t>
      </w:r>
      <w:r>
        <w:t xml:space="preserve"> </w:t>
      </w:r>
      <m:oMath>
        <m:r>
          <m:t>π</m:t>
        </m:r>
        <m:d>
          <m:dPr>
            <m:begChr m:val="("/>
            <m:endChr m:val=")"/>
            <m:sepChr m:val=""/>
            <m:grow/>
          </m:dPr>
          <m:e>
            <m:r>
              <m:t>n</m:t>
            </m:r>
          </m:e>
        </m:d>
      </m:oMath>
      <w:r>
        <w:t xml:space="preserve"> </w:t>
      </w:r>
      <w:r>
        <w:t xml:space="preserve">is set proportional to the log of the excess ratio, normalised to produce penalties in the [0, 0.15] range:</w:t>
      </w:r>
    </w:p>
    <w:p>
      <w:pPr>
        <w:pStyle w:val="BodyText"/>
      </w:pPr>
      <m:oMathPara>
        <m:oMathParaPr>
          <m:jc m:val="center"/>
        </m:oMathParaPr>
        <m:oMath>
          <m:r>
            <m:t>π</m:t>
          </m:r>
          <m:d>
            <m:dPr>
              <m:begChr m:val="("/>
              <m:endChr m:val=")"/>
              <m:sepChr m:val=""/>
              <m:grow/>
            </m:dPr>
            <m:e>
              <m:r>
                <m:t>n</m:t>
              </m:r>
            </m:e>
          </m:d>
          <m:r>
            <m:rPr>
              <m:sty m:val="p"/>
            </m:rPr>
            <m:t>=</m:t>
          </m:r>
          <m:r>
            <m:rPr>
              <m:sty m:val="p"/>
            </m:rPr>
            <m:t>min</m:t>
          </m:r>
          <m:r>
            <m:t>​</m:t>
          </m:r>
          <m:d>
            <m:dPr>
              <m:begChr m:val="("/>
              <m:endChr m:val=")"/>
              <m:sepChr m:val=""/>
              <m:grow/>
            </m:dPr>
            <m:e>
              <m:r>
                <m:t>0.15</m:t>
              </m:r>
              <m:r>
                <m:rPr>
                  <m:sty m:val="p"/>
                </m:rPr>
                <m:t>,</m:t>
              </m:r>
              <m:r>
                <m:t> </m:t>
              </m:r>
              <m:r>
                <m:t>γ</m:t>
              </m:r>
              <m:r>
                <m:rPr>
                  <m:sty m:val="p"/>
                </m:rPr>
                <m:t>⋅</m:t>
              </m:r>
              <m:r>
                <m:rPr>
                  <m:sty m:val="p"/>
                </m:rPr>
                <m:t>ln</m:t>
              </m:r>
              <m:r>
                <m:t>​</m:t>
              </m:r>
              <m:d>
                <m:dPr>
                  <m:begChr m:val="("/>
                  <m:endChr m:val=")"/>
                  <m:sepChr m:val=""/>
                  <m:grow/>
                </m:dPr>
                <m:e>
                  <m:f>
                    <m:fPr>
                      <m:type m:val="bar"/>
                    </m:fPr>
                    <m:num>
                      <m:sSub>
                        <m:e>
                          <m:r>
                            <m:t>f</m:t>
                          </m:r>
                        </m:e>
                        <m:sub>
                          <m:r>
                            <m:rPr>
                              <m:nor/>
                              <m:sty m:val="p"/>
                            </m:rPr>
                            <m:t>obs</m:t>
                          </m:r>
                        </m:sub>
                      </m:sSub>
                      <m:d>
                        <m:dPr>
                          <m:begChr m:val="("/>
                          <m:endChr m:val=")"/>
                          <m:sepChr m:val=""/>
                          <m:grow/>
                        </m:dPr>
                        <m:e>
                          <m:r>
                            <m:t>n</m:t>
                          </m:r>
                        </m:e>
                      </m:d>
                    </m:num>
                    <m:den>
                      <m:sSub>
                        <m:e>
                          <m:r>
                            <m:t>f</m:t>
                          </m:r>
                        </m:e>
                        <m:sub>
                          <m:r>
                            <m:rPr>
                              <m:nor/>
                              <m:sty m:val="p"/>
                            </m:rPr>
                            <m:t>indep</m:t>
                          </m:r>
                        </m:sub>
                      </m:sSub>
                      <m:d>
                        <m:dPr>
                          <m:begChr m:val="("/>
                          <m:endChr m:val=")"/>
                          <m:sepChr m:val=""/>
                          <m:grow/>
                        </m:dPr>
                        <m:e>
                          <m:r>
                            <m:t>n</m:t>
                          </m:r>
                        </m:e>
                      </m:d>
                    </m:den>
                  </m:f>
                </m:e>
              </m:d>
            </m:e>
          </m:d>
        </m:oMath>
      </m:oMathPara>
    </w:p>
    <w:p>
      <w:pPr>
        <w:pStyle w:val="FirstParagraph"/>
      </w:pPr>
      <w:r>
        <w:t xml:space="preserve">where</w:t>
      </w:r>
      <w:r>
        <w:t xml:space="preserve"> </w:t>
      </w:r>
      <m:oMath>
        <m:r>
          <m:t>γ</m:t>
        </m:r>
      </m:oMath>
      <w:r>
        <w:t xml:space="preserve"> </w:t>
      </w:r>
      <w:r>
        <w:t xml:space="preserve">is a scaling constant calibrated to produce</w:t>
      </w:r>
      <w:r>
        <w:t xml:space="preserve"> </w:t>
      </w:r>
      <m:oMath>
        <m:r>
          <m:t>π</m:t>
        </m:r>
        <m:d>
          <m:dPr>
            <m:begChr m:val="("/>
            <m:endChr m:val=")"/>
            <m:sepChr m:val=""/>
            <m:grow/>
          </m:dPr>
          <m:e>
            <m:r>
              <m:t>2</m:t>
            </m:r>
          </m:e>
        </m:d>
        <m:r>
          <m:rPr>
            <m:sty m:val="p"/>
          </m:rPr>
          <m:t>≈</m:t>
        </m:r>
        <m:r>
          <m:t>0.03</m:t>
        </m:r>
      </m:oMath>
      <w:r>
        <w:t xml:space="preserve"> </w:t>
      </w:r>
      <w:r>
        <w:t xml:space="preserve">(the minimum non-trivial penalty) and</w:t>
      </w:r>
      <w:r>
        <w:t xml:space="preserve"> </w:t>
      </w:r>
      <m:oMath>
        <m:sSub>
          <m:e>
            <m:r>
              <m:t>f</m:t>
            </m:r>
          </m:e>
          <m:sub>
            <m:r>
              <m:rPr>
                <m:nor/>
                <m:sty m:val="p"/>
              </m:rPr>
              <m:t>obs</m:t>
            </m:r>
          </m:sub>
        </m:sSub>
      </m:oMath>
      <w:r>
        <w:t xml:space="preserve">,</w:t>
      </w:r>
      <w:r>
        <w:t xml:space="preserve"> </w:t>
      </w:r>
      <m:oMath>
        <m:sSub>
          <m:e>
            <m:r>
              <m:t>f</m:t>
            </m:r>
          </m:e>
          <m:sub>
            <m:r>
              <m:rPr>
                <m:nor/>
                <m:sty m:val="p"/>
              </m:rPr>
              <m:t>indep</m:t>
            </m:r>
          </m:sub>
        </m:sSub>
      </m:oMath>
      <w:r>
        <w:t xml:space="preserve"> </w:t>
      </w:r>
      <w:r>
        <w:t xml:space="preserve">are observed and expected frequencies. This yields: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m:oMath>
              <m:r>
                <m:t>n</m:t>
              </m:r>
            </m:oMath>
          </w:p>
        </w:tc>
        <w:tc>
          <w:tcPr/>
          <w:p>
            <w:pPr>
              <w:pStyle w:val="Compact"/>
              <w:jc w:val="left"/>
            </w:pPr>
            <w:r>
              <w:t xml:space="preserve">Excess Ratio</w:t>
            </w:r>
          </w:p>
        </w:tc>
        <w:tc>
          <w:tcPr/>
          <w:p>
            <w:pPr>
              <w:pStyle w:val="Compact"/>
              <w:jc w:val="left"/>
            </w:pPr>
            <m:oMath>
              <m:r>
                <m:rPr>
                  <m:sty m:val="p"/>
                </m:rPr>
                <m:t>ln</m:t>
              </m:r>
              <m:d>
                <m:dPr>
                  <m:begChr m:val="("/>
                  <m:endChr m:val=")"/>
                  <m:sepChr m:val=""/>
                  <m:grow/>
                </m:dPr>
                <m:e>
                  <m:r>
                    <m:rPr>
                      <m:nor/>
                      <m:sty m:val="p"/>
                    </m:rPr>
                    <m:t>ratio</m:t>
                  </m:r>
                </m:e>
              </m:d>
            </m:oMath>
          </w:p>
        </w:tc>
        <w:tc>
          <w:tcPr/>
          <w:p>
            <w:pPr>
              <w:pStyle w:val="Compact"/>
              <w:jc w:val="left"/>
            </w:pPr>
            <m:oMath>
              <m:r>
                <m:t>π</m:t>
              </m:r>
              <m:d>
                <m:dPr>
                  <m:begChr m:val="("/>
                  <m:endChr m:val=")"/>
                  <m:sepChr m:val=""/>
                  <m:grow/>
                </m:dPr>
                <m:e>
                  <m:r>
                    <m:t>n</m:t>
                  </m:r>
                </m:e>
              </m:d>
            </m:oMath>
          </w:p>
        </w:tc>
      </w:tr>
      <w:tr>
        <w:tc>
          <w:tcPr/>
          <w:p>
            <w:pPr>
              <w:pStyle w:val="Compact"/>
              <w:jc w:val="left"/>
            </w:pPr>
            <w:r>
              <w:t xml:space="preserve">0–1</w:t>
            </w:r>
          </w:p>
        </w:tc>
        <w:tc>
          <w:tcPr/>
          <w:p>
            <w:pPr>
              <w:pStyle w:val="Compact"/>
              <w:jc w:val="left"/>
            </w:pPr>
            <w:r>
              <w:t xml:space="preserve">≤ 1.0</w:t>
            </w:r>
          </w:p>
        </w:tc>
        <w:tc>
          <w:tcPr/>
          <w:p>
            <w:pPr>
              <w:pStyle w:val="Compact"/>
              <w:jc w:val="left"/>
            </w:pPr>
            <w:r>
              <w:t xml:space="preserve">≤ 0</w:t>
            </w:r>
          </w:p>
        </w:tc>
        <w:tc>
          <w:tcPr/>
          <w:p>
            <w:pPr>
              <w:pStyle w:val="Compact"/>
              <w:jc w:val="left"/>
            </w:pPr>
            <w:r>
              <w:t xml:space="preserve">0.00</w:t>
            </w:r>
          </w:p>
        </w:tc>
      </w:tr>
      <w:tr>
        <w:tc>
          <w:tcPr/>
          <w:p>
            <w:pPr>
              <w:pStyle w:val="Compact"/>
              <w:jc w:val="left"/>
            </w:pPr>
            <w:r>
              <w:t xml:space="preserve">2</w:t>
            </w:r>
          </w:p>
        </w:tc>
        <w:tc>
          <w:tcPr/>
          <w:p>
            <w:pPr>
              <w:pStyle w:val="Compact"/>
              <w:jc w:val="left"/>
            </w:pPr>
            <w:r>
              <w:t xml:space="preserve">~1.3</w:t>
            </w:r>
          </w:p>
        </w:tc>
        <w:tc>
          <w:tcPr/>
          <w:p>
            <w:pPr>
              <w:pStyle w:val="Compact"/>
              <w:jc w:val="left"/>
            </w:pPr>
            <w:r>
              <w:t xml:space="preserve">~0.26</w:t>
            </w:r>
          </w:p>
        </w:tc>
        <w:tc>
          <w:tcPr/>
          <w:p>
            <w:pPr>
              <w:pStyle w:val="Compact"/>
              <w:jc w:val="left"/>
            </w:pPr>
            <w:r>
              <w:rPr>
                <w:bCs/>
                <w:b/>
              </w:rPr>
              <w:t xml:space="preserve">0.03</w:t>
            </w:r>
          </w:p>
        </w:tc>
      </w:tr>
      <w:tr>
        <w:tc>
          <w:tcPr/>
          <w:p>
            <w:pPr>
              <w:pStyle w:val="Compact"/>
              <w:jc w:val="left"/>
            </w:pPr>
            <w:r>
              <w:t xml:space="preserve">3</w:t>
            </w:r>
          </w:p>
        </w:tc>
        <w:tc>
          <w:tcPr/>
          <w:p>
            <w:pPr>
              <w:pStyle w:val="Compact"/>
              <w:jc w:val="left"/>
            </w:pPr>
            <w:r>
              <w:t xml:space="preserve">~2.0</w:t>
            </w:r>
          </w:p>
        </w:tc>
        <w:tc>
          <w:tcPr/>
          <w:p>
            <w:pPr>
              <w:pStyle w:val="Compact"/>
              <w:jc w:val="left"/>
            </w:pPr>
            <w:r>
              <w:t xml:space="preserve">~0.69</w:t>
            </w:r>
          </w:p>
        </w:tc>
        <w:tc>
          <w:tcPr/>
          <w:p>
            <w:pPr>
              <w:pStyle w:val="Compact"/>
              <w:jc w:val="left"/>
            </w:pPr>
            <w:r>
              <w:rPr>
                <w:bCs/>
                <w:b/>
              </w:rPr>
              <w:t xml:space="preserve">0.08</w:t>
            </w:r>
          </w:p>
        </w:tc>
      </w:tr>
      <w:tr>
        <w:tc>
          <w:tcPr/>
          <w:p>
            <w:pPr>
              <w:pStyle w:val="Compact"/>
              <w:jc w:val="left"/>
            </w:pPr>
            <w:r>
              <w:t xml:space="preserve">4</w:t>
            </w:r>
          </w:p>
        </w:tc>
        <w:tc>
          <w:tcPr/>
          <w:p>
            <w:pPr>
              <w:pStyle w:val="Compact"/>
              <w:jc w:val="left"/>
            </w:pPr>
            <w:r>
              <w:t xml:space="preserve">~4.5</w:t>
            </w:r>
          </w:p>
        </w:tc>
        <w:tc>
          <w:tcPr/>
          <w:p>
            <w:pPr>
              <w:pStyle w:val="Compact"/>
              <w:jc w:val="left"/>
            </w:pPr>
            <w:r>
              <w:t xml:space="preserve">~1.50</w:t>
            </w:r>
          </w:p>
        </w:tc>
        <w:tc>
          <w:tcPr/>
          <w:p>
            <w:pPr>
              <w:pStyle w:val="Compact"/>
              <w:jc w:val="left"/>
            </w:pPr>
            <w:r>
              <w:rPr>
                <w:bCs/>
                <w:b/>
              </w:rPr>
              <w:t xml:space="preserve">0.12</w:t>
            </w:r>
          </w:p>
        </w:tc>
      </w:tr>
      <w:tr>
        <w:tc>
          <w:tcPr/>
          <w:p>
            <w:pPr>
              <w:pStyle w:val="Compact"/>
              <w:jc w:val="left"/>
            </w:pPr>
            <w:r>
              <w:t xml:space="preserve">5–7</w:t>
            </w:r>
          </w:p>
        </w:tc>
        <w:tc>
          <w:tcPr/>
          <w:p>
            <w:pPr>
              <w:pStyle w:val="Compact"/>
              <w:jc w:val="left"/>
            </w:pPr>
            <w:r>
              <w:t xml:space="preserve">~20+</w:t>
            </w:r>
          </w:p>
        </w:tc>
        <w:tc>
          <w:tcPr/>
          <w:p>
            <w:pPr>
              <w:pStyle w:val="Compact"/>
              <w:jc w:val="left"/>
            </w:pPr>
            <w:r>
              <w:t xml:space="preserve">~3.0+</w:t>
            </w:r>
          </w:p>
        </w:tc>
        <w:tc>
          <w:tcPr/>
          <w:p>
            <w:pPr>
              <w:pStyle w:val="Compact"/>
              <w:jc w:val="left"/>
            </w:pPr>
            <w:r>
              <w:rPr>
                <w:bCs/>
                <w:b/>
              </w:rPr>
              <w:t xml:space="preserve">0.15</w:t>
            </w:r>
            <w:r>
              <w:t xml:space="preserve"> </w:t>
            </w:r>
            <w:r>
              <w:t xml:space="preserve">(cap)</w:t>
            </w:r>
          </w:p>
        </w:tc>
      </w:tr>
    </w:tbl>
    <w:p>
      <w:pPr>
        <w:pStyle w:val="BodyText"/>
      </w:pPr>
      <w:r>
        <w:t xml:space="preserve">The log transformation is motivated by information theory:</w:t>
      </w:r>
      <w:r>
        <w:t xml:space="preserve"> </w:t>
      </w:r>
      <m:oMath>
        <m:r>
          <m:rPr>
            <m:sty m:val="p"/>
          </m:rPr>
          <m:t>ln</m:t>
        </m:r>
        <m:d>
          <m:dPr>
            <m:begChr m:val="("/>
            <m:endChr m:val=")"/>
            <m:sepChr m:val=""/>
            <m:grow/>
          </m:dPr>
          <m:e>
            <m:sSub>
              <m:e>
                <m:r>
                  <m:t>f</m:t>
                </m:r>
              </m:e>
              <m:sub>
                <m:r>
                  <m:rPr>
                    <m:nor/>
                    <m:sty m:val="p"/>
                  </m:rPr>
                  <m:t>obs</m:t>
                </m:r>
              </m:sub>
            </m:sSub>
            <m:r>
              <m:rPr>
                <m:sty m:val="p"/>
              </m:rPr>
              <m:t>/</m:t>
            </m:r>
            <m:sSub>
              <m:e>
                <m:r>
                  <m:t>f</m:t>
                </m:r>
              </m:e>
              <m:sub>
                <m:r>
                  <m:rPr>
                    <m:nor/>
                    <m:sty m:val="p"/>
                  </m:rPr>
                  <m:t>indep</m:t>
                </m:r>
              </m:sub>
            </m:sSub>
          </m:e>
        </m:d>
      </m:oMath>
      <w:r>
        <w:t xml:space="preserve"> </w:t>
      </w:r>
      <w:r>
        <w:t xml:space="preserve">is the pointwise mutual information between the event</w:t>
      </w:r>
      <w:r>
        <w:t xml:space="preserve"> </w:t>
      </w:r>
      <w:r>
        <w:t xml:space="preserve">“</w:t>
      </w:r>
      <w:r>
        <w:t xml:space="preserve">n pillars in breach</w:t>
      </w:r>
      <w:r>
        <w:t xml:space="preserve">”</w:t>
      </w:r>
      <w:r>
        <w:t xml:space="preserve"> </w:t>
      </w:r>
      <w:r>
        <w:t xml:space="preserve">and the event</w:t>
      </w:r>
      <w:r>
        <w:t xml:space="preserve"> </w:t>
      </w:r>
      <w:r>
        <w:t xml:space="preserve">“</w:t>
      </w:r>
      <w:r>
        <w:t xml:space="preserve">crisis conditions present.</w:t>
      </w:r>
      <w:r>
        <w:t xml:space="preserve">”</w:t>
      </w:r>
      <w:r>
        <w:t xml:space="preserve"> </w:t>
      </w:r>
      <w:r>
        <w:t xml:space="preserve">Higher PMI means the co-breach pattern carries more information about systemic risk beyond what the individual pillar scores already convey. The penalty converts this excess information into a MAC score adjustment.</w:t>
      </w:r>
    </w:p>
    <w:bookmarkEnd w:id="70"/>
    <w:bookmarkStart w:id="71" w:name="penalty-formula-and-application"/>
    <w:p>
      <w:pPr>
        <w:pStyle w:val="Heading4"/>
      </w:pPr>
      <w:r>
        <w:t xml:space="preserve">6.3.3 Penalty Formula and Application</w:t>
      </w:r>
    </w:p>
    <w:p>
      <w:pPr>
        <w:pStyle w:val="FirstParagraph"/>
      </w:pPr>
      <m:oMathPara>
        <m:oMathParaPr>
          <m:jc m:val="center"/>
        </m:oMathParaPr>
        <m:oMath>
          <m:sSub>
            <m:e>
              <m:r>
                <m:rPr>
                  <m:nor/>
                  <m:sty m:val="p"/>
                </m:rPr>
                <m:t>MAC</m:t>
              </m:r>
            </m:e>
            <m:sub>
              <m:r>
                <m:rPr>
                  <m:nor/>
                  <m:sty m:val="p"/>
                </m:rPr>
                <m:t>final</m:t>
              </m:r>
            </m:sub>
          </m:sSub>
          <m:r>
            <m:rPr>
              <m:sty m:val="p"/>
            </m:rPr>
            <m:t>=</m:t>
          </m:r>
          <m:r>
            <m:rPr>
              <m:sty m:val="p"/>
            </m:rPr>
            <m:t>max</m:t>
          </m:r>
          <m:r>
            <m:t>​</m:t>
          </m:r>
          <m:d>
            <m:dPr>
              <m:begChr m:val="("/>
              <m:endChr m:val=")"/>
              <m:sepChr m:val=""/>
              <m:grow/>
            </m:dPr>
            <m:e>
              <m:r>
                <m:t>0</m:t>
              </m:r>
              <m:r>
                <m:rPr>
                  <m:sty m:val="p"/>
                </m:rPr>
                <m:t>,</m:t>
              </m:r>
              <m:r>
                <m:t> </m:t>
              </m:r>
              <m:sSub>
                <m:e>
                  <m:r>
                    <m:rPr>
                      <m:nor/>
                      <m:sty m:val="p"/>
                    </m:rPr>
                    <m:t>MAC</m:t>
                  </m:r>
                </m:e>
                <m:sub>
                  <m:r>
                    <m:rPr>
                      <m:nor/>
                      <m:sty m:val="p"/>
                    </m:rPr>
                    <m:t>raw</m:t>
                  </m:r>
                </m:sub>
              </m:sSub>
              <m:r>
                <m:rPr>
                  <m:sty m:val="p"/>
                </m:rPr>
                <m:t>−</m:t>
              </m:r>
              <m:r>
                <m:t>π</m:t>
              </m:r>
              <m:d>
                <m:dPr>
                  <m:begChr m:val="("/>
                  <m:endChr m:val=")"/>
                  <m:sepChr m:val=""/>
                  <m:grow/>
                </m:dPr>
                <m:e>
                  <m:r>
                    <m:t>n</m:t>
                  </m:r>
                </m:e>
              </m:d>
            </m:e>
          </m:d>
        </m:oMath>
      </m:oMathPara>
    </w:p>
    <w:p>
      <w:pPr>
        <w:pStyle w:val="FirstParagraph"/>
      </w:pPr>
      <w:r>
        <w:t xml:space="preserve">where</w:t>
      </w:r>
      <w:r>
        <w:t xml:space="preserve"> </w:t>
      </w:r>
      <m:oMath>
        <m:r>
          <m:t>n</m:t>
        </m:r>
      </m:oMath>
      <w:r>
        <w:t xml:space="preserve"> </w:t>
      </w:r>
      <w:r>
        <w:t xml:space="preserve">is the number of pillars with scores below 0.30, and:</w:t>
      </w:r>
    </w:p>
    <w:tbl>
      <w:tblPr>
        <w:tblStyle w:val="Table"/>
        <w:tblW w:type="pct" w:w="5000"/>
        <w:tblLook w:firstRow="1" w:lastRow="0" w:firstColumn="0" w:lastColumn="0" w:noHBand="0" w:noVBand="0" w:val="0020"/>
        <w:jc w:val="start"/>
      </w:tblPr>
      <w:tblGrid>
        <w:gridCol w:w="1277"/>
        <w:gridCol w:w="2554"/>
        <w:gridCol w:w="4087"/>
      </w:tblGrid>
      <w:tr>
        <w:trPr>
          <w:tblHeader w:val="true"/>
        </w:trPr>
        <w:tc>
          <w:tcPr/>
          <w:p>
            <w:pPr>
              <w:pStyle w:val="Compact"/>
              <w:jc w:val="left"/>
            </w:pPr>
            <m:oMath>
              <m:r>
                <m:t>n</m:t>
              </m:r>
            </m:oMath>
          </w:p>
        </w:tc>
        <w:tc>
          <w:tcPr/>
          <w:p>
            <w:pPr>
              <w:pStyle w:val="Compact"/>
              <w:jc w:val="left"/>
            </w:pPr>
            <m:oMath>
              <m:r>
                <m:t>π</m:t>
              </m:r>
              <m:d>
                <m:dPr>
                  <m:begChr m:val="("/>
                  <m:endChr m:val=")"/>
                  <m:sepChr m:val=""/>
                  <m:grow/>
                </m:dPr>
                <m:e>
                  <m:r>
                    <m:t>n</m:t>
                  </m:r>
                </m:e>
              </m:d>
            </m:oMath>
          </w:p>
        </w:tc>
        <w:tc>
          <w:tcPr/>
          <w:p>
            <w:pPr>
              <w:pStyle w:val="Compact"/>
              <w:jc w:val="left"/>
            </w:pPr>
            <w:r>
              <w:t xml:space="preserve">Interpretation</w:t>
            </w:r>
          </w:p>
        </w:tc>
      </w:tr>
      <w:tr>
        <w:tc>
          <w:tcPr/>
          <w:p>
            <w:pPr>
              <w:pStyle w:val="Compact"/>
              <w:jc w:val="left"/>
            </w:pPr>
            <w:r>
              <w:t xml:space="preserve">0–1</w:t>
            </w:r>
          </w:p>
        </w:tc>
        <w:tc>
          <w:tcPr/>
          <w:p>
            <w:pPr>
              <w:pStyle w:val="Compact"/>
              <w:jc w:val="left"/>
            </w:pPr>
            <w:r>
              <w:t xml:space="preserve">0.00</w:t>
            </w:r>
          </w:p>
        </w:tc>
        <w:tc>
          <w:tcPr/>
          <w:p>
            <w:pPr>
              <w:pStyle w:val="Compact"/>
              <w:jc w:val="left"/>
            </w:pPr>
            <w:r>
              <w:t xml:space="preserve">Co-breach rate consistent with independence; no adjustment needed</w:t>
            </w:r>
          </w:p>
        </w:tc>
      </w:tr>
      <w:tr>
        <w:tc>
          <w:tcPr/>
          <w:p>
            <w:pPr>
              <w:pStyle w:val="Compact"/>
              <w:jc w:val="left"/>
            </w:pPr>
            <w:r>
              <w:t xml:space="preserve">2</w:t>
            </w:r>
          </w:p>
        </w:tc>
        <w:tc>
          <w:tcPr/>
          <w:p>
            <w:pPr>
              <w:pStyle w:val="Compact"/>
              <w:jc w:val="left"/>
            </w:pPr>
            <w:r>
              <w:t xml:space="preserve">0.03</w:t>
            </w:r>
          </w:p>
        </w:tc>
        <w:tc>
          <w:tcPr/>
          <w:p>
            <w:pPr>
              <w:pStyle w:val="Compact"/>
              <w:jc w:val="left"/>
            </w:pPr>
            <w:r>
              <w:t xml:space="preserve">Mild clustering; feedback loops possible but not dominant</w:t>
            </w:r>
          </w:p>
        </w:tc>
      </w:tr>
      <w:tr>
        <w:tc>
          <w:tcPr/>
          <w:p>
            <w:pPr>
              <w:pStyle w:val="Compact"/>
              <w:jc w:val="left"/>
            </w:pPr>
            <w:r>
              <w:t xml:space="preserve">3</w:t>
            </w:r>
          </w:p>
        </w:tc>
        <w:tc>
          <w:tcPr/>
          <w:p>
            <w:pPr>
              <w:pStyle w:val="Compact"/>
              <w:jc w:val="left"/>
            </w:pPr>
            <w:r>
              <w:t xml:space="preserve">0.08</w:t>
            </w:r>
          </w:p>
        </w:tc>
        <w:tc>
          <w:tcPr/>
          <w:p>
            <w:pPr>
              <w:pStyle w:val="Compact"/>
              <w:jc w:val="left"/>
            </w:pPr>
            <w:r>
              <w:t xml:space="preserve">Significant clustering; multiple feedback loops active</w:t>
            </w:r>
          </w:p>
        </w:tc>
      </w:tr>
      <w:tr>
        <w:tc>
          <w:tcPr/>
          <w:p>
            <w:pPr>
              <w:pStyle w:val="Compact"/>
              <w:jc w:val="left"/>
            </w:pPr>
            <w:r>
              <w:t xml:space="preserve">4</w:t>
            </w:r>
          </w:p>
        </w:tc>
        <w:tc>
          <w:tcPr/>
          <w:p>
            <w:pPr>
              <w:pStyle w:val="Compact"/>
              <w:jc w:val="left"/>
            </w:pPr>
            <w:r>
              <w:t xml:space="preserve">0.12</w:t>
            </w:r>
          </w:p>
        </w:tc>
        <w:tc>
          <w:tcPr/>
          <w:p>
            <w:pPr>
              <w:pStyle w:val="Compact"/>
              <w:jc w:val="left"/>
            </w:pPr>
            <w:r>
              <w:t xml:space="preserve">Severe clustering; systemic positive feedback likely</w:t>
            </w:r>
          </w:p>
        </w:tc>
      </w:tr>
      <w:tr>
        <w:tc>
          <w:tcPr/>
          <w:p>
            <w:pPr>
              <w:pStyle w:val="Compact"/>
              <w:jc w:val="left"/>
            </w:pPr>
            <w:r>
              <w:t xml:space="preserve">5–7</w:t>
            </w:r>
          </w:p>
        </w:tc>
        <w:tc>
          <w:tcPr/>
          <w:p>
            <w:pPr>
              <w:pStyle w:val="Compact"/>
              <w:jc w:val="left"/>
            </w:pPr>
            <w:r>
              <w:t xml:space="preserve">0.15 (cap)</w:t>
            </w:r>
          </w:p>
        </w:tc>
        <w:tc>
          <w:tcPr/>
          <w:p>
            <w:pPr>
              <w:pStyle w:val="Compact"/>
              <w:jc w:val="left"/>
            </w:pPr>
            <w:r>
              <w:t xml:space="preserve">Extreme clustering; system in full crisis mode; penalty capped to prevent MAC from collapsing below regime-break threshold purely from the penalty</w:t>
            </w:r>
          </w:p>
        </w:tc>
      </w:tr>
    </w:tbl>
    <w:bookmarkEnd w:id="71"/>
    <w:bookmarkStart w:id="72" w:name="why-cap-at-0.15"/>
    <w:p>
      <w:pPr>
        <w:pStyle w:val="Heading4"/>
      </w:pPr>
      <w:r>
        <w:t xml:space="preserve">6.3.4 Why Cap at 0.15?</w:t>
      </w:r>
    </w:p>
    <w:p>
      <w:pPr>
        <w:pStyle w:val="FirstParagraph"/>
      </w:pPr>
      <w:r>
        <w:t xml:space="preserve">The cap serves two purposes. First, for</w:t>
      </w:r>
      <w:r>
        <w:t xml:space="preserve"> </w:t>
      </w:r>
      <m:oMath>
        <m:r>
          <m:t>n</m:t>
        </m:r>
        <m:r>
          <m:rPr>
            <m:sty m:val="p"/>
          </m:rPr>
          <m:t>≥</m:t>
        </m:r>
        <m:r>
          <m:t>5</m:t>
        </m:r>
      </m:oMath>
      <w:r>
        <w:t xml:space="preserve">, the individual pillar scores are already so low that the weighted average is near or below the regime-break threshold (0.20) before any penalty is applied — the penalty is largely redundant. Second, an uncapped log-ratio penalty would dominate the MAC score for extreme co-breach patterns, effectively replacing the weighted-average architecture with a co-breach count. The cap preserves the framework’s structure: pillar scores remain the primary determinant of MAC, with the interaction penalty as a correction term.</w:t>
      </w:r>
    </w:p>
    <w:bookmarkEnd w:id="72"/>
    <w:bookmarkStart w:id="73" w:name="sensitivity-analysis"/>
    <w:p>
      <w:pPr>
        <w:pStyle w:val="Heading4"/>
      </w:pPr>
      <w:r>
        <w:t xml:space="preserve">6.3.5 Sensitivity Analysis</w:t>
      </w:r>
    </w:p>
    <w:p>
      <w:pPr>
        <w:pStyle w:val="FirstParagraph"/>
      </w:pPr>
      <w:r>
        <w:t xml:space="preserve">The penalty values are robust to perturbation of the breach threshold (0.30) and the pooled breach probability (</w:t>
      </w:r>
      <m:oMath>
        <m:acc>
          <m:accPr>
            <m:chr m:val="̂"/>
          </m:accPr>
          <m:e>
            <m:r>
              <m:t>p</m:t>
            </m:r>
          </m:e>
        </m:acc>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Perturbation</w:t>
            </w:r>
          </w:p>
        </w:tc>
        <w:tc>
          <w:tcPr/>
          <w:p>
            <w:pPr>
              <w:pStyle w:val="Compact"/>
              <w:jc w:val="left"/>
            </w:pPr>
            <w:r>
              <w:t xml:space="preserve">Effect on</w:t>
            </w:r>
            <w:r>
              <w:t xml:space="preserve"> </w:t>
            </w:r>
            <m:oMath>
              <m:r>
                <m:t>π</m:t>
              </m:r>
              <m:d>
                <m:dPr>
                  <m:begChr m:val="("/>
                  <m:endChr m:val=")"/>
                  <m:sepChr m:val=""/>
                  <m:grow/>
                </m:dPr>
                <m:e>
                  <m:r>
                    <m:t>3</m:t>
                  </m:r>
                </m:e>
              </m:d>
            </m:oMath>
          </w:p>
        </w:tc>
        <w:tc>
          <w:tcPr/>
          <w:p>
            <w:pPr>
              <w:pStyle w:val="Compact"/>
              <w:jc w:val="left"/>
            </w:pPr>
            <w:r>
              <w:t xml:space="preserve">Effect on</w:t>
            </w:r>
            <w:r>
              <w:t xml:space="preserve"> </w:t>
            </w:r>
            <m:oMath>
              <m:r>
                <m:t>π</m:t>
              </m:r>
              <m:d>
                <m:dPr>
                  <m:begChr m:val="("/>
                  <m:endChr m:val=")"/>
                  <m:sepChr m:val=""/>
                  <m:grow/>
                </m:dPr>
                <m:e>
                  <m:r>
                    <m:t>4</m:t>
                  </m:r>
                </m:e>
              </m:d>
            </m:oMath>
          </w:p>
        </w:tc>
      </w:tr>
      <w:tr>
        <w:tc>
          <w:tcPr/>
          <w:p>
            <w:pPr>
              <w:pStyle w:val="Compact"/>
              <w:jc w:val="left"/>
            </w:pPr>
            <w:r>
              <w:t xml:space="preserve">Breach threshold 0.25 (tighter)</w:t>
            </w:r>
          </w:p>
        </w:tc>
        <w:tc>
          <w:tcPr/>
          <w:p>
            <w:pPr>
              <w:pStyle w:val="Compact"/>
              <w:jc w:val="left"/>
            </w:pPr>
            <w:r>
              <w:t xml:space="preserve">+0.01 to +0.02</w:t>
            </w:r>
          </w:p>
        </w:tc>
        <w:tc>
          <w:tcPr/>
          <w:p>
            <w:pPr>
              <w:pStyle w:val="Compact"/>
              <w:jc w:val="left"/>
            </w:pPr>
            <w:r>
              <w:t xml:space="preserve">+0.01 to +0.02</w:t>
            </w:r>
          </w:p>
        </w:tc>
      </w:tr>
      <w:tr>
        <w:tc>
          <w:tcPr/>
          <w:p>
            <w:pPr>
              <w:pStyle w:val="Compact"/>
              <w:jc w:val="left"/>
            </w:pPr>
            <w:r>
              <w:t xml:space="preserve">Breach threshold 0.35 (looser)</w:t>
            </w:r>
          </w:p>
        </w:tc>
        <w:tc>
          <w:tcPr/>
          <w:p>
            <w:pPr>
              <w:pStyle w:val="Compact"/>
              <w:jc w:val="left"/>
            </w:pPr>
            <w:r>
              <w:t xml:space="preserve">−0.01 to −0.02</w:t>
            </w:r>
          </w:p>
        </w:tc>
        <w:tc>
          <w:tcPr/>
          <w:p>
            <w:pPr>
              <w:pStyle w:val="Compact"/>
              <w:jc w:val="left"/>
            </w:pPr>
            <w:r>
              <w:t xml:space="preserve">−0.01 to −0.02</w:t>
            </w:r>
          </w:p>
        </w:tc>
      </w:tr>
      <w:tr>
        <w:tc>
          <w:tcPr/>
          <w:p>
            <w:pPr>
              <w:pStyle w:val="Compact"/>
              <w:jc w:val="left"/>
            </w:pPr>
            <m:oMath>
              <m:acc>
                <m:accPr>
                  <m:chr m:val="̂"/>
                </m:accPr>
                <m:e>
                  <m:r>
                    <m:t>p</m:t>
                  </m:r>
                </m:e>
              </m:acc>
              <m:r>
                <m:rPr>
                  <m:sty m:val="p"/>
                </m:rPr>
                <m:t>=</m:t>
              </m:r>
              <m:r>
                <m:t>0.10</m:t>
              </m:r>
            </m:oMath>
            <w:r>
              <w:t xml:space="preserve"> </w:t>
            </w:r>
            <w:r>
              <w:t xml:space="preserve">(lower base rate)</w:t>
            </w:r>
          </w:p>
        </w:tc>
        <w:tc>
          <w:tcPr/>
          <w:p>
            <w:pPr>
              <w:pStyle w:val="Compact"/>
              <w:jc w:val="left"/>
            </w:pPr>
            <w:r>
              <w:t xml:space="preserve">+0.01</w:t>
            </w:r>
          </w:p>
        </w:tc>
        <w:tc>
          <w:tcPr/>
          <w:p>
            <w:pPr>
              <w:pStyle w:val="Compact"/>
              <w:jc w:val="left"/>
            </w:pPr>
            <w:r>
              <w:t xml:space="preserve">+0.02</w:t>
            </w:r>
          </w:p>
        </w:tc>
      </w:tr>
      <w:tr>
        <w:tc>
          <w:tcPr/>
          <w:p>
            <w:pPr>
              <w:pStyle w:val="Compact"/>
              <w:jc w:val="left"/>
            </w:pPr>
            <m:oMath>
              <m:acc>
                <m:accPr>
                  <m:chr m:val="̂"/>
                </m:accPr>
                <m:e>
                  <m:r>
                    <m:t>p</m:t>
                  </m:r>
                </m:e>
              </m:acc>
              <m:r>
                <m:rPr>
                  <m:sty m:val="p"/>
                </m:rPr>
                <m:t>=</m:t>
              </m:r>
              <m:r>
                <m:t>0.15</m:t>
              </m:r>
            </m:oMath>
            <w:r>
              <w:t xml:space="preserve"> </w:t>
            </w:r>
            <w:r>
              <w:t xml:space="preserve">(higher base rate)</w:t>
            </w:r>
          </w:p>
        </w:tc>
        <w:tc>
          <w:tcPr/>
          <w:p>
            <w:pPr>
              <w:pStyle w:val="Compact"/>
              <w:jc w:val="left"/>
            </w:pPr>
            <w:r>
              <w:t xml:space="preserve">−0.01</w:t>
            </w:r>
          </w:p>
        </w:tc>
        <w:tc>
          <w:tcPr/>
          <w:p>
            <w:pPr>
              <w:pStyle w:val="Compact"/>
              <w:jc w:val="left"/>
            </w:pPr>
            <w:r>
              <w:t xml:space="preserve">−0.01</w:t>
            </w:r>
          </w:p>
        </w:tc>
      </w:tr>
    </w:tbl>
    <w:p>
      <w:pPr>
        <w:pStyle w:val="BodyText"/>
      </w:pPr>
      <w:r>
        <w:t xml:space="preserve">Changes are within ±0.02 across all reasonable perturbations, confirming that the penalty schedule is not fragile to threshold choices.</w:t>
      </w:r>
    </w:p>
    <w:bookmarkEnd w:id="73"/>
    <w:bookmarkEnd w:id="74"/>
    <w:bookmarkStart w:id="75" w:name="era-aware-calibration-factor"/>
    <w:p>
      <w:pPr>
        <w:pStyle w:val="Heading3"/>
      </w:pPr>
      <w:r>
        <w:t xml:space="preserve">6.4 Era-Aware Calibration Factor</w:t>
      </w:r>
    </w:p>
    <w:p>
      <w:pPr>
        <w:pStyle w:val="FirstParagraph"/>
      </w:pPr>
      <w:r>
        <w:t xml:space="preserve">A multiplicative calibration factor adjusts the final score:</w:t>
      </w:r>
    </w:p>
    <w:p>
      <w:pPr>
        <w:pStyle w:val="BodyText"/>
      </w:pPr>
      <m:oMathPara>
        <m:oMathParaPr>
          <m:jc m:val="center"/>
        </m:oMathParaPr>
        <m:oMath>
          <m:sSub>
            <m:e>
              <m:r>
                <m:rPr>
                  <m:nor/>
                  <m:sty m:val="p"/>
                </m:rPr>
                <m:t>MAC</m:t>
              </m:r>
            </m:e>
            <m:sub>
              <m:r>
                <m:rPr>
                  <m:nor/>
                  <m:sty m:val="p"/>
                </m:rPr>
                <m:t>calibrated</m:t>
              </m:r>
            </m:sub>
          </m:sSub>
          <m:r>
            <m:rPr>
              <m:sty m:val="p"/>
            </m:rPr>
            <m:t>=</m:t>
          </m:r>
          <m:sSub>
            <m:e>
              <m:r>
                <m:rPr>
                  <m:nor/>
                  <m:sty m:val="p"/>
                </m:rPr>
                <m:t>MAC</m:t>
              </m:r>
            </m:e>
            <m:sub>
              <m:r>
                <m:rPr>
                  <m:nor/>
                  <m:sty m:val="p"/>
                </m:rPr>
                <m:t>final</m:t>
              </m:r>
            </m:sub>
          </m:sSub>
          <m:r>
            <m:rPr>
              <m:sty m:val="p"/>
            </m:rPr>
            <m:t>×</m:t>
          </m:r>
          <m:sSub>
            <m:e>
              <m:r>
                <m:t>α</m:t>
              </m:r>
            </m:e>
            <m:sub>
              <m:r>
                <m:rPr>
                  <m:nor/>
                  <m:sty m:val="p"/>
                </m:rPr>
                <m:t>era</m:t>
              </m:r>
            </m:sub>
          </m:sSub>
        </m:oMath>
      </m:oMathPara>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Era</w:t>
            </w:r>
          </w:p>
        </w:tc>
        <w:tc>
          <w:tcPr/>
          <w:p>
            <w:pPr>
              <w:pStyle w:val="Compact"/>
              <w:jc w:val="left"/>
            </w:pPr>
            <m:oMath>
              <m:r>
                <m:t>α</m:t>
              </m:r>
            </m:oMath>
          </w:p>
        </w:tc>
        <w:tc>
          <w:tcPr/>
          <w:p>
            <w:pPr>
              <w:pStyle w:val="Compact"/>
              <w:jc w:val="left"/>
            </w:pPr>
            <w:r>
              <w:t xml:space="preserve">Rationale</w:t>
            </w:r>
          </w:p>
        </w:tc>
      </w:tr>
      <w:tr>
        <w:tc>
          <w:tcPr/>
          <w:p>
            <w:pPr>
              <w:pStyle w:val="Compact"/>
              <w:jc w:val="left"/>
            </w:pPr>
            <w:r>
              <w:t xml:space="preserve">2006–present</w:t>
            </w:r>
          </w:p>
        </w:tc>
        <w:tc>
          <w:tcPr/>
          <w:p>
            <w:pPr>
              <w:pStyle w:val="Compact"/>
              <w:jc w:val="left"/>
            </w:pPr>
            <w:r>
              <w:t xml:space="preserve">0.78</w:t>
            </w:r>
          </w:p>
        </w:tc>
        <w:tc>
          <w:tcPr/>
          <w:p>
            <w:pPr>
              <w:pStyle w:val="Compact"/>
              <w:jc w:val="left"/>
            </w:pPr>
            <w:r>
              <w:t xml:space="preserve">Full data; calibrated on 14 modern scenarios</w:t>
            </w:r>
          </w:p>
        </w:tc>
      </w:tr>
      <w:tr>
        <w:tc>
          <w:tcPr/>
          <w:p>
            <w:pPr>
              <w:pStyle w:val="Compact"/>
              <w:jc w:val="left"/>
            </w:pPr>
            <w:r>
              <w:t xml:space="preserve">1971–2006</w:t>
            </w:r>
          </w:p>
        </w:tc>
        <w:tc>
          <w:tcPr/>
          <w:p>
            <w:pPr>
              <w:pStyle w:val="Compact"/>
              <w:jc w:val="left"/>
            </w:pPr>
            <w:r>
              <w:t xml:space="preserve">0.90</w:t>
            </w:r>
          </w:p>
        </w:tc>
        <w:tc>
          <w:tcPr/>
          <w:p>
            <w:pPr>
              <w:pStyle w:val="Compact"/>
              <w:jc w:val="left"/>
            </w:pPr>
            <w:r>
              <w:t xml:space="preserve">Proxy data already compresses scores</w:t>
            </w:r>
          </w:p>
        </w:tc>
      </w:tr>
      <w:tr>
        <w:tc>
          <w:tcPr/>
          <w:p>
            <w:pPr>
              <w:pStyle w:val="Compact"/>
              <w:jc w:val="left"/>
            </w:pPr>
            <w:r>
              <w:t xml:space="preserve">Pre-1971</w:t>
            </w:r>
          </w:p>
        </w:tc>
        <w:tc>
          <w:tcPr/>
          <w:p>
            <w:pPr>
              <w:pStyle w:val="Compact"/>
              <w:jc w:val="left"/>
            </w:pPr>
            <w:r>
              <w:t xml:space="preserve">1.00</w:t>
            </w:r>
          </w:p>
        </w:tc>
        <w:tc>
          <w:tcPr/>
          <w:p>
            <w:pPr>
              <w:pStyle w:val="Compact"/>
              <w:jc w:val="left"/>
            </w:pPr>
            <w:r>
              <w:t xml:space="preserve">Schwert vol and NBER spreads structurally wider</w:t>
            </w:r>
          </w:p>
        </w:tc>
      </w:tr>
    </w:tbl>
    <w:bookmarkEnd w:id="75"/>
    <w:bookmarkStart w:id="76" w:name="mac-interpretation-scale"/>
    <w:p>
      <w:pPr>
        <w:pStyle w:val="Heading3"/>
      </w:pPr>
      <w:r>
        <w:t xml:space="preserve">6.5 MAC Interpretation Scale</w:t>
      </w:r>
    </w:p>
    <w:tbl>
      <w:tblPr>
        <w:tblStyle w:val="Table"/>
        <w:tblW w:type="pct" w:w="5000"/>
        <w:tblLook w:firstRow="1" w:lastRow="0" w:firstColumn="0" w:lastColumn="0" w:noHBand="0" w:noVBand="0" w:val="0020"/>
        <w:jc w:val="start"/>
      </w:tblPr>
      <w:tblGrid>
        <w:gridCol w:w="2420"/>
        <w:gridCol w:w="1760"/>
        <w:gridCol w:w="3740"/>
      </w:tblGrid>
      <w:tr>
        <w:trPr>
          <w:tblHeader w:val="true"/>
        </w:trPr>
        <w:tc>
          <w:tcPr/>
          <w:p>
            <w:pPr>
              <w:pStyle w:val="Compact"/>
              <w:jc w:val="left"/>
            </w:pPr>
            <w:r>
              <w:t xml:space="preserve">MAC Score</w:t>
            </w:r>
          </w:p>
        </w:tc>
        <w:tc>
          <w:tcPr/>
          <w:p>
            <w:pPr>
              <w:pStyle w:val="Compact"/>
              <w:jc w:val="left"/>
            </w:pPr>
            <w:r>
              <w:t xml:space="preserve">Status</w:t>
            </w:r>
          </w:p>
        </w:tc>
        <w:tc>
          <w:tcPr/>
          <w:p>
            <w:pPr>
              <w:pStyle w:val="Compact"/>
              <w:jc w:val="left"/>
            </w:pPr>
            <w:r>
              <w:t xml:space="preserve">Interpretation</w:t>
            </w:r>
          </w:p>
        </w:tc>
      </w:tr>
      <w:tr>
        <w:tc>
          <w:tcPr/>
          <w:p>
            <w:pPr>
              <w:pStyle w:val="Compact"/>
              <w:jc w:val="left"/>
            </w:pPr>
            <w:r>
              <w:t xml:space="preserve">≥ 0.80</w:t>
            </w:r>
          </w:p>
        </w:tc>
        <w:tc>
          <w:tcPr/>
          <w:p>
            <w:pPr>
              <w:pStyle w:val="Compact"/>
              <w:jc w:val="left"/>
            </w:pPr>
            <w:r>
              <w:rPr>
                <w:bCs/>
                <w:b/>
              </w:rPr>
              <w:t xml:space="preserve">AMPLE</w:t>
            </w:r>
          </w:p>
        </w:tc>
        <w:tc>
          <w:tcPr/>
          <w:p>
            <w:pPr>
              <w:pStyle w:val="Compact"/>
              <w:jc w:val="left"/>
            </w:pPr>
            <w:r>
              <w:t xml:space="preserve">Substantial buffer capacity; shocks absorbed 1:1</w:t>
            </w:r>
          </w:p>
        </w:tc>
      </w:tr>
      <w:tr>
        <w:tc>
          <w:tcPr/>
          <w:p>
            <w:pPr>
              <w:pStyle w:val="Compact"/>
              <w:jc w:val="left"/>
            </w:pPr>
            <w:r>
              <w:t xml:space="preserve">0.60–0.80</w:t>
            </w:r>
          </w:p>
        </w:tc>
        <w:tc>
          <w:tcPr/>
          <w:p>
            <w:pPr>
              <w:pStyle w:val="Compact"/>
              <w:jc w:val="left"/>
            </w:pPr>
            <w:r>
              <w:rPr>
                <w:bCs/>
                <w:b/>
              </w:rPr>
              <w:t xml:space="preserve">COMFORTABLE</w:t>
            </w:r>
          </w:p>
        </w:tc>
        <w:tc>
          <w:tcPr/>
          <w:p>
            <w:pPr>
              <w:pStyle w:val="Compact"/>
              <w:jc w:val="left"/>
            </w:pPr>
            <w:r>
              <w:t xml:space="preserve">Can absorb moderate shocks</w:t>
            </w:r>
          </w:p>
        </w:tc>
      </w:tr>
      <w:tr>
        <w:tc>
          <w:tcPr/>
          <w:p>
            <w:pPr>
              <w:pStyle w:val="Compact"/>
              <w:jc w:val="left"/>
            </w:pPr>
            <w:r>
              <w:t xml:space="preserve">0.40–0.60</w:t>
            </w:r>
          </w:p>
        </w:tc>
        <w:tc>
          <w:tcPr/>
          <w:p>
            <w:pPr>
              <w:pStyle w:val="Compact"/>
              <w:jc w:val="left"/>
            </w:pPr>
            <w:r>
              <w:rPr>
                <w:bCs/>
                <w:b/>
              </w:rPr>
              <w:t xml:space="preserve">THIN</w:t>
            </w:r>
          </w:p>
        </w:tc>
        <w:tc>
          <w:tcPr/>
          <w:p>
            <w:pPr>
              <w:pStyle w:val="Compact"/>
              <w:jc w:val="left"/>
            </w:pPr>
            <w:r>
              <w:t xml:space="preserve">Limited buffer; elevated transmission risk</w:t>
            </w:r>
          </w:p>
        </w:tc>
      </w:tr>
      <w:tr>
        <w:tc>
          <w:tcPr/>
          <w:p>
            <w:pPr>
              <w:pStyle w:val="Compact"/>
              <w:jc w:val="left"/>
            </w:pPr>
            <w:r>
              <w:t xml:space="preserve">0.20–0.40</w:t>
            </w:r>
          </w:p>
        </w:tc>
        <w:tc>
          <w:tcPr/>
          <w:p>
            <w:pPr>
              <w:pStyle w:val="Compact"/>
              <w:jc w:val="left"/>
            </w:pPr>
            <w:r>
              <w:rPr>
                <w:bCs/>
                <w:b/>
              </w:rPr>
              <w:t xml:space="preserve">STRETCHED</w:t>
            </w:r>
          </w:p>
        </w:tc>
        <w:tc>
          <w:tcPr/>
          <w:p>
            <w:pPr>
              <w:pStyle w:val="Compact"/>
              <w:jc w:val="left"/>
            </w:pPr>
            <w:r>
              <w:t xml:space="preserve">High transmission risk; close monitoring required</w:t>
            </w:r>
          </w:p>
        </w:tc>
      </w:tr>
      <w:tr>
        <w:tc>
          <w:tcPr/>
          <w:p>
            <w:pPr>
              <w:pStyle w:val="Compact"/>
              <w:jc w:val="left"/>
            </w:pPr>
            <w:r>
              <w:t xml:space="preserve">&lt; 0.20</w:t>
            </w:r>
          </w:p>
        </w:tc>
        <w:tc>
          <w:tcPr/>
          <w:p>
            <w:pPr>
              <w:pStyle w:val="Compact"/>
              <w:jc w:val="left"/>
            </w:pPr>
            <w:r>
              <w:rPr>
                <w:bCs/>
                <w:b/>
              </w:rPr>
              <w:t xml:space="preserve">REGIME BREAK</w:t>
            </w:r>
          </w:p>
        </w:tc>
        <w:tc>
          <w:tcPr/>
          <w:p>
            <w:pPr>
              <w:pStyle w:val="Compact"/>
              <w:jc w:val="left"/>
            </w:pPr>
            <w:r>
              <w:t xml:space="preserve">Buffers exhausted; non-linear dynamics likely</w:t>
            </w:r>
          </w:p>
        </w:tc>
      </w:tr>
    </w:tbl>
    <w:p>
      <w:r>
        <w:pict>
          <v:rect style="width:0;height:1.5pt" o:hralign="center" o:hrstd="t" o:hr="t"/>
        </w:pict>
      </w:r>
    </w:p>
    <w:bookmarkEnd w:id="76"/>
    <w:bookmarkEnd w:id="77"/>
    <w:bookmarkStart w:id="85" w:name="machine-learning-components"/>
    <w:p>
      <w:pPr>
        <w:pStyle w:val="Heading2"/>
      </w:pPr>
      <w:r>
        <w:t xml:space="preserve">7. Machine Learning Components</w:t>
      </w:r>
    </w:p>
    <w:bookmarkStart w:id="78" w:name="architecture"/>
    <w:p>
      <w:pPr>
        <w:pStyle w:val="Heading3"/>
      </w:pPr>
      <w:r>
        <w:t xml:space="preserve">7.1 Architecture</w:t>
      </w:r>
    </w:p>
    <w:p>
      <w:pPr>
        <w:pStyle w:val="FirstParagraph"/>
      </w:pPr>
      <w:r>
        <w:t xml:space="preserve">The ML module (</w:t>
      </w:r>
      <w:r>
        <w:rPr>
          <w:rStyle w:val="VerbatimChar"/>
        </w:rPr>
        <w:t xml:space="preserve">grri_mac.mac.ml_weights.MLWeightOptimizer</w:t>
      </w:r>
      <w:r>
        <w:t xml:space="preserve">) uses ensemble methods to move beyond equal weights, capturing non-linear relationships and pillar interactions that simple averaging misses.</w:t>
      </w:r>
    </w:p>
    <w:bookmarkEnd w:id="78"/>
    <w:bookmarkStart w:id="79" w:name="training-data"/>
    <w:p>
      <w:pPr>
        <w:pStyle w:val="Heading3"/>
      </w:pPr>
      <w:r>
        <w:t xml:space="preserve">7.2 Training Data</w:t>
      </w:r>
    </w:p>
    <w:p>
      <w:pPr>
        <w:pStyle w:val="FirstParagraph"/>
      </w:pPr>
      <w:r>
        <w:rPr>
          <w:bCs/>
          <w:b/>
        </w:rPr>
        <w:t xml:space="preserve">14 historical crisis scenarios (1998–2025)</w:t>
      </w:r>
      <w:r>
        <w:t xml:space="preserve"> </w:t>
      </w:r>
      <w:r>
        <w:t xml:space="preserve">with FRED-verified indicator values: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Scenario</w:t>
            </w:r>
          </w:p>
        </w:tc>
        <w:tc>
          <w:tcPr/>
          <w:p>
            <w:pPr>
              <w:pStyle w:val="Compact"/>
              <w:jc w:val="left"/>
            </w:pPr>
            <w:r>
              <w:t xml:space="preserve">Date</w:t>
            </w:r>
          </w:p>
        </w:tc>
        <w:tc>
          <w:tcPr/>
          <w:p>
            <w:pPr>
              <w:pStyle w:val="Compact"/>
              <w:jc w:val="left"/>
            </w:pPr>
            <w:r>
              <w:t xml:space="preserve">Treasury Hedge</w:t>
            </w:r>
          </w:p>
        </w:tc>
        <w:tc>
          <w:tcPr/>
          <w:p>
            <w:pPr>
              <w:pStyle w:val="Compact"/>
              <w:jc w:val="left"/>
            </w:pPr>
            <w:r>
              <w:t xml:space="preserve">Severity</w:t>
            </w:r>
          </w:p>
        </w:tc>
      </w:tr>
      <w:tr>
        <w:tc>
          <w:tcPr/>
          <w:p>
            <w:pPr>
              <w:pStyle w:val="Compact"/>
              <w:jc w:val="left"/>
            </w:pPr>
            <w:r>
              <w:t xml:space="preserve">LTCM Crisis</w:t>
            </w:r>
          </w:p>
        </w:tc>
        <w:tc>
          <w:tcPr/>
          <w:p>
            <w:pPr>
              <w:pStyle w:val="Compact"/>
              <w:jc w:val="left"/>
            </w:pPr>
            <w:r>
              <w:t xml:space="preserve">1998-09-23</w:t>
            </w:r>
          </w:p>
        </w:tc>
        <w:tc>
          <w:tcPr/>
          <w:p>
            <w:pPr>
              <w:pStyle w:val="Compact"/>
              <w:jc w:val="left"/>
            </w:pPr>
            <w:r>
              <w:t xml:space="preserve">Worked</w:t>
            </w:r>
          </w:p>
        </w:tc>
        <w:tc>
          <w:tcPr/>
          <w:p>
            <w:pPr>
              <w:pStyle w:val="Compact"/>
              <w:jc w:val="left"/>
            </w:pPr>
            <w:r>
              <w:t xml:space="preserve">Extreme</w:t>
            </w:r>
          </w:p>
        </w:tc>
      </w:tr>
      <w:tr>
        <w:tc>
          <w:tcPr/>
          <w:p>
            <w:pPr>
              <w:pStyle w:val="Compact"/>
              <w:jc w:val="left"/>
            </w:pPr>
            <w:r>
              <w:t xml:space="preserve">Dot-com Peak</w:t>
            </w:r>
          </w:p>
        </w:tc>
        <w:tc>
          <w:tcPr/>
          <w:p>
            <w:pPr>
              <w:pStyle w:val="Compact"/>
              <w:jc w:val="left"/>
            </w:pPr>
            <w:r>
              <w:t xml:space="preserve">2000-03-10</w:t>
            </w:r>
          </w:p>
        </w:tc>
        <w:tc>
          <w:tcPr/>
          <w:p>
            <w:pPr>
              <w:pStyle w:val="Compact"/>
              <w:jc w:val="left"/>
            </w:pPr>
            <w:r>
              <w:t xml:space="preserve">Worked</w:t>
            </w:r>
          </w:p>
        </w:tc>
        <w:tc>
          <w:tcPr/>
          <w:p>
            <w:pPr>
              <w:pStyle w:val="Compact"/>
              <w:jc w:val="left"/>
            </w:pPr>
            <w:r>
              <w:t xml:space="preserve">Moderate</w:t>
            </w:r>
          </w:p>
        </w:tc>
      </w:tr>
      <w:tr>
        <w:tc>
          <w:tcPr/>
          <w:p>
            <w:pPr>
              <w:pStyle w:val="Compact"/>
              <w:jc w:val="left"/>
            </w:pPr>
            <w:r>
              <w:t xml:space="preserve">9/11 Attacks</w:t>
            </w:r>
          </w:p>
        </w:tc>
        <w:tc>
          <w:tcPr/>
          <w:p>
            <w:pPr>
              <w:pStyle w:val="Compact"/>
              <w:jc w:val="left"/>
            </w:pPr>
            <w:r>
              <w:t xml:space="preserve">2001-09-17</w:t>
            </w:r>
          </w:p>
        </w:tc>
        <w:tc>
          <w:tcPr/>
          <w:p>
            <w:pPr>
              <w:pStyle w:val="Compact"/>
              <w:jc w:val="left"/>
            </w:pPr>
            <w:r>
              <w:t xml:space="preserve">Worked</w:t>
            </w:r>
          </w:p>
        </w:tc>
        <w:tc>
          <w:tcPr/>
          <w:p>
            <w:pPr>
              <w:pStyle w:val="Compact"/>
              <w:jc w:val="left"/>
            </w:pPr>
            <w:r>
              <w:t xml:space="preserve">High</w:t>
            </w:r>
          </w:p>
        </w:tc>
      </w:tr>
      <w:tr>
        <w:tc>
          <w:tcPr/>
          <w:p>
            <w:pPr>
              <w:pStyle w:val="Compact"/>
              <w:jc w:val="left"/>
            </w:pPr>
            <w:r>
              <w:t xml:space="preserve">Dot-com Bottom</w:t>
            </w:r>
          </w:p>
        </w:tc>
        <w:tc>
          <w:tcPr/>
          <w:p>
            <w:pPr>
              <w:pStyle w:val="Compact"/>
              <w:jc w:val="left"/>
            </w:pPr>
            <w:r>
              <w:t xml:space="preserve">2002-10-09</w:t>
            </w:r>
          </w:p>
        </w:tc>
        <w:tc>
          <w:tcPr/>
          <w:p>
            <w:pPr>
              <w:pStyle w:val="Compact"/>
              <w:jc w:val="left"/>
            </w:pPr>
            <w:r>
              <w:t xml:space="preserve">Worked</w:t>
            </w:r>
          </w:p>
        </w:tc>
        <w:tc>
          <w:tcPr/>
          <w:p>
            <w:pPr>
              <w:pStyle w:val="Compact"/>
              <w:jc w:val="left"/>
            </w:pPr>
            <w:r>
              <w:t xml:space="preserve">High</w:t>
            </w:r>
          </w:p>
        </w:tc>
      </w:tr>
      <w:tr>
        <w:tc>
          <w:tcPr/>
          <w:p>
            <w:pPr>
              <w:pStyle w:val="Compact"/>
              <w:jc w:val="left"/>
            </w:pPr>
            <w:r>
              <w:t xml:space="preserve">Bear Stearns</w:t>
            </w:r>
          </w:p>
        </w:tc>
        <w:tc>
          <w:tcPr/>
          <w:p>
            <w:pPr>
              <w:pStyle w:val="Compact"/>
              <w:jc w:val="left"/>
            </w:pPr>
            <w:r>
              <w:t xml:space="preserve">2008-03-16</w:t>
            </w:r>
          </w:p>
        </w:tc>
        <w:tc>
          <w:tcPr/>
          <w:p>
            <w:pPr>
              <w:pStyle w:val="Compact"/>
              <w:jc w:val="left"/>
            </w:pPr>
            <w:r>
              <w:t xml:space="preserve">Worked</w:t>
            </w:r>
          </w:p>
        </w:tc>
        <w:tc>
          <w:tcPr/>
          <w:p>
            <w:pPr>
              <w:pStyle w:val="Compact"/>
              <w:jc w:val="left"/>
            </w:pPr>
            <w:r>
              <w:t xml:space="preserve">High</w:t>
            </w:r>
          </w:p>
        </w:tc>
      </w:tr>
      <w:tr>
        <w:tc>
          <w:tcPr/>
          <w:p>
            <w:pPr>
              <w:pStyle w:val="Compact"/>
              <w:jc w:val="left"/>
            </w:pPr>
            <w:r>
              <w:t xml:space="preserve">Lehman Brothers</w:t>
            </w:r>
          </w:p>
        </w:tc>
        <w:tc>
          <w:tcPr/>
          <w:p>
            <w:pPr>
              <w:pStyle w:val="Compact"/>
              <w:jc w:val="left"/>
            </w:pPr>
            <w:r>
              <w:t xml:space="preserve">2008-09-15</w:t>
            </w:r>
          </w:p>
        </w:tc>
        <w:tc>
          <w:tcPr/>
          <w:p>
            <w:pPr>
              <w:pStyle w:val="Compact"/>
              <w:jc w:val="left"/>
            </w:pPr>
            <w:r>
              <w:t xml:space="preserve">Worked initially</w:t>
            </w:r>
          </w:p>
        </w:tc>
        <w:tc>
          <w:tcPr/>
          <w:p>
            <w:pPr>
              <w:pStyle w:val="Compact"/>
              <w:jc w:val="left"/>
            </w:pPr>
            <w:r>
              <w:t xml:space="preserve">Extreme</w:t>
            </w:r>
          </w:p>
        </w:tc>
      </w:tr>
      <w:tr>
        <w:tc>
          <w:tcPr/>
          <w:p>
            <w:pPr>
              <w:pStyle w:val="Compact"/>
              <w:jc w:val="left"/>
            </w:pPr>
            <w:r>
              <w:t xml:space="preserve">Flash Crash</w:t>
            </w:r>
          </w:p>
        </w:tc>
        <w:tc>
          <w:tcPr/>
          <w:p>
            <w:pPr>
              <w:pStyle w:val="Compact"/>
              <w:jc w:val="left"/>
            </w:pPr>
            <w:r>
              <w:t xml:space="preserve">2010-05-06</w:t>
            </w:r>
          </w:p>
        </w:tc>
        <w:tc>
          <w:tcPr/>
          <w:p>
            <w:pPr>
              <w:pStyle w:val="Compact"/>
              <w:jc w:val="left"/>
            </w:pPr>
            <w:r>
              <w:t xml:space="preserve">Worked</w:t>
            </w:r>
          </w:p>
        </w:tc>
        <w:tc>
          <w:tcPr/>
          <w:p>
            <w:pPr>
              <w:pStyle w:val="Compact"/>
              <w:jc w:val="left"/>
            </w:pPr>
            <w:r>
              <w:t xml:space="preserve">Moderate</w:t>
            </w:r>
          </w:p>
        </w:tc>
      </w:tr>
      <w:tr>
        <w:tc>
          <w:tcPr/>
          <w:p>
            <w:pPr>
              <w:pStyle w:val="Compact"/>
              <w:jc w:val="left"/>
            </w:pPr>
            <w:r>
              <w:t xml:space="preserve">US Downgrade</w:t>
            </w:r>
          </w:p>
        </w:tc>
        <w:tc>
          <w:tcPr/>
          <w:p>
            <w:pPr>
              <w:pStyle w:val="Compact"/>
              <w:jc w:val="left"/>
            </w:pPr>
            <w:r>
              <w:t xml:space="preserve">2011-08-08</w:t>
            </w:r>
          </w:p>
        </w:tc>
        <w:tc>
          <w:tcPr/>
          <w:p>
            <w:pPr>
              <w:pStyle w:val="Compact"/>
              <w:jc w:val="left"/>
            </w:pPr>
            <w:r>
              <w:t xml:space="preserve">Worked</w:t>
            </w:r>
          </w:p>
        </w:tc>
        <w:tc>
          <w:tcPr/>
          <w:p>
            <w:pPr>
              <w:pStyle w:val="Compact"/>
              <w:jc w:val="left"/>
            </w:pPr>
            <w:r>
              <w:t xml:space="preserve">Moderate</w:t>
            </w:r>
          </w:p>
        </w:tc>
      </w:tr>
      <w:tr>
        <w:tc>
          <w:tcPr/>
          <w:p>
            <w:pPr>
              <w:pStyle w:val="Compact"/>
              <w:jc w:val="left"/>
            </w:pPr>
            <w:r>
              <w:t xml:space="preserve">Volmageddon</w:t>
            </w:r>
          </w:p>
        </w:tc>
        <w:tc>
          <w:tcPr/>
          <w:p>
            <w:pPr>
              <w:pStyle w:val="Compact"/>
              <w:jc w:val="left"/>
            </w:pPr>
            <w:r>
              <w:t xml:space="preserve">2018-02-05</w:t>
            </w:r>
          </w:p>
        </w:tc>
        <w:tc>
          <w:tcPr/>
          <w:p>
            <w:pPr>
              <w:pStyle w:val="Compact"/>
              <w:jc w:val="left"/>
            </w:pPr>
            <w:r>
              <w:rPr>
                <w:bCs/>
                <w:b/>
              </w:rPr>
              <w:t xml:space="preserve">Failed</w:t>
            </w:r>
            <w:r>
              <w:t xml:space="preserve"> </w:t>
            </w:r>
            <w:r>
              <w:t xml:space="preserve">(short-vol)</w:t>
            </w:r>
          </w:p>
        </w:tc>
        <w:tc>
          <w:tcPr/>
          <w:p>
            <w:pPr>
              <w:pStyle w:val="Compact"/>
              <w:jc w:val="left"/>
            </w:pPr>
            <w:r>
              <w:t xml:space="preserve">Moderate</w:t>
            </w:r>
          </w:p>
        </w:tc>
      </w:tr>
      <w:tr>
        <w:tc>
          <w:tcPr/>
          <w:p>
            <w:pPr>
              <w:pStyle w:val="Compact"/>
              <w:jc w:val="left"/>
            </w:pPr>
            <w:r>
              <w:t xml:space="preserve">Repo Spike</w:t>
            </w:r>
          </w:p>
        </w:tc>
        <w:tc>
          <w:tcPr/>
          <w:p>
            <w:pPr>
              <w:pStyle w:val="Compact"/>
              <w:jc w:val="left"/>
            </w:pPr>
            <w:r>
              <w:t xml:space="preserve">2019-09-17</w:t>
            </w:r>
          </w:p>
        </w:tc>
        <w:tc>
          <w:tcPr/>
          <w:p>
            <w:pPr>
              <w:pStyle w:val="Compact"/>
              <w:jc w:val="left"/>
            </w:pPr>
            <w:r>
              <w:t xml:space="preserve">Worked</w:t>
            </w:r>
          </w:p>
        </w:tc>
        <w:tc>
          <w:tcPr/>
          <w:p>
            <w:pPr>
              <w:pStyle w:val="Compact"/>
              <w:jc w:val="left"/>
            </w:pPr>
            <w:r>
              <w:t xml:space="preserve">Moderate</w:t>
            </w:r>
          </w:p>
        </w:tc>
      </w:tr>
      <w:tr>
        <w:tc>
          <w:tcPr/>
          <w:p>
            <w:pPr>
              <w:pStyle w:val="Compact"/>
              <w:jc w:val="left"/>
            </w:pPr>
            <w:r>
              <w:t xml:space="preserve">COVID Crash</w:t>
            </w:r>
          </w:p>
        </w:tc>
        <w:tc>
          <w:tcPr/>
          <w:p>
            <w:pPr>
              <w:pStyle w:val="Compact"/>
              <w:jc w:val="left"/>
            </w:pPr>
            <w:r>
              <w:t xml:space="preserve">2020-03-16</w:t>
            </w:r>
          </w:p>
        </w:tc>
        <w:tc>
          <w:tcPr/>
          <w:p>
            <w:pPr>
              <w:pStyle w:val="Compact"/>
              <w:jc w:val="left"/>
            </w:pPr>
            <w:r>
              <w:rPr>
                <w:bCs/>
                <w:b/>
              </w:rPr>
              <w:t xml:space="preserve">Failed</w:t>
            </w:r>
            <w:r>
              <w:t xml:space="preserve"> </w:t>
            </w:r>
            <w:r>
              <w:t xml:space="preserve">(basis unwind)</w:t>
            </w:r>
          </w:p>
        </w:tc>
        <w:tc>
          <w:tcPr/>
          <w:p>
            <w:pPr>
              <w:pStyle w:val="Compact"/>
              <w:jc w:val="left"/>
            </w:pPr>
            <w:r>
              <w:t xml:space="preserve">Extreme</w:t>
            </w:r>
          </w:p>
        </w:tc>
      </w:tr>
      <w:tr>
        <w:tc>
          <w:tcPr/>
          <w:p>
            <w:pPr>
              <w:pStyle w:val="Compact"/>
              <w:jc w:val="left"/>
            </w:pPr>
            <w:r>
              <w:t xml:space="preserve">Russia–Ukraine</w:t>
            </w:r>
          </w:p>
        </w:tc>
        <w:tc>
          <w:tcPr/>
          <w:p>
            <w:pPr>
              <w:pStyle w:val="Compact"/>
              <w:jc w:val="left"/>
            </w:pPr>
            <w:r>
              <w:t xml:space="preserve">2022-02-24</w:t>
            </w:r>
          </w:p>
        </w:tc>
        <w:tc>
          <w:tcPr/>
          <w:p>
            <w:pPr>
              <w:pStyle w:val="Compact"/>
              <w:jc w:val="left"/>
            </w:pPr>
            <w:r>
              <w:t xml:space="preserve">Worked</w:t>
            </w:r>
          </w:p>
        </w:tc>
        <w:tc>
          <w:tcPr/>
          <w:p>
            <w:pPr>
              <w:pStyle w:val="Compact"/>
              <w:jc w:val="left"/>
            </w:pPr>
            <w:r>
              <w:t xml:space="preserve">Moderate</w:t>
            </w:r>
          </w:p>
        </w:tc>
      </w:tr>
      <w:tr>
        <w:tc>
          <w:tcPr/>
          <w:p>
            <w:pPr>
              <w:pStyle w:val="Compact"/>
              <w:jc w:val="left"/>
            </w:pPr>
            <w:r>
              <w:t xml:space="preserve">SVB Crisis</w:t>
            </w:r>
          </w:p>
        </w:tc>
        <w:tc>
          <w:tcPr/>
          <w:p>
            <w:pPr>
              <w:pStyle w:val="Compact"/>
              <w:jc w:val="left"/>
            </w:pPr>
            <w:r>
              <w:t xml:space="preserve">2023-03-10</w:t>
            </w:r>
          </w:p>
        </w:tc>
        <w:tc>
          <w:tcPr/>
          <w:p>
            <w:pPr>
              <w:pStyle w:val="Compact"/>
              <w:jc w:val="left"/>
            </w:pPr>
            <w:r>
              <w:t xml:space="preserve">Worked</w:t>
            </w:r>
          </w:p>
        </w:tc>
        <w:tc>
          <w:tcPr/>
          <w:p>
            <w:pPr>
              <w:pStyle w:val="Compact"/>
              <w:jc w:val="left"/>
            </w:pPr>
            <w:r>
              <w:t xml:space="preserve">High</w:t>
            </w:r>
          </w:p>
        </w:tc>
      </w:tr>
      <w:tr>
        <w:tc>
          <w:tcPr/>
          <w:p>
            <w:pPr>
              <w:pStyle w:val="Compact"/>
              <w:jc w:val="left"/>
            </w:pPr>
            <w:r>
              <w:t xml:space="preserve">April 2025 Tariffs</w:t>
            </w:r>
          </w:p>
        </w:tc>
        <w:tc>
          <w:tcPr/>
          <w:p>
            <w:pPr>
              <w:pStyle w:val="Compact"/>
              <w:jc w:val="left"/>
            </w:pPr>
            <w:r>
              <w:t xml:space="preserve">2025-04-02</w:t>
            </w:r>
          </w:p>
        </w:tc>
        <w:tc>
          <w:tcPr/>
          <w:p>
            <w:pPr>
              <w:pStyle w:val="Compact"/>
              <w:jc w:val="left"/>
            </w:pPr>
            <w:r>
              <w:rPr>
                <w:bCs/>
                <w:b/>
              </w:rPr>
              <w:t xml:space="preserve">Failed</w:t>
            </w:r>
            <w:r>
              <w:t xml:space="preserve"> </w:t>
            </w:r>
            <w:r>
              <w:t xml:space="preserve">(crowding)</w:t>
            </w:r>
          </w:p>
        </w:tc>
        <w:tc>
          <w:tcPr/>
          <w:p>
            <w:pPr>
              <w:pStyle w:val="Compact"/>
              <w:jc w:val="left"/>
            </w:pPr>
            <w:r>
              <w:t xml:space="preserve">Moderate</w:t>
            </w:r>
          </w:p>
        </w:tc>
      </w:tr>
    </w:tbl>
    <w:bookmarkEnd w:id="79"/>
    <w:bookmarkStart w:id="80" w:name="X30360db7dec0d1b415d1050bc8b21e5f73f80dc"/>
    <w:p>
      <w:pPr>
        <w:pStyle w:val="Heading3"/>
      </w:pPr>
      <w:r>
        <w:t xml:space="preserve">7.3 Optimisation Method 1: Crisis Severity Prediction</w:t>
      </w:r>
    </w:p>
    <w:p>
      <w:pPr>
        <w:pStyle w:val="FirstParagraph"/>
      </w:pPr>
      <w:r>
        <w:rPr>
          <w:bCs/>
          <w:b/>
        </w:rPr>
        <w:t xml:space="preserve">Objective:</w:t>
      </w:r>
      <w:r>
        <w:t xml:space="preserve"> </w:t>
      </w:r>
      <w:r>
        <w:t xml:space="preserve">Predict expected MAC score (continuous, 0–1) from pillar scores.</w:t>
      </w:r>
    </w:p>
    <w:p>
      <w:pPr>
        <w:pStyle w:val="BodyText"/>
      </w:pPr>
      <w:r>
        <w:rPr>
          <w:bCs/>
          <w:b/>
        </w:rPr>
        <w:t xml:space="preserve">Model:</w:t>
      </w:r>
      <w:r>
        <w:t xml:space="preserve"> </w:t>
      </w:r>
      <w:r>
        <w:t xml:space="preserve">Gradient Boosting Regressor with:</w:t>
      </w:r>
      <w:r>
        <w:t xml:space="preserve"> </w:t>
      </w:r>
      <w:r>
        <w:t xml:space="preserve">- 50 estimators, max depth 2 (shallow to prevent overfitting on 14 samples)</w:t>
      </w:r>
      <w:r>
        <w:t xml:space="preserve"> </w:t>
      </w:r>
      <w:r>
        <w:t xml:space="preserve">- Learning rate 0.10, minimum 2 samples per leaf</w:t>
      </w:r>
      <w:r>
        <w:t xml:space="preserve"> </w:t>
      </w:r>
      <w:r>
        <w:t xml:space="preserve">- Random seed 42 for reproducibility</w:t>
      </w:r>
    </w:p>
    <w:p>
      <w:pPr>
        <w:pStyle w:val="BodyText"/>
      </w:pPr>
      <w:r>
        <w:rPr>
          <w:bCs/>
          <w:b/>
        </w:rPr>
        <w:t xml:space="preserve">Features:</w:t>
      </w:r>
      <w:r>
        <w:t xml:space="preserve"> </w:t>
      </w:r>
      <w:r>
        <w:t xml:space="preserve">- 6 base features: pillar scores for liquidity, valuation, positioning, volatility, policy, contagion</w:t>
      </w:r>
      <w:r>
        <w:t xml:space="preserve"> </w:t>
      </w:r>
      <w:r>
        <w:t xml:space="preserve">- 6 interaction features: pairwise products of theoretically motivated pillar pairs</w:t>
      </w:r>
    </w:p>
    <w:p>
      <w:pPr>
        <w:pStyle w:val="BodyText"/>
      </w:pPr>
      <w:r>
        <w:rPr>
          <w:bCs/>
          <w:b/>
        </w:rPr>
        <w:t xml:space="preserve">Interaction pairs (based on financial theory):</w:t>
      </w:r>
      <w:r>
        <w:t xml:space="preserve"> </w:t>
      </w:r>
      <w:r>
        <w:t xml:space="preserve">1. Positioning × Volatility — crowded trades + vol spike = forced unwind</w:t>
      </w:r>
      <w:r>
        <w:t xml:space="preserve"> </w:t>
      </w:r>
      <w:r>
        <w:t xml:space="preserve">2. Positioning × Liquidity — position crowding + illiquidity = margin calls</w:t>
      </w:r>
      <w:r>
        <w:t xml:space="preserve"> </w:t>
      </w:r>
      <w:r>
        <w:t xml:space="preserve">3. Policy × Contagion — policy constraints + global stress = limited response</w:t>
      </w:r>
      <w:r>
        <w:t xml:space="preserve"> </w:t>
      </w:r>
      <w:r>
        <w:t xml:space="preserve">4. Liquidity × Contagion — funding stress + global = dollar squeeze</w:t>
      </w:r>
      <w:r>
        <w:t xml:space="preserve"> </w:t>
      </w:r>
      <w:r>
        <w:t xml:space="preserve">5. Valuation × Volatility — compressed spreads + vol = repricing</w:t>
      </w:r>
      <w:r>
        <w:t xml:space="preserve"> </w:t>
      </w:r>
      <w:r>
        <w:t xml:space="preserve">6. Positioning × Contagion — positioning + global = coordinated unwind</w:t>
      </w:r>
    </w:p>
    <w:p>
      <w:pPr>
        <w:pStyle w:val="BodyText"/>
      </w:pPr>
      <w:r>
        <w:rPr>
          <w:bCs/>
          <w:b/>
        </w:rPr>
        <w:t xml:space="preserve">Validation:</w:t>
      </w:r>
      <w:r>
        <w:t xml:space="preserve"> </w:t>
      </w:r>
      <w:r>
        <w:t xml:space="preserve">Leave-one-out cross-validation (LOOCV), appropriate for the small sample size (N=14). Each scenario is held out in turn; the model is trained on the remaining 13 and tested on the held-out scenario.</w:t>
      </w:r>
    </w:p>
    <w:bookmarkEnd w:id="80"/>
    <w:bookmarkStart w:id="81" w:name="X59b903cace74ec1256f185cff2962f19965da89"/>
    <w:p>
      <w:pPr>
        <w:pStyle w:val="Heading3"/>
      </w:pPr>
      <w:r>
        <w:t xml:space="preserve">7.4 Optimisation Method 2: Hedge Failure Prediction — Revised</w:t>
      </w:r>
    </w:p>
    <w:p>
      <w:pPr>
        <w:pStyle w:val="FirstParagraph"/>
      </w:pPr>
      <w:r>
        <w:rPr>
          <w:bCs/>
          <w:b/>
        </w:rPr>
        <w:t xml:space="preserve">Objective:</w:t>
      </w:r>
      <w:r>
        <w:t xml:space="preserve"> </w:t>
      </w:r>
      <w:r>
        <w:t xml:space="preserve">Classify whether Treasury hedges will fail (binary) from pillar scores.</w:t>
      </w:r>
    </w:p>
    <w:p>
      <w:pPr>
        <w:pStyle w:val="BodyText"/>
      </w:pPr>
      <w:r>
        <w:rPr>
          <w:bCs/>
          <w:b/>
        </w:rPr>
        <w:t xml:space="preserve">Model:</w:t>
      </w:r>
      <w:r>
        <w:t xml:space="preserve"> </w:t>
      </w:r>
      <w:r>
        <w:t xml:space="preserve">Gradient Boosting Classifier with:</w:t>
      </w:r>
      <w:r>
        <w:t xml:space="preserve"> </w:t>
      </w:r>
      <w:r>
        <w:t xml:space="preserve">- 50 estimators, max depth 2, class balancing (balanced weights)</w:t>
      </w:r>
      <w:r>
        <w:t xml:space="preserve"> </w:t>
      </w:r>
      <w:r>
        <w:t xml:space="preserve">- Same interaction features as severity model</w:t>
      </w:r>
    </w:p>
    <w:p>
      <w:pPr>
        <w:pStyle w:val="BodyText"/>
      </w:pPr>
      <w:r>
        <w:rPr>
          <w:bCs/>
          <w:b/>
        </w:rPr>
        <w:t xml:space="preserve">Key finding:</w:t>
      </w:r>
      <w:r>
        <w:t xml:space="preserve"> </w:t>
      </w:r>
      <w:r>
        <w:t xml:space="preserve">Positioning is the dominant predictor of hedge failure. In every scenario where positioning breached, Treasury hedges failed (Volmageddon 2018: short-vol crowding; COVID 2020: basis trade unwind; April 2025 Tariffs: record basis trade size).</w:t>
      </w:r>
    </w:p>
    <w:p>
      <w:pPr>
        <w:pStyle w:val="BodyText"/>
      </w:pPr>
      <w:r>
        <w:rPr>
          <w:bCs/>
          <w:b/>
        </w:rPr>
        <w:t xml:space="preserve">Statistical context for the positioning–hedge failure relationship:</w:t>
      </w:r>
    </w:p>
    <w:p>
      <w:pPr>
        <w:pStyle w:val="BodyText"/>
      </w:pPr>
      <w:r>
        <w:t xml:space="preserve">The relationship between positioning breach and hedge failure is observed as a perfect necessary condition in the modern sample: 3 breaches / 3 failures, 0 breaches / 11 non-failures. The strength of this finding must be assessed against its sample size limitations.</w:t>
      </w:r>
    </w:p>
    <w:p>
      <w:pPr>
        <w:pStyle w:val="BodyText"/>
      </w:pPr>
      <w:r>
        <w:rPr>
          <w:iCs/>
          <w:i/>
        </w:rPr>
        <w:t xml:space="preserve">Frequentist framing.</w:t>
      </w:r>
      <w:r>
        <w:t xml:space="preserve"> </w:t>
      </w:r>
      <w:r>
        <w:t xml:space="preserve">Under a null hypothesis that positioning breach and hedge failure are independent, the probability of observing the exact 2×2 contingency table (3 breaches all coinciding with 3 failures from 14 scenarios) is computable via Fisher’s exact test: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t xml:space="preserve">Hedge Failed</w:t>
            </w:r>
          </w:p>
        </w:tc>
        <w:tc>
          <w:tcPr/>
          <w:p>
            <w:pPr>
              <w:pStyle w:val="Compact"/>
              <w:jc w:val="left"/>
            </w:pPr>
            <w:r>
              <w:t xml:space="preserve">Hedge Worked</w:t>
            </w:r>
          </w:p>
        </w:tc>
      </w:tr>
      <w:tr>
        <w:tc>
          <w:tcPr/>
          <w:p>
            <w:pPr>
              <w:pStyle w:val="Compact"/>
              <w:jc w:val="left"/>
            </w:pPr>
            <w:r>
              <w:rPr>
                <w:bCs/>
                <w:b/>
              </w:rPr>
              <w:t xml:space="preserve">Positioning Breached</w:t>
            </w:r>
          </w:p>
        </w:tc>
        <w:tc>
          <w:tcPr/>
          <w:p>
            <w:pPr>
              <w:pStyle w:val="Compact"/>
              <w:jc w:val="left"/>
            </w:pPr>
            <w:r>
              <w:t xml:space="preserve">3</w:t>
            </w:r>
          </w:p>
        </w:tc>
        <w:tc>
          <w:tcPr/>
          <w:p>
            <w:pPr>
              <w:pStyle w:val="Compact"/>
              <w:jc w:val="left"/>
            </w:pPr>
            <w:r>
              <w:t xml:space="preserve">0</w:t>
            </w:r>
          </w:p>
        </w:tc>
      </w:tr>
      <w:tr>
        <w:tc>
          <w:tcPr/>
          <w:p>
            <w:pPr>
              <w:pStyle w:val="Compact"/>
              <w:jc w:val="left"/>
            </w:pPr>
            <w:r>
              <w:rPr>
                <w:bCs/>
                <w:b/>
              </w:rPr>
              <w:t xml:space="preserve">Positioning Not Breached</w:t>
            </w:r>
          </w:p>
        </w:tc>
        <w:tc>
          <w:tcPr/>
          <w:p>
            <w:pPr>
              <w:pStyle w:val="Compact"/>
              <w:jc w:val="left"/>
            </w:pPr>
            <w:r>
              <w:t xml:space="preserve">0</w:t>
            </w:r>
          </w:p>
        </w:tc>
        <w:tc>
          <w:tcPr/>
          <w:p>
            <w:pPr>
              <w:pStyle w:val="Compact"/>
              <w:jc w:val="left"/>
            </w:pPr>
            <w:r>
              <w:t xml:space="preserve">11</w:t>
            </w:r>
          </w:p>
        </w:tc>
      </w:tr>
    </w:tbl>
    <w:p>
      <w:pPr>
        <w:pStyle w:val="BodyText"/>
      </w:pPr>
      <m:oMathPara>
        <m:oMathParaPr>
          <m:jc m:val="center"/>
        </m:oMathParaPr>
        <m:oMath>
          <m:r>
            <m:t>p</m:t>
          </m:r>
          <m:r>
            <m:rPr>
              <m:sty m:val="p"/>
            </m:rPr>
            <m:t>=</m:t>
          </m:r>
          <m:f>
            <m:fPr>
              <m:type m:val="bar"/>
            </m:fPr>
            <m:num>
              <m:d>
                <m:dPr>
                  <m:begChr m:val="("/>
                  <m:endChr m:val=")"/>
                  <m:sepChr m:val=""/>
                  <m:grow/>
                </m:dPr>
                <m:e>
                  <m:f>
                    <m:fPr>
                      <m:type m:val="noBar"/>
                    </m:fPr>
                    <m:num>
                      <m:r>
                        <m:t>3</m:t>
                      </m:r>
                    </m:num>
                    <m:den>
                      <m:r>
                        <m:t>3</m:t>
                      </m:r>
                    </m:den>
                  </m:f>
                </m:e>
              </m:d>
              <m:d>
                <m:dPr>
                  <m:begChr m:val="("/>
                  <m:endChr m:val=")"/>
                  <m:sepChr m:val=""/>
                  <m:grow/>
                </m:dPr>
                <m:e>
                  <m:f>
                    <m:fPr>
                      <m:type m:val="noBar"/>
                    </m:fPr>
                    <m:num>
                      <m:r>
                        <m:t>11</m:t>
                      </m:r>
                    </m:num>
                    <m:den>
                      <m:r>
                        <m:t>0</m:t>
                      </m:r>
                    </m:den>
                  </m:f>
                </m:e>
              </m:d>
            </m:num>
            <m:den>
              <m:d>
                <m:dPr>
                  <m:begChr m:val="("/>
                  <m:endChr m:val=")"/>
                  <m:sepChr m:val=""/>
                  <m:grow/>
                </m:dPr>
                <m:e>
                  <m:f>
                    <m:fPr>
                      <m:type m:val="noBar"/>
                    </m:fPr>
                    <m:num>
                      <m:r>
                        <m:t>14</m:t>
                      </m:r>
                    </m:num>
                    <m:den>
                      <m:r>
                        <m:t>3</m:t>
                      </m:r>
                    </m:den>
                  </m:f>
                </m:e>
              </m:d>
            </m:den>
          </m:f>
          <m:r>
            <m:rPr>
              <m:sty m:val="p"/>
            </m:rPr>
            <m:t>=</m:t>
          </m:r>
          <m:f>
            <m:fPr>
              <m:type m:val="bar"/>
            </m:fPr>
            <m:num>
              <m:r>
                <m:t>1</m:t>
              </m:r>
            </m:num>
            <m:den>
              <m:r>
                <m:t>364</m:t>
              </m:r>
            </m:den>
          </m:f>
          <m:r>
            <m:rPr>
              <m:sty m:val="p"/>
            </m:rPr>
            <m:t>≈</m:t>
          </m:r>
          <m:r>
            <m:t>0.0027</m:t>
          </m:r>
        </m:oMath>
      </m:oMathPara>
    </w:p>
    <w:p>
      <w:pPr>
        <w:pStyle w:val="FirstParagraph"/>
      </w:pPr>
      <w:r>
        <w:t xml:space="preserve">The one-sided p-value of 0.0027 is highly significant by conventional thresholds, indicating the association is unlikely to arise by chance. However, significance does not establish sufficiency — it remains possible that positioning breach is necessary but not sufficient, and that future positioning breaches will coincide with hedge success if other conditions (e.g., central bank intervention speed, reduced basis trade concentration) provide offsetting buffers.</w:t>
      </w:r>
    </w:p>
    <w:p>
      <w:pPr>
        <w:pStyle w:val="BodyText"/>
      </w:pPr>
      <w:r>
        <w:rPr>
          <w:iCs/>
          <w:i/>
        </w:rPr>
        <w:t xml:space="preserve">Bayesian framing.</w:t>
      </w:r>
      <w:r>
        <w:t xml:space="preserve"> </w:t>
      </w:r>
      <w:r>
        <w:t xml:space="preserve">With a uniform Beta(1,1) prior on the probability that a positioning breach produces hedge failure, updating on 3 successes and 0 failures yields a Beta(4,1) posterior. The posterior mean is 0.80 (not 1.00), and the 90% credible interval is [0.44, 0.98]. This quantifies the intuition that 3/3 is strong evidence but not certainty — there is meaningful posterior mass below 0.80, reflecting genuine uncertainty about the true rate.</w:t>
      </w:r>
    </w:p>
    <w:p>
      <w:pPr>
        <w:pStyle w:val="BodyText"/>
      </w:pPr>
      <w:r>
        <w:rPr>
          <w:iCs/>
          <w:i/>
        </w:rPr>
        <w:t xml:space="preserve">Mechanistic support.</w:t>
      </w:r>
      <w:r>
        <w:t xml:space="preserve"> </w:t>
      </w:r>
      <w:r>
        <w:t xml:space="preserve">The statistical association is reinforced by a clear causal mechanism. In all three failure episodes, the transmission channel was the same: concentrated directional or basis positioning → margin calls or forced unwinds → Treasury selling by leveraged participants → safe-haven function reversed. The three episodes span distinct sub-mechanisms (short-vol crowding in 2018, cash-futures basis unwind in 2020, record notional basis trade in 2025), demonstrating that the relationship holds across multiple variants of the positioning-stress pathway.</w:t>
      </w:r>
    </w:p>
    <w:p>
      <w:pPr>
        <w:pStyle w:val="BodyText"/>
      </w:pPr>
      <w:r>
        <w:rPr>
          <w:bCs/>
          <w:b/>
        </w:rPr>
        <w:t xml:space="preserve">Design implications.</w:t>
      </w:r>
      <w:r>
        <w:t xml:space="preserve"> </w:t>
      </w:r>
      <w:r>
        <w:t xml:space="preserve">Given the combination of strong statistical association (p &lt; 0.003), coherent mechanism, and cross-variant consistency, the framework assigns positioning the highest pillar weight (22%/24%) and implements a critical breach override (§4.3). These design choices would remain justified even if the true breach→failure probability were at the lower bound of the Bayesian credible interval (~0.50), because a coin-flip probability of hedge failure is itself sufficient to warrant maximum positioning weight in a risk framework. The framework does</w:t>
      </w:r>
      <w:r>
        <w:t xml:space="preserve"> </w:t>
      </w:r>
      <w:r>
        <w:rPr>
          <w:bCs/>
          <w:b/>
        </w:rPr>
        <w:t xml:space="preserve">not</w:t>
      </w:r>
      <w:r>
        <w:t xml:space="preserve"> </w:t>
      </w:r>
      <w:r>
        <w:t xml:space="preserve">assume positioning breach deterministically causes hedge failure — it assumes positioning breach is the strongest available leading indicator of hedge failure, which is a weaker and more defensible claim.</w:t>
      </w:r>
    </w:p>
    <w:p>
      <w:pPr>
        <w:pStyle w:val="BodyText"/>
      </w:pPr>
      <w:r>
        <w:rPr>
          <w:bCs/>
          <w:b/>
        </w:rPr>
        <w:t xml:space="preserve">Monitoring protocol.</w:t>
      </w:r>
      <w:r>
        <w:t xml:space="preserve"> </w:t>
      </w:r>
      <w:r>
        <w:t xml:space="preserve">As additional crisis episodes accumulate, the positioning–hedge failure relationship will be updated. The first observed instance of a positioning breach</w:t>
      </w:r>
      <w:r>
        <w:t xml:space="preserve"> </w:t>
      </w:r>
      <w:r>
        <w:rPr>
          <w:iCs/>
          <w:i/>
        </w:rPr>
        <w:t xml:space="preserve">without</w:t>
      </w:r>
      <w:r>
        <w:t xml:space="preserve"> </w:t>
      </w:r>
      <w:r>
        <w:t xml:space="preserve">hedge failure would narrow the credible interval and potentially trigger recalibration of the critical breach override threshold. This is expected and planned for, not a framework failure.</w:t>
      </w:r>
    </w:p>
    <w:bookmarkEnd w:id="81"/>
    <w:bookmarkStart w:id="82" w:name="interaction-detection"/>
    <w:p>
      <w:pPr>
        <w:pStyle w:val="Heading3"/>
      </w:pPr>
      <w:r>
        <w:t xml:space="preserve">7.5 Interaction Detection</w:t>
      </w:r>
    </w:p>
    <w:p>
      <w:pPr>
        <w:pStyle w:val="FirstParagraph"/>
      </w:pPr>
      <w:r>
        <w:t xml:space="preserve">The optimizer automatically detects significant interaction effects:</w:t>
      </w:r>
    </w:p>
    <w:p>
      <w:pPr>
        <w:pStyle w:val="BodyText"/>
      </w:pPr>
      <w:r>
        <w:rPr>
          <w:bCs/>
          <w:b/>
        </w:rPr>
        <w:t xml:space="preserve">Detected amplifying interactions:</w:t>
      </w:r>
      <w:r>
        <w:t xml:space="preserve"> </w:t>
      </w:r>
      <w:r>
        <w:t xml:space="preserve">-</w:t>
      </w:r>
      <w:r>
        <w:t xml:space="preserve"> </w:t>
      </w:r>
      <w:r>
        <w:rPr>
          <w:bCs/>
          <w:b/>
        </w:rPr>
        <w:t xml:space="preserve">Positioning × Volatility</w:t>
      </w:r>
      <w:r>
        <w:t xml:space="preserve"> </w:t>
      </w:r>
      <w:r>
        <w:t xml:space="preserve">—</w:t>
      </w:r>
      <w:r>
        <w:t xml:space="preserve"> </w:t>
      </w:r>
      <w:r>
        <w:t xml:space="preserve">“</w:t>
      </w:r>
      <w:r>
        <w:t xml:space="preserve">Crowded positioning + volatility spike leads to forced unwinding. This explains hedge failures during COVID and April 2025.</w:t>
      </w:r>
      <w:r>
        <w:t xml:space="preserve">”</w:t>
      </w:r>
      <w:r>
        <w:t xml:space="preserve"> </w:t>
      </w:r>
      <w:r>
        <w:t xml:space="preserve">-</w:t>
      </w:r>
      <w:r>
        <w:t xml:space="preserve"> </w:t>
      </w:r>
      <w:r>
        <w:rPr>
          <w:bCs/>
          <w:b/>
        </w:rPr>
        <w:t xml:space="preserve">Positioning × Liquidity</w:t>
      </w:r>
      <w:r>
        <w:t xml:space="preserve"> </w:t>
      </w:r>
      <w:r>
        <w:t xml:space="preserve">—</w:t>
      </w:r>
      <w:r>
        <w:t xml:space="preserve"> </w:t>
      </w:r>
      <w:r>
        <w:t xml:space="preserve">“</w:t>
      </w:r>
      <w:r>
        <w:t xml:space="preserve">Position crowding + illiquidity triggers margin calls and fire sales, amplifying price dislocations.</w:t>
      </w:r>
      <w:r>
        <w:t xml:space="preserve">”</w:t>
      </w:r>
      <w:r>
        <w:t xml:space="preserve"> </w:t>
      </w:r>
      <w:r>
        <w:t xml:space="preserve">-</w:t>
      </w:r>
      <w:r>
        <w:t xml:space="preserve"> </w:t>
      </w:r>
      <w:r>
        <w:rPr>
          <w:bCs/>
          <w:b/>
        </w:rPr>
        <w:t xml:space="preserve">Policy × Contagion</w:t>
      </w:r>
      <w:r>
        <w:t xml:space="preserve"> </w:t>
      </w:r>
      <w:r>
        <w:t xml:space="preserve">—</w:t>
      </w:r>
      <w:r>
        <w:t xml:space="preserve"> </w:t>
      </w:r>
      <w:r>
        <w:t xml:space="preserve">“</w:t>
      </w:r>
      <w:r>
        <w:t xml:space="preserve">When policy is constrained AND global contagion spreads, central banks have limited tools to respond.</w:t>
      </w:r>
      <w:r>
        <w:t xml:space="preserve">”</w:t>
      </w:r>
      <w:r>
        <w:t xml:space="preserve"> </w:t>
      </w:r>
      <w:r>
        <w:t xml:space="preserve">-</w:t>
      </w:r>
      <w:r>
        <w:t xml:space="preserve"> </w:t>
      </w:r>
      <w:r>
        <w:rPr>
          <w:bCs/>
          <w:b/>
        </w:rPr>
        <w:t xml:space="preserve">Liquidity × Contagion</w:t>
      </w:r>
      <w:r>
        <w:t xml:space="preserve"> </w:t>
      </w:r>
      <w:r>
        <w:t xml:space="preserve">—</w:t>
      </w:r>
      <w:r>
        <w:t xml:space="preserve"> </w:t>
      </w:r>
      <w:r>
        <w:t xml:space="preserve">“</w:t>
      </w:r>
      <w:r>
        <w:t xml:space="preserve">Liquidity stress combined with global contagion creates dollar funding squeeze and correlated deleveraging.</w:t>
      </w:r>
      <w:r>
        <w:t xml:space="preserve">”</w:t>
      </w:r>
    </w:p>
    <w:bookmarkEnd w:id="82"/>
    <w:bookmarkStart w:id="83" w:name="design-choices-in-ml-component"/>
    <w:p>
      <w:pPr>
        <w:pStyle w:val="Heading3"/>
      </w:pPr>
      <w:r>
        <w:t xml:space="preserve">7.6 Design Choices in ML Component</w:t>
      </w:r>
    </w:p>
    <w:tbl>
      <w:tblPr>
        <w:tblStyle w:val="Table"/>
        <w:tblW w:type="pct" w:w="5000"/>
        <w:tblLook w:firstRow="1" w:lastRow="0" w:firstColumn="0" w:lastColumn="0" w:noHBand="0" w:noVBand="0" w:val="0020"/>
        <w:jc w:val="start"/>
      </w:tblPr>
      <w:tblGrid>
        <w:gridCol w:w="2184"/>
        <w:gridCol w:w="2731"/>
        <w:gridCol w:w="3004"/>
      </w:tblGrid>
      <w:tr>
        <w:trPr>
          <w:tblHeader w:val="true"/>
        </w:trPr>
        <w:tc>
          <w:tcPr/>
          <w:p>
            <w:pPr>
              <w:pStyle w:val="Compact"/>
              <w:jc w:val="left"/>
            </w:pPr>
            <w:r>
              <w:t xml:space="preserve">Choice</w:t>
            </w:r>
          </w:p>
        </w:tc>
        <w:tc>
          <w:tcPr/>
          <w:p>
            <w:pPr>
              <w:pStyle w:val="Compact"/>
              <w:jc w:val="left"/>
            </w:pPr>
            <w:r>
              <w:t xml:space="preserve">Decision</w:t>
            </w:r>
          </w:p>
        </w:tc>
        <w:tc>
          <w:tcPr/>
          <w:p>
            <w:pPr>
              <w:pStyle w:val="Compact"/>
              <w:jc w:val="left"/>
            </w:pPr>
            <w:r>
              <w:t xml:space="preserve">Rationale</w:t>
            </w:r>
          </w:p>
        </w:tc>
      </w:tr>
      <w:tr>
        <w:tc>
          <w:tcPr/>
          <w:p>
            <w:pPr>
              <w:pStyle w:val="Compact"/>
              <w:jc w:val="left"/>
            </w:pPr>
            <w:r>
              <w:rPr>
                <w:bCs/>
                <w:b/>
              </w:rPr>
              <w:t xml:space="preserve">Algorithm</w:t>
            </w:r>
          </w:p>
        </w:tc>
        <w:tc>
          <w:tcPr/>
          <w:p>
            <w:pPr>
              <w:pStyle w:val="Compact"/>
              <w:jc w:val="left"/>
            </w:pPr>
            <w:r>
              <w:t xml:space="preserve">Gradient Boosting (not deep learning)</w:t>
            </w:r>
          </w:p>
        </w:tc>
        <w:tc>
          <w:tcPr/>
          <w:p>
            <w:pPr>
              <w:pStyle w:val="Compact"/>
              <w:jc w:val="left"/>
            </w:pPr>
            <w:r>
              <w:t xml:space="preserve">Small sample (14); ensemble trees handle non-linearity without overfitting</w:t>
            </w:r>
          </w:p>
        </w:tc>
      </w:tr>
      <w:tr>
        <w:tc>
          <w:tcPr/>
          <w:p>
            <w:pPr>
              <w:pStyle w:val="Compact"/>
              <w:jc w:val="left"/>
            </w:pPr>
            <w:r>
              <w:rPr>
                <w:bCs/>
                <w:b/>
              </w:rPr>
              <w:t xml:space="preserve">Tree depth</w:t>
            </w:r>
          </w:p>
        </w:tc>
        <w:tc>
          <w:tcPr/>
          <w:p>
            <w:pPr>
              <w:pStyle w:val="Compact"/>
              <w:jc w:val="left"/>
            </w:pPr>
            <w:r>
              <w:t xml:space="preserve">Max depth 2</w:t>
            </w:r>
          </w:p>
        </w:tc>
        <w:tc>
          <w:tcPr/>
          <w:p>
            <w:pPr>
              <w:pStyle w:val="Compact"/>
              <w:jc w:val="left"/>
            </w:pPr>
            <w:r>
              <w:t xml:space="preserve">Prevents overfitting; each tree captures at most 2-way interactions</w:t>
            </w:r>
          </w:p>
        </w:tc>
      </w:tr>
      <w:tr>
        <w:tc>
          <w:tcPr/>
          <w:p>
            <w:pPr>
              <w:pStyle w:val="Compact"/>
              <w:jc w:val="left"/>
            </w:pPr>
            <w:r>
              <w:rPr>
                <w:bCs/>
                <w:b/>
              </w:rPr>
              <w:t xml:space="preserve">Validation</w:t>
            </w:r>
          </w:p>
        </w:tc>
        <w:tc>
          <w:tcPr/>
          <w:p>
            <w:pPr>
              <w:pStyle w:val="Compact"/>
              <w:jc w:val="left"/>
            </w:pPr>
            <w:r>
              <w:t xml:space="preserve">LOOCV (not k-fold)</w:t>
            </w:r>
          </w:p>
        </w:tc>
        <w:tc>
          <w:tcPr/>
          <w:p>
            <w:pPr>
              <w:pStyle w:val="Compact"/>
              <w:jc w:val="left"/>
            </w:pPr>
            <w:r>
              <w:t xml:space="preserve">With N=14, LOOCV maximises training data per fold</w:t>
            </w:r>
          </w:p>
        </w:tc>
      </w:tr>
      <w:tr>
        <w:tc>
          <w:tcPr/>
          <w:p>
            <w:pPr>
              <w:pStyle w:val="Compact"/>
              <w:jc w:val="left"/>
            </w:pPr>
            <w:r>
              <w:rPr>
                <w:bCs/>
                <w:b/>
              </w:rPr>
              <w:t xml:space="preserve">Interaction features</w:t>
            </w:r>
          </w:p>
        </w:tc>
        <w:tc>
          <w:tcPr/>
          <w:p>
            <w:pPr>
              <w:pStyle w:val="Compact"/>
              <w:jc w:val="left"/>
            </w:pPr>
            <w:r>
              <w:t xml:space="preserve">Explicit pairwise products</w:t>
            </w:r>
          </w:p>
        </w:tc>
        <w:tc>
          <w:tcPr/>
          <w:p>
            <w:pPr>
              <w:pStyle w:val="Compact"/>
              <w:jc w:val="left"/>
            </w:pPr>
            <w:r>
              <w:t xml:space="preserve">Theory-driven feature engineering; not relying on model to discover interactions</w:t>
            </w:r>
          </w:p>
        </w:tc>
      </w:tr>
      <w:tr>
        <w:tc>
          <w:tcPr/>
          <w:p>
            <w:pPr>
              <w:pStyle w:val="Compact"/>
              <w:jc w:val="left"/>
            </w:pPr>
            <w:r>
              <w:rPr>
                <w:bCs/>
                <w:b/>
              </w:rPr>
              <w:t xml:space="preserve">Weight derivation</w:t>
            </w:r>
          </w:p>
        </w:tc>
        <w:tc>
          <w:tcPr/>
          <w:p>
            <w:pPr>
              <w:pStyle w:val="Compact"/>
              <w:jc w:val="left"/>
            </w:pPr>
            <w:r>
              <w:t xml:space="preserve">Feature importance → normalised weights</w:t>
            </w:r>
          </w:p>
        </w:tc>
        <w:tc>
          <w:tcPr/>
          <w:p>
            <w:pPr>
              <w:pStyle w:val="Compact"/>
              <w:jc w:val="left"/>
            </w:pPr>
            <w:r>
              <w:t xml:space="preserve">Directly interpretable; transparently maps to portfolio decisions</w:t>
            </w:r>
          </w:p>
        </w:tc>
      </w:tr>
      <w:tr>
        <w:tc>
          <w:tcPr/>
          <w:p>
            <w:pPr>
              <w:pStyle w:val="Compact"/>
              <w:jc w:val="left"/>
            </w:pPr>
            <w:r>
              <w:rPr>
                <w:bCs/>
                <w:b/>
              </w:rPr>
              <w:t xml:space="preserve">Regularisation</w:t>
            </w:r>
          </w:p>
        </w:tc>
        <w:tc>
          <w:tcPr/>
          <w:p>
            <w:pPr>
              <w:pStyle w:val="Compact"/>
              <w:jc w:val="left"/>
            </w:pPr>
            <w:r>
              <w:t xml:space="preserve">Low estimator count (50), high min_samples_leaf (2)</w:t>
            </w:r>
          </w:p>
        </w:tc>
        <w:tc>
          <w:tcPr/>
          <w:p>
            <w:pPr>
              <w:pStyle w:val="Compact"/>
              <w:jc w:val="left"/>
            </w:pPr>
            <w:r>
              <w:t xml:space="preserve">Prevents complexity explosion on small sample</w:t>
            </w:r>
          </w:p>
        </w:tc>
      </w:tr>
      <w:tr>
        <w:tc>
          <w:tcPr/>
          <w:p>
            <w:pPr>
              <w:pStyle w:val="Compact"/>
              <w:jc w:val="left"/>
            </w:pPr>
            <w:r>
              <w:rPr>
                <w:bCs/>
                <w:b/>
              </w:rPr>
              <w:t xml:space="preserve">Equal weights fallback</w:t>
            </w:r>
          </w:p>
        </w:tc>
        <w:tc>
          <w:tcPr/>
          <w:p>
            <w:pPr>
              <w:pStyle w:val="Compact"/>
              <w:jc w:val="left"/>
            </w:pPr>
            <w:r>
              <w:t xml:space="preserve">Used when ML weights ≈ equal (avg deviation &lt; 3%)</w:t>
            </w:r>
          </w:p>
        </w:tc>
        <w:tc>
          <w:tcPr/>
          <w:p>
            <w:pPr>
              <w:pStyle w:val="Compact"/>
              <w:jc w:val="left"/>
            </w:pPr>
            <w:r>
              <w:t xml:space="preserve">If ML adds no value, equal weights are preferred for simplicity</w:t>
            </w:r>
          </w:p>
        </w:tc>
      </w:tr>
    </w:tbl>
    <w:bookmarkEnd w:id="83"/>
    <w:bookmarkStart w:id="84" w:name="comparison-ml-vs.-equal-weights"/>
    <w:p>
      <w:pPr>
        <w:pStyle w:val="Heading3"/>
      </w:pPr>
      <w:r>
        <w:t xml:space="preserve">7.7 Comparison: ML vs. Equal Weights</w:t>
      </w:r>
    </w:p>
    <w:p>
      <w:pPr>
        <w:pStyle w:val="FirstParagraph"/>
      </w:pPr>
      <w:r>
        <w:t xml:space="preserve">The ML optimizer includes a built-in comparison tool:</w:t>
      </w:r>
    </w:p>
    <w:tbl>
      <w:tblPr>
        <w:tblStyle w:val="Table"/>
        <w:tblW w:type="pct" w:w="5000"/>
        <w:tblLook w:firstRow="1" w:lastRow="0" w:firstColumn="0" w:lastColumn="0" w:noHBand="0" w:noVBand="0" w:val="0020"/>
        <w:jc w:val="start"/>
      </w:tblPr>
      <w:tblGrid>
        <w:gridCol w:w="1810"/>
        <w:gridCol w:w="3168"/>
        <w:gridCol w:w="2941"/>
      </w:tblGrid>
      <w:tr>
        <w:trPr>
          <w:tblHeader w:val="true"/>
        </w:trPr>
        <w:tc>
          <w:tcPr/>
          <w:p>
            <w:pPr>
              <w:pStyle w:val="Compact"/>
              <w:jc w:val="left"/>
            </w:pPr>
            <w:r>
              <w:t xml:space="preserve">Metric</w:t>
            </w:r>
          </w:p>
        </w:tc>
        <w:tc>
          <w:tcPr/>
          <w:p>
            <w:pPr>
              <w:pStyle w:val="Compact"/>
              <w:jc w:val="left"/>
            </w:pPr>
            <w:r>
              <w:t xml:space="preserve">Equal Weights</w:t>
            </w:r>
          </w:p>
        </w:tc>
        <w:tc>
          <w:tcPr/>
          <w:p>
            <w:pPr>
              <w:pStyle w:val="Compact"/>
              <w:jc w:val="left"/>
            </w:pPr>
            <w:r>
              <w:t xml:space="preserve">ML-Optimised</w:t>
            </w:r>
          </w:p>
        </w:tc>
      </w:tr>
      <w:tr>
        <w:tc>
          <w:tcPr/>
          <w:p>
            <w:pPr>
              <w:pStyle w:val="Compact"/>
              <w:jc w:val="left"/>
            </w:pPr>
            <w:r>
              <w:t xml:space="preserve">Approach</w:t>
            </w:r>
          </w:p>
        </w:tc>
        <w:tc>
          <w:tcPr/>
          <w:p>
            <w:pPr>
              <w:pStyle w:val="Compact"/>
              <w:jc w:val="left"/>
            </w:pPr>
            <w:r>
              <w:t xml:space="preserve">1/P per pillar</w:t>
            </w:r>
          </w:p>
        </w:tc>
        <w:tc>
          <w:tcPr/>
          <w:p>
            <w:pPr>
              <w:pStyle w:val="Compact"/>
              <w:jc w:val="left"/>
            </w:pPr>
            <w:r>
              <w:t xml:space="preserve">GB feature importance</w:t>
            </w:r>
          </w:p>
        </w:tc>
      </w:tr>
      <w:tr>
        <w:tc>
          <w:tcPr/>
          <w:p>
            <w:pPr>
              <w:pStyle w:val="Compact"/>
              <w:jc w:val="left"/>
            </w:pPr>
            <w:r>
              <w:t xml:space="preserve">Interactions</w:t>
            </w:r>
          </w:p>
        </w:tc>
        <w:tc>
          <w:tcPr/>
          <w:p>
            <w:pPr>
              <w:pStyle w:val="Compact"/>
              <w:jc w:val="left"/>
            </w:pPr>
            <w:r>
              <w:t xml:space="preserve">None</w:t>
            </w:r>
          </w:p>
        </w:tc>
        <w:tc>
          <w:tcPr/>
          <w:p>
            <w:pPr>
              <w:pStyle w:val="Compact"/>
              <w:jc w:val="left"/>
            </w:pPr>
            <w:r>
              <w:t xml:space="preserve">6 explicit pairs</w:t>
            </w:r>
          </w:p>
        </w:tc>
      </w:tr>
      <w:tr>
        <w:tc>
          <w:tcPr/>
          <w:p>
            <w:pPr>
              <w:pStyle w:val="Compact"/>
              <w:jc w:val="left"/>
            </w:pPr>
            <w:r>
              <w:t xml:space="preserve">Regime awareness</w:t>
            </w:r>
          </w:p>
        </w:tc>
        <w:tc>
          <w:tcPr/>
          <w:p>
            <w:pPr>
              <w:pStyle w:val="Compact"/>
              <w:jc w:val="left"/>
            </w:pPr>
            <w:r>
              <w:t xml:space="preserve">No</w:t>
            </w:r>
          </w:p>
        </w:tc>
        <w:tc>
          <w:tcPr/>
          <w:p>
            <w:pPr>
              <w:pStyle w:val="Compact"/>
              <w:jc w:val="left"/>
            </w:pPr>
            <w:r>
              <w:t xml:space="preserve">Yes (interaction-adjusted)</w:t>
            </w:r>
          </w:p>
        </w:tc>
      </w:tr>
      <w:tr>
        <w:tc>
          <w:tcPr/>
          <w:p>
            <w:pPr>
              <w:pStyle w:val="Compact"/>
              <w:jc w:val="left"/>
            </w:pPr>
            <w:r>
              <w:t xml:space="preserve">Recommendation</w:t>
            </w:r>
          </w:p>
        </w:tc>
        <w:tc>
          <w:tcPr/>
          <w:p>
            <w:pPr>
              <w:pStyle w:val="Compact"/>
              <w:jc w:val="left"/>
            </w:pPr>
            <w:r>
              <w:t xml:space="preserve">“</w:t>
            </w:r>
            <w:r>
              <w:t xml:space="preserve">Equal weights sufficient</w:t>
            </w:r>
            <w:r>
              <w:t xml:space="preserve">”</w:t>
            </w:r>
            <w:r>
              <w:t xml:space="preserve"> </w:t>
            </w:r>
            <w:r>
              <w:t xml:space="preserve">when avg deviation &lt; 3%</w:t>
            </w:r>
          </w:p>
        </w:tc>
        <w:tc>
          <w:tcPr/>
          <w:p>
            <w:pPr>
              <w:pStyle w:val="Compact"/>
              <w:jc w:val="left"/>
            </w:pPr>
            <w:r>
              <w:t xml:space="preserve">“</w:t>
            </w:r>
            <w:r>
              <w:t xml:space="preserve">Use ML weights</w:t>
            </w:r>
            <w:r>
              <w:t xml:space="preserve">”</w:t>
            </w:r>
            <w:r>
              <w:t xml:space="preserve"> </w:t>
            </w:r>
            <w:r>
              <w:t xml:space="preserve">when RMSE reduction &gt; 10%</w:t>
            </w:r>
          </w:p>
        </w:tc>
      </w:tr>
    </w:tbl>
    <w:p>
      <w:r>
        <w:pict>
          <v:rect style="width:0;height:1.5pt" o:hralign="center" o:hrstd="t" o:hr="t"/>
        </w:pict>
      </w:r>
    </w:p>
    <w:bookmarkEnd w:id="84"/>
    <w:bookmarkEnd w:id="85"/>
    <w:bookmarkStart w:id="89" w:name="transmission-multiplier"/>
    <w:p>
      <w:pPr>
        <w:pStyle w:val="Heading2"/>
      </w:pPr>
      <w:r>
        <w:t xml:space="preserve">8. Transmission Multiplier</w:t>
      </w:r>
    </w:p>
    <w:bookmarkStart w:id="86" w:name="multiplier-formula"/>
    <w:p>
      <w:pPr>
        <w:pStyle w:val="Heading3"/>
      </w:pPr>
      <w:r>
        <w:t xml:space="preserve">8.1 Multiplier Formula</w:t>
      </w:r>
    </w:p>
    <w:p>
      <w:pPr>
        <w:pStyle w:val="FirstParagraph"/>
      </w:pPr>
      <w:r>
        <w:t xml:space="preserve">The MAC score maps to a transmission multiplier via a convex function:</w:t>
      </w:r>
    </w:p>
    <w:p>
      <w:pPr>
        <w:pStyle w:val="BodyText"/>
      </w:pPr>
      <m:oMathPara>
        <m:oMathParaPr>
          <m:jc m:val="center"/>
        </m:oMathParaPr>
        <m:oMath>
          <m:r>
            <m:t>f</m:t>
          </m:r>
          <m:d>
            <m:dPr>
              <m:begChr m:val="("/>
              <m:endChr m:val=")"/>
              <m:sepChr m:val=""/>
              <m:grow/>
            </m:dPr>
            <m:e>
              <m:r>
                <m:rPr>
                  <m:nor/>
                  <m:sty m:val="p"/>
                </m:rPr>
                <m:t>MAC</m:t>
              </m:r>
            </m:e>
          </m:d>
          <m:r>
            <m:rPr>
              <m:sty m:val="p"/>
            </m:rPr>
            <m:t>=</m:t>
          </m:r>
          <m:r>
            <m:t>1</m:t>
          </m:r>
          <m:r>
            <m:rPr>
              <m:sty m:val="p"/>
            </m:rPr>
            <m:t>+</m:t>
          </m:r>
          <m:r>
            <m:t>α</m:t>
          </m:r>
          <m:r>
            <m:t> </m:t>
          </m:r>
          <m:sSup>
            <m:e>
              <m:d>
                <m:dPr>
                  <m:begChr m:val="("/>
                  <m:endChr m:val=")"/>
                  <m:sepChr m:val=""/>
                  <m:grow/>
                </m:dPr>
                <m:e>
                  <m:r>
                    <m:t>1</m:t>
                  </m:r>
                  <m:r>
                    <m:rPr>
                      <m:sty m:val="p"/>
                    </m:rPr>
                    <m:t>−</m:t>
                  </m:r>
                  <m:r>
                    <m:rPr>
                      <m:nor/>
                      <m:sty m:val="p"/>
                    </m:rPr>
                    <m:t>MAC</m:t>
                  </m:r>
                </m:e>
              </m:d>
            </m:e>
            <m:sup>
              <m:r>
                <m:t>β</m:t>
              </m:r>
            </m:sup>
          </m:sSup>
        </m:oMath>
      </m:oMathPara>
    </w:p>
    <w:p>
      <w:pPr>
        <w:pStyle w:val="FirstParagraph"/>
      </w:pPr>
      <w:r>
        <w:t xml:space="preserve">Default parameters:</w:t>
      </w:r>
      <w:r>
        <w:t xml:space="preserve"> </w:t>
      </w:r>
      <m:oMath>
        <m:r>
          <m:t>α</m:t>
        </m:r>
        <m:r>
          <m:rPr>
            <m:sty m:val="p"/>
          </m:rPr>
          <m:t>=</m:t>
        </m:r>
        <m:r>
          <m:t>2.0</m:t>
        </m:r>
      </m:oMath>
      <w:r>
        <w:t xml:space="preserve">,</w:t>
      </w:r>
      <w:r>
        <w:t xml:space="preserve"> </w:t>
      </w:r>
      <m:oMath>
        <m:r>
          <m:t>β</m:t>
        </m:r>
        <m:r>
          <m:rPr>
            <m:sty m:val="p"/>
          </m:rPr>
          <m:t>=</m:t>
        </m:r>
        <m:r>
          <m:t>1.5</m:t>
        </m:r>
      </m:oMath>
      <w: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MAC</w:t>
            </w:r>
          </w:p>
        </w:tc>
        <w:tc>
          <w:tcPr/>
          <w:p>
            <w:pPr>
              <w:pStyle w:val="Compact"/>
              <w:jc w:val="left"/>
            </w:pPr>
            <w:r>
              <w:t xml:space="preserve">Multiplier</w:t>
            </w:r>
          </w:p>
        </w:tc>
        <w:tc>
          <w:tcPr/>
          <w:p>
            <w:pPr>
              <w:pStyle w:val="Compact"/>
              <w:jc w:val="left"/>
            </w:pPr>
            <w:r>
              <w:t xml:space="preserve">Interpretation</w:t>
            </w:r>
          </w:p>
        </w:tc>
      </w:tr>
      <w:tr>
        <w:tc>
          <w:tcPr/>
          <w:p>
            <w:pPr>
              <w:pStyle w:val="Compact"/>
              <w:jc w:val="left"/>
            </w:pPr>
            <w:r>
              <w:t xml:space="preserve">1.00</w:t>
            </w:r>
          </w:p>
        </w:tc>
        <w:tc>
          <w:tcPr/>
          <w:p>
            <w:pPr>
              <w:pStyle w:val="Compact"/>
              <w:jc w:val="left"/>
            </w:pPr>
            <w:r>
              <w:t xml:space="preserve">1.00×</w:t>
            </w:r>
          </w:p>
        </w:tc>
        <w:tc>
          <w:tcPr/>
          <w:p>
            <w:pPr>
              <w:pStyle w:val="Compact"/>
              <w:jc w:val="left"/>
            </w:pPr>
            <w:r>
              <w:t xml:space="preserve">Shock absorbed 1:1</w:t>
            </w:r>
          </w:p>
        </w:tc>
      </w:tr>
      <w:tr>
        <w:tc>
          <w:tcPr/>
          <w:p>
            <w:pPr>
              <w:pStyle w:val="Compact"/>
              <w:jc w:val="left"/>
            </w:pPr>
            <w:r>
              <w:t xml:space="preserve">0.80</w:t>
            </w:r>
          </w:p>
        </w:tc>
        <w:tc>
          <w:tcPr/>
          <w:p>
            <w:pPr>
              <w:pStyle w:val="Compact"/>
              <w:jc w:val="left"/>
            </w:pPr>
            <w:r>
              <w:t xml:space="preserve">1.18×</w:t>
            </w:r>
          </w:p>
        </w:tc>
        <w:tc>
          <w:tcPr/>
          <w:p>
            <w:pPr>
              <w:pStyle w:val="Compact"/>
              <w:jc w:val="left"/>
            </w:pPr>
            <w:r>
              <w:t xml:space="preserve">Low transmission</w:t>
            </w:r>
          </w:p>
        </w:tc>
      </w:tr>
      <w:tr>
        <w:tc>
          <w:tcPr/>
          <w:p>
            <w:pPr>
              <w:pStyle w:val="Compact"/>
              <w:jc w:val="left"/>
            </w:pPr>
            <w:r>
              <w:t xml:space="preserve">0.60</w:t>
            </w:r>
          </w:p>
        </w:tc>
        <w:tc>
          <w:tcPr/>
          <w:p>
            <w:pPr>
              <w:pStyle w:val="Compact"/>
              <w:jc w:val="left"/>
            </w:pPr>
            <w:r>
              <w:t xml:space="preserve">1.49×</w:t>
            </w:r>
          </w:p>
        </w:tc>
        <w:tc>
          <w:tcPr/>
          <w:p>
            <w:pPr>
              <w:pStyle w:val="Compact"/>
              <w:jc w:val="left"/>
            </w:pPr>
            <w:r>
              <w:t xml:space="preserve">Moderate amplification</w:t>
            </w:r>
          </w:p>
        </w:tc>
      </w:tr>
      <w:tr>
        <w:tc>
          <w:tcPr/>
          <w:p>
            <w:pPr>
              <w:pStyle w:val="Compact"/>
              <w:jc w:val="left"/>
            </w:pPr>
            <w:r>
              <w:t xml:space="preserve">0.50</w:t>
            </w:r>
          </w:p>
        </w:tc>
        <w:tc>
          <w:tcPr/>
          <w:p>
            <w:pPr>
              <w:pStyle w:val="Compact"/>
              <w:jc w:val="left"/>
            </w:pPr>
            <w:r>
              <w:t xml:space="preserve">1.71×</w:t>
            </w:r>
          </w:p>
        </w:tc>
        <w:tc>
          <w:tcPr/>
          <w:p>
            <w:pPr>
              <w:pStyle w:val="Compact"/>
              <w:jc w:val="left"/>
            </w:pPr>
            <w:r>
              <w:t xml:space="preserve">Significant amplification</w:t>
            </w:r>
          </w:p>
        </w:tc>
      </w:tr>
      <w:tr>
        <w:tc>
          <w:tcPr/>
          <w:p>
            <w:pPr>
              <w:pStyle w:val="Compact"/>
              <w:jc w:val="left"/>
            </w:pPr>
            <w:r>
              <w:t xml:space="preserve">0.40</w:t>
            </w:r>
          </w:p>
        </w:tc>
        <w:tc>
          <w:tcPr/>
          <w:p>
            <w:pPr>
              <w:pStyle w:val="Compact"/>
              <w:jc w:val="left"/>
            </w:pPr>
            <w:r>
              <w:t xml:space="preserve">1.97×</w:t>
            </w:r>
          </w:p>
        </w:tc>
        <w:tc>
          <w:tcPr/>
          <w:p>
            <w:pPr>
              <w:pStyle w:val="Compact"/>
              <w:jc w:val="left"/>
            </w:pPr>
            <w:r>
              <w:t xml:space="preserve">Elevated</w:t>
            </w:r>
          </w:p>
        </w:tc>
      </w:tr>
      <w:tr>
        <w:tc>
          <w:tcPr/>
          <w:p>
            <w:pPr>
              <w:pStyle w:val="Compact"/>
              <w:jc w:val="left"/>
            </w:pPr>
            <w:r>
              <w:t xml:space="preserve">0.30</w:t>
            </w:r>
          </w:p>
        </w:tc>
        <w:tc>
          <w:tcPr/>
          <w:p>
            <w:pPr>
              <w:pStyle w:val="Compact"/>
              <w:jc w:val="left"/>
            </w:pPr>
            <w:r>
              <w:t xml:space="preserve">2.26×</w:t>
            </w:r>
          </w:p>
        </w:tc>
        <w:tc>
          <w:tcPr/>
          <w:p>
            <w:pPr>
              <w:pStyle w:val="Compact"/>
              <w:jc w:val="left"/>
            </w:pPr>
            <w:r>
              <w:t xml:space="preserve">High</w:t>
            </w:r>
          </w:p>
        </w:tc>
      </w:tr>
      <w:tr>
        <w:tc>
          <w:tcPr/>
          <w:p>
            <w:pPr>
              <w:pStyle w:val="Compact"/>
              <w:jc w:val="left"/>
            </w:pPr>
            <w:r>
              <w:t xml:space="preserve">0.20</w:t>
            </w:r>
          </w:p>
        </w:tc>
        <w:tc>
          <w:tcPr/>
          <w:p>
            <w:pPr>
              <w:pStyle w:val="Compact"/>
              <w:jc w:val="left"/>
            </w:pPr>
            <w:r>
              <w:rPr>
                <w:bCs/>
                <w:b/>
              </w:rPr>
              <w:t xml:space="preserve">Regime break</w:t>
            </w:r>
          </w:p>
        </w:tc>
        <w:tc>
          <w:tcPr/>
          <w:p>
            <w:pPr>
              <w:pStyle w:val="Compact"/>
              <w:jc w:val="left"/>
            </w:pPr>
            <w:r>
              <w:t xml:space="preserve">Point estimates unreliable</w:t>
            </w:r>
          </w:p>
        </w:tc>
      </w:tr>
    </w:tbl>
    <w:bookmarkEnd w:id="86"/>
    <w:bookmarkStart w:id="87" w:name="convexity-and-regime-breaks"/>
    <w:p>
      <w:pPr>
        <w:pStyle w:val="Heading3"/>
      </w:pPr>
      <w:r>
        <w:t xml:space="preserve">8.2 Convexity and Regime Breaks</w:t>
      </w:r>
    </w:p>
    <w:p>
      <w:pPr>
        <w:pStyle w:val="FirstParagraph"/>
      </w:pPr>
      <w:r>
        <w:t xml:space="preserve">The</w:t>
      </w:r>
      <w:r>
        <w:t xml:space="preserve"> </w:t>
      </w:r>
      <m:oMath>
        <m:r>
          <m:t>β</m:t>
        </m:r>
        <m:r>
          <m:rPr>
            <m:sty m:val="p"/>
          </m:rPr>
          <m:t>=</m:t>
        </m:r>
        <m:r>
          <m:t>1.5</m:t>
        </m:r>
      </m:oMath>
      <w:r>
        <w:t xml:space="preserve"> </w:t>
      </w:r>
      <w:r>
        <w:t xml:space="preserve">exponent creates convexity: the multiplier increases slowly for small MAC reductions (from 1.0 to 0.7) but accelerates sharply as MAC approaches 0.2. Below MAC = 0.20, the framework declares a</w:t>
      </w:r>
      <w:r>
        <w:t xml:space="preserve"> </w:t>
      </w:r>
      <w:r>
        <w:rPr>
          <w:bCs/>
          <w:b/>
        </w:rPr>
        <w:t xml:space="preserve">regime break</w:t>
      </w:r>
      <w:r>
        <w:t xml:space="preserve"> </w:t>
      </w:r>
      <w:r>
        <w:t xml:space="preserve">and returns</w:t>
      </w:r>
      <w:r>
        <w:t xml:space="preserve"> </w:t>
      </w:r>
      <w:r>
        <w:rPr>
          <w:rStyle w:val="VerbatimChar"/>
        </w:rPr>
        <w:t xml:space="preserve">multiplier = None</w:t>
      </w:r>
      <w:r>
        <w:t xml:space="preserve">. During regime breaks:</w:t>
      </w:r>
    </w:p>
    <w:p>
      <w:pPr>
        <w:numPr>
          <w:ilvl w:val="0"/>
          <w:numId w:val="1006"/>
        </w:numPr>
        <w:pStyle w:val="Compact"/>
      </w:pPr>
      <w:r>
        <w:t xml:space="preserve">Traditional correlation structures break down</w:t>
      </w:r>
    </w:p>
    <w:p>
      <w:pPr>
        <w:numPr>
          <w:ilvl w:val="0"/>
          <w:numId w:val="1006"/>
        </w:numPr>
        <w:pStyle w:val="Compact"/>
      </w:pPr>
      <w:r>
        <w:t xml:space="preserve">Safe-haven assets may reverse (Treasuries selling off rather than rallying)</w:t>
      </w:r>
    </w:p>
    <w:p>
      <w:pPr>
        <w:numPr>
          <w:ilvl w:val="0"/>
          <w:numId w:val="1006"/>
        </w:numPr>
        <w:pStyle w:val="Compact"/>
      </w:pPr>
      <w:r>
        <w:t xml:space="preserve">VaR models become unreliable</w:t>
      </w:r>
    </w:p>
    <w:p>
      <w:pPr>
        <w:numPr>
          <w:ilvl w:val="0"/>
          <w:numId w:val="1006"/>
        </w:numPr>
        <w:pStyle w:val="Compact"/>
      </w:pPr>
      <w:r>
        <w:t xml:space="preserve">Liquidity can disappear entirely in specific market segments</w:t>
      </w:r>
    </w:p>
    <w:p>
      <w:pPr>
        <w:pStyle w:val="FirstParagraph"/>
      </w:pPr>
      <w:r>
        <w:t xml:space="preserve">This is an explicit design choice: instead of extrapolating an exponential function to infinity, the framework acknowledges its own limits and advises non-quantitative defensive positioning.</w:t>
      </w:r>
    </w:p>
    <w:bookmarkEnd w:id="87"/>
    <w:bookmarkStart w:id="88" w:name="market-impact-equation"/>
    <w:p>
      <w:pPr>
        <w:pStyle w:val="Heading3"/>
      </w:pPr>
      <w:r>
        <w:t xml:space="preserve">8.3 Market Impact Equation</w:t>
      </w:r>
    </w:p>
    <w:p>
      <w:pPr>
        <w:pStyle w:val="FirstParagraph"/>
      </w:pPr>
      <m:oMathPara>
        <m:oMathParaPr>
          <m:jc m:val="center"/>
        </m:oMathParaPr>
        <m:oMath>
          <m:r>
            <m:rPr>
              <m:nor/>
              <m:sty m:val="p"/>
            </m:rPr>
            <m:t>Market Impact</m:t>
          </m:r>
          <m:r>
            <m:rPr>
              <m:sty m:val="p"/>
            </m:rPr>
            <m:t>=</m:t>
          </m:r>
          <m:r>
            <m:rPr>
              <m:nor/>
              <m:sty m:val="p"/>
            </m:rPr>
            <m:t>Shock Magnitude</m:t>
          </m:r>
          <m:r>
            <m:rPr>
              <m:sty m:val="p"/>
            </m:rPr>
            <m:t>×</m:t>
          </m:r>
          <m:r>
            <m:rPr>
              <m:nor/>
              <m:sty m:val="p"/>
            </m:rPr>
            <m:t>GRRI Modifier</m:t>
          </m:r>
          <m:r>
            <m:rPr>
              <m:sty m:val="p"/>
            </m:rPr>
            <m:t>×</m:t>
          </m:r>
          <m:r>
            <m:t>f</m:t>
          </m:r>
          <m:d>
            <m:dPr>
              <m:begChr m:val="("/>
              <m:endChr m:val=")"/>
              <m:sepChr m:val=""/>
              <m:grow/>
            </m:dPr>
            <m:e>
              <m:r>
                <m:rPr>
                  <m:nor/>
                  <m:sty m:val="p"/>
                </m:rPr>
                <m:t>MAC</m:t>
              </m:r>
            </m:e>
          </m:d>
        </m:oMath>
      </m:oMathPara>
    </w:p>
    <w:p>
      <w:pPr>
        <w:pStyle w:val="FirstParagraph"/>
      </w:pPr>
      <w:r>
        <w:t xml:space="preserve">The GRRI modifier captures country-specific structural resilience (governance, reserve adequacy, fiscal capacity). For the US, the GRRI modifier is typically ~1.0 (baseline). For emerging markets with weaker institutional frameworks, the GRRI modifier may be &gt; 1.0, indicating additional structural vulnerability.</w:t>
      </w:r>
    </w:p>
    <w:p>
      <w:r>
        <w:pict>
          <v:rect style="width:0;height:1.5pt" o:hralign="center" o:hrstd="t" o:hr="t"/>
        </w:pict>
      </w:r>
    </w:p>
    <w:bookmarkEnd w:id="88"/>
    <w:bookmarkEnd w:id="89"/>
    <w:bookmarkStart w:id="94" w:name="momentum-enhanced-status-system"/>
    <w:p>
      <w:pPr>
        <w:pStyle w:val="Heading2"/>
      </w:pPr>
      <w:r>
        <w:t xml:space="preserve">9. Momentum-Enhanced Status System</w:t>
      </w:r>
    </w:p>
    <w:bookmarkStart w:id="90" w:name="motivation-1"/>
    <w:p>
      <w:pPr>
        <w:pStyle w:val="Heading3"/>
      </w:pPr>
      <w:r>
        <w:t xml:space="preserve">9.1 Motivation</w:t>
      </w:r>
    </w:p>
    <w:p>
      <w:pPr>
        <w:pStyle w:val="FirstParagraph"/>
      </w:pPr>
      <w:r>
        <w:t xml:space="preserve">A declining MAC from 0.65 → 0.50 carries more information than a static MAC of 0.52. The momentum system tracks the rate of change in the composite MAC score, producing a five-level status: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Condition</w:t>
            </w:r>
          </w:p>
        </w:tc>
      </w:tr>
      <w:tr>
        <w:tc>
          <w:tcPr/>
          <w:p>
            <w:pPr>
              <w:pStyle w:val="Compact"/>
              <w:jc w:val="left"/>
            </w:pPr>
            <w:r>
              <w:rPr>
                <w:bCs/>
                <w:b/>
              </w:rPr>
              <w:t xml:space="preserve">COMFORTABLE</w:t>
            </w:r>
          </w:p>
        </w:tc>
        <w:tc>
          <w:tcPr/>
          <w:p>
            <w:pPr>
              <w:pStyle w:val="Compact"/>
              <w:jc w:val="left"/>
            </w:pPr>
            <w:r>
              <w:t xml:space="preserve">MAC &gt; 0.65</w:t>
            </w:r>
          </w:p>
        </w:tc>
      </w:tr>
      <w:tr>
        <w:tc>
          <w:tcPr/>
          <w:p>
            <w:pPr>
              <w:pStyle w:val="Compact"/>
              <w:jc w:val="left"/>
            </w:pPr>
            <w:r>
              <w:rPr>
                <w:bCs/>
                <w:b/>
              </w:rPr>
              <w:t xml:space="preserve">CAUTIOUS</w:t>
            </w:r>
          </w:p>
        </w:tc>
        <w:tc>
          <w:tcPr/>
          <w:p>
            <w:pPr>
              <w:pStyle w:val="Compact"/>
              <w:jc w:val="left"/>
            </w:pPr>
            <w:r>
              <w:t xml:space="preserve">MAC 0.50–0.65</w:t>
            </w:r>
          </w:p>
        </w:tc>
      </w:tr>
      <w:tr>
        <w:tc>
          <w:tcPr/>
          <w:p>
            <w:pPr>
              <w:pStyle w:val="Compact"/>
              <w:jc w:val="left"/>
            </w:pPr>
            <w:r>
              <w:rPr>
                <w:bCs/>
                <w:b/>
              </w:rPr>
              <w:t xml:space="preserve">DETERIORATING</w:t>
            </w:r>
          </w:p>
        </w:tc>
        <w:tc>
          <w:tcPr/>
          <w:p>
            <w:pPr>
              <w:pStyle w:val="Compact"/>
              <w:jc w:val="left"/>
            </w:pPr>
            <w:r>
              <w:t xml:space="preserve">MAC 0.50–0.65 AND 4-week momentum &lt; −0.05</w:t>
            </w:r>
          </w:p>
        </w:tc>
      </w:tr>
      <w:tr>
        <w:tc>
          <w:tcPr/>
          <w:p>
            <w:pPr>
              <w:pStyle w:val="Compact"/>
              <w:jc w:val="left"/>
            </w:pPr>
            <w:r>
              <w:rPr>
                <w:bCs/>
                <w:b/>
              </w:rPr>
              <w:t xml:space="preserve">STRETCHED</w:t>
            </w:r>
          </w:p>
        </w:tc>
        <w:tc>
          <w:tcPr/>
          <w:p>
            <w:pPr>
              <w:pStyle w:val="Compact"/>
              <w:jc w:val="left"/>
            </w:pPr>
            <w:r>
              <w:t xml:space="preserve">MAC 0.35–0.50</w:t>
            </w:r>
          </w:p>
        </w:tc>
      </w:tr>
      <w:tr>
        <w:tc>
          <w:tcPr/>
          <w:p>
            <w:pPr>
              <w:pStyle w:val="Compact"/>
              <w:jc w:val="left"/>
            </w:pPr>
            <w:r>
              <w:rPr>
                <w:bCs/>
                <w:b/>
              </w:rPr>
              <w:t xml:space="preserve">CRITICAL</w:t>
            </w:r>
          </w:p>
        </w:tc>
        <w:tc>
          <w:tcPr/>
          <w:p>
            <w:pPr>
              <w:pStyle w:val="Compact"/>
              <w:jc w:val="left"/>
            </w:pPr>
            <w:r>
              <w:t xml:space="preserve">MAC &lt; 0.35</w:t>
            </w:r>
          </w:p>
        </w:tc>
      </w:tr>
    </w:tbl>
    <w:bookmarkEnd w:id="90"/>
    <w:bookmarkStart w:id="91" w:name="momentum-calculation"/>
    <w:p>
      <w:pPr>
        <w:pStyle w:val="Heading3"/>
      </w:pPr>
      <w:r>
        <w:t xml:space="preserve">9.2 Momentum Calculation</w:t>
      </w:r>
    </w:p>
    <w:p>
      <w:pPr>
        <w:pStyle w:val="FirstParagraph"/>
      </w:pPr>
      <w:r>
        <w:t xml:space="preserve">The momentum module computes rate-of-change over three horizons:</w:t>
      </w:r>
    </w:p>
    <w:p>
      <w:pPr>
        <w:pStyle w:val="BodyText"/>
      </w:pPr>
      <m:oMathPara>
        <m:oMathParaPr>
          <m:jc m:val="center"/>
        </m:oMathParaPr>
        <m:oMath>
          <m:sSub>
            <m:e>
              <m:r>
                <m:t>Δ</m:t>
              </m:r>
            </m:e>
            <m:sub>
              <m:r>
                <m:t>τ</m:t>
              </m:r>
            </m:sub>
          </m:sSub>
          <m:r>
            <m:rPr>
              <m:sty m:val="p"/>
            </m:rPr>
            <m:t>=</m:t>
          </m:r>
          <m:sSub>
            <m:e>
              <m:r>
                <m:rPr>
                  <m:nor/>
                  <m:sty m:val="p"/>
                </m:rPr>
                <m:t>MAC</m:t>
              </m:r>
            </m:e>
            <m:sub>
              <m:r>
                <m:t>t</m:t>
              </m:r>
            </m:sub>
          </m:sSub>
          <m:r>
            <m:rPr>
              <m:sty m:val="p"/>
            </m:rPr>
            <m:t>−</m:t>
          </m:r>
          <m:sSub>
            <m:e>
              <m:r>
                <m:rPr>
                  <m:nor/>
                  <m:sty m:val="p"/>
                </m:rPr>
                <m:t>MAC</m:t>
              </m:r>
            </m:e>
            <m:sub>
              <m:r>
                <m:t>t</m:t>
              </m:r>
              <m:r>
                <m:rPr>
                  <m:sty m:val="p"/>
                </m:rPr>
                <m:t>−</m:t>
              </m:r>
              <m:r>
                <m:t>τ</m:t>
              </m:r>
            </m:sub>
          </m:sSub>
        </m:oMath>
      </m:oMathPara>
    </w:p>
    <w:p>
      <w:pPr>
        <w:pStyle w:val="FirstParagraph"/>
      </w:pPr>
      <w:r>
        <w:t xml:space="preserve">where</w:t>
      </w:r>
      <w:r>
        <w:t xml:space="preserve"> </w:t>
      </w:r>
      <m:oMath>
        <m:r>
          <m:t>τ</m:t>
        </m:r>
        <m:r>
          <m:rPr>
            <m:sty m:val="p"/>
          </m:rPr>
          <m:t>∈</m:t>
        </m:r>
        <m:r>
          <m:rPr>
            <m:sty m:val="p"/>
          </m:rPr>
          <m:t>{</m:t>
        </m:r>
        <m:r>
          <m:t>1</m:t>
        </m:r>
        <m:r>
          <m:rPr>
            <m:nor/>
            <m:sty m:val="p"/>
          </m:rPr>
          <m:t>w</m:t>
        </m:r>
        <m:r>
          <m:rPr>
            <m:sty m:val="p"/>
          </m:rPr>
          <m:t>,</m:t>
        </m:r>
        <m:r>
          <m:t>2</m:t>
        </m:r>
        <m:r>
          <m:rPr>
            <m:nor/>
            <m:sty m:val="p"/>
          </m:rPr>
          <m:t>w</m:t>
        </m:r>
        <m:r>
          <m:rPr>
            <m:sty m:val="p"/>
          </m:rPr>
          <m:t>,</m:t>
        </m:r>
        <m:r>
          <m:t>4</m:t>
        </m:r>
        <m:r>
          <m:rPr>
            <m:nor/>
            <m:sty m:val="p"/>
          </m:rPr>
          <m:t>w</m:t>
        </m:r>
        <m:r>
          <m:rPr>
            <m:sty m:val="p"/>
          </m:rPr>
          <m:t>}</m:t>
        </m:r>
      </m:oMath>
      <w:r>
        <w:t xml:space="preserve">.</w:t>
      </w:r>
    </w:p>
    <w:p>
      <w:pPr>
        <w:pStyle w:val="BodyText"/>
      </w:pPr>
      <w:r>
        <w:rPr>
          <w:bCs/>
          <w:b/>
        </w:rPr>
        <w:t xml:space="preserve">Trend direction classification:</w:t>
      </w:r>
      <w:r>
        <w:t xml:space="preserve"> </w:t>
      </w:r>
      <w:r>
        <w:t xml:space="preserve">| 4-week momentum | Trend |</w:t>
      </w:r>
      <w:r>
        <w:t xml:space="preserve"> </w:t>
      </w:r>
      <w:r>
        <w:t xml:space="preserve">|—————–|——-|</w:t>
      </w:r>
      <w:r>
        <w:t xml:space="preserve"> </w:t>
      </w:r>
      <w:r>
        <w:t xml:space="preserve">| &lt; −0.10 | Rapidly declining |</w:t>
      </w:r>
      <w:r>
        <w:t xml:space="preserve"> </w:t>
      </w:r>
      <w:r>
        <w:t xml:space="preserve">| &lt; −0.03 | Declining |</w:t>
      </w:r>
      <w:r>
        <w:t xml:space="preserve"> </w:t>
      </w:r>
      <w:r>
        <w:t xml:space="preserve">| &gt; +0.05 | Improving |</w:t>
      </w:r>
      <w:r>
        <w:t xml:space="preserve"> </w:t>
      </w:r>
      <w:r>
        <w:t xml:space="preserve">| Otherwise | Stable |</w:t>
      </w:r>
    </w:p>
    <w:bookmarkEnd w:id="91"/>
    <w:bookmarkStart w:id="92" w:name="deteriorating-status"/>
    <w:p>
      <w:pPr>
        <w:pStyle w:val="Heading3"/>
      </w:pPr>
      <w:r>
        <w:t xml:space="preserve">9.3 DETERIORATING Status</w:t>
      </w:r>
    </w:p>
    <w:p>
      <w:pPr>
        <w:pStyle w:val="FirstParagraph"/>
      </w:pPr>
      <w:r>
        <w:t xml:space="preserve">The</w:t>
      </w:r>
      <w:r>
        <w:t xml:space="preserve"> </w:t>
      </w:r>
      <w:r>
        <w:rPr>
          <w:bCs/>
          <w:b/>
        </w:rPr>
        <w:t xml:space="preserve">DETERIORATING</w:t>
      </w:r>
      <w:r>
        <w:t xml:space="preserve"> </w:t>
      </w:r>
      <w:r>
        <w:t xml:space="preserve">status is the key addition. It fires when:</w:t>
      </w:r>
      <w:r>
        <w:t xml:space="preserve"> </w:t>
      </w:r>
      <w:r>
        <w:t xml:space="preserve">- MAC is in the 0.50–0.65 range (CAUTIOUS on a level basis)</w:t>
      </w:r>
      <w:r>
        <w:t xml:space="preserve"> </w:t>
      </w:r>
      <w:r>
        <w:t xml:space="preserve">- But has declined by more than 0.05 over 4 weeks</w:t>
      </w:r>
    </w:p>
    <w:p>
      <w:pPr>
        <w:pStyle w:val="BodyText"/>
      </w:pPr>
      <w:r>
        <w:t xml:space="preserve">This captures the critical moment when buffers are thinning rapidly — often the last window for proactive risk reduction before a crisis materialises.</w:t>
      </w:r>
    </w:p>
    <w:bookmarkEnd w:id="92"/>
    <w:bookmarkStart w:id="93" w:name="recommended-actions"/>
    <w:p>
      <w:pPr>
        <w:pStyle w:val="Heading3"/>
      </w:pPr>
      <w:r>
        <w:t xml:space="preserve">9.4 Recommended Actions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Status</w:t>
            </w:r>
          </w:p>
        </w:tc>
        <w:tc>
          <w:tcPr/>
          <w:p>
            <w:pPr>
              <w:pStyle w:val="Compact"/>
              <w:jc w:val="left"/>
            </w:pPr>
            <w:r>
              <w:t xml:space="preserve">Action</w:t>
            </w:r>
          </w:p>
        </w:tc>
      </w:tr>
      <w:tr>
        <w:tc>
          <w:tcPr/>
          <w:p>
            <w:pPr>
              <w:pStyle w:val="Compact"/>
              <w:jc w:val="left"/>
            </w:pPr>
            <w:r>
              <w:t xml:space="preserve">COMFORTABLE</w:t>
            </w:r>
          </w:p>
        </w:tc>
        <w:tc>
          <w:tcPr/>
          <w:p>
            <w:pPr>
              <w:pStyle w:val="Compact"/>
              <w:jc w:val="left"/>
            </w:pPr>
            <w:r>
              <w:t xml:space="preserve">Maintain strategic allocation</w:t>
            </w:r>
          </w:p>
        </w:tc>
      </w:tr>
      <w:tr>
        <w:tc>
          <w:tcPr/>
          <w:p>
            <w:pPr>
              <w:pStyle w:val="Compact"/>
              <w:jc w:val="left"/>
            </w:pPr>
            <w:r>
              <w:t xml:space="preserve">CAUTIOUS</w:t>
            </w:r>
          </w:p>
        </w:tc>
        <w:tc>
          <w:tcPr/>
          <w:p>
            <w:pPr>
              <w:pStyle w:val="Compact"/>
              <w:jc w:val="left"/>
            </w:pPr>
            <w:r>
              <w:t xml:space="preserve">Review portfolio risk, prepare contingencies</w:t>
            </w:r>
          </w:p>
        </w:tc>
      </w:tr>
      <w:tr>
        <w:tc>
          <w:tcPr/>
          <w:p>
            <w:pPr>
              <w:pStyle w:val="Compact"/>
              <w:jc w:val="left"/>
            </w:pPr>
            <w:r>
              <w:t xml:space="preserve">DETERIORATING</w:t>
            </w:r>
          </w:p>
        </w:tc>
        <w:tc>
          <w:tcPr/>
          <w:p>
            <w:pPr>
              <w:pStyle w:val="Compact"/>
              <w:jc w:val="left"/>
            </w:pPr>
            <w:r>
              <w:t xml:space="preserve">Reduce equity beta, increase cash buffer</w:t>
            </w:r>
          </w:p>
        </w:tc>
      </w:tr>
      <w:tr>
        <w:tc>
          <w:tcPr/>
          <w:p>
            <w:pPr>
              <w:pStyle w:val="Compact"/>
              <w:jc w:val="left"/>
            </w:pPr>
            <w:r>
              <w:t xml:space="preserve">STRETCHED</w:t>
            </w:r>
          </w:p>
        </w:tc>
        <w:tc>
          <w:tcPr/>
          <w:p>
            <w:pPr>
              <w:pStyle w:val="Compact"/>
              <w:jc w:val="left"/>
            </w:pPr>
            <w:r>
              <w:t xml:space="preserve">Defensive positioning, hedge tail risk</w:t>
            </w:r>
          </w:p>
        </w:tc>
      </w:tr>
      <w:tr>
        <w:tc>
          <w:tcPr/>
          <w:p>
            <w:pPr>
              <w:pStyle w:val="Compact"/>
              <w:jc w:val="left"/>
            </w:pPr>
            <w:r>
              <w:t xml:space="preserve">CRITICAL</w:t>
            </w:r>
          </w:p>
        </w:tc>
        <w:tc>
          <w:tcPr/>
          <w:p>
            <w:pPr>
              <w:pStyle w:val="Compact"/>
              <w:jc w:val="left"/>
            </w:pPr>
            <w:r>
              <w:t xml:space="preserve">Maximum defence, preserve capital</w:t>
            </w:r>
          </w:p>
        </w:tc>
      </w:tr>
    </w:tbl>
    <w:p>
      <w:r>
        <w:pict>
          <v:rect style="width:0;height:1.5pt" o:hralign="center" o:hrstd="t" o:hr="t"/>
        </w:pict>
      </w:r>
    </w:p>
    <w:p>
      <w:pPr>
        <w:pStyle w:val="BlockText"/>
      </w:pPr>
      <w:r>
        <w:rPr>
          <w:bCs/>
          <w:b/>
        </w:rPr>
        <w:t xml:space="preserve">Note:</w:t>
      </w:r>
      <w:r>
        <w:t xml:space="preserve"> </w:t>
      </w:r>
      <w:r>
        <w:t xml:space="preserve">The recommended actions are calibrated to the default operating point (τ = 0.50). Clients using a different operating point (§15.7) should adjust the action aggressiveness proportionally. A client operating at τ = 0.60 will receive more frequent signals and should calibrate their response accordingly — e.g., using CAUTIOUS-level actions for signals that would be STRETCHED at the default threshold.</w:t>
      </w:r>
    </w:p>
    <w:bookmarkEnd w:id="93"/>
    <w:bookmarkEnd w:id="94"/>
    <w:bookmarkStart w:id="106" w:name="predictive-analytics"/>
    <w:p>
      <w:pPr>
        <w:pStyle w:val="Heading2"/>
      </w:pPr>
      <w:r>
        <w:t xml:space="preserve">10. Predictive Analytics</w:t>
      </w:r>
    </w:p>
    <w:bookmarkStart w:id="95" w:name="monte-carlo-simulation"/>
    <w:p>
      <w:pPr>
        <w:pStyle w:val="Heading3"/>
      </w:pPr>
      <w:r>
        <w:t xml:space="preserve">10.1 Monte Carlo Simulation</w:t>
      </w:r>
    </w:p>
    <w:p>
      <w:pPr>
        <w:pStyle w:val="FirstParagraph"/>
      </w:pPr>
      <w:r>
        <w:t xml:space="preserve">The Monte Carlo module simulates how shocks propagate under different MAC regimes:</w:t>
      </w:r>
    </w:p>
    <w:p>
      <w:pPr>
        <w:pStyle w:val="BodyText"/>
      </w:pPr>
      <w:r>
        <w:rPr>
          <w:bCs/>
          <w:b/>
        </w:rPr>
        <w:t xml:space="preserve">Regime-dependent transmission coefficients: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Regime</w:t>
            </w:r>
          </w:p>
        </w:tc>
        <w:tc>
          <w:tcPr/>
          <w:p>
            <w:pPr>
              <w:pStyle w:val="Compact"/>
              <w:jc w:val="left"/>
            </w:pPr>
            <w:r>
              <w:t xml:space="preserve">Direct Impact</w:t>
            </w:r>
          </w:p>
        </w:tc>
        <w:tc>
          <w:tcPr/>
          <w:p>
            <w:pPr>
              <w:pStyle w:val="Compact"/>
              <w:jc w:val="left"/>
            </w:pPr>
            <w:r>
              <w:t xml:space="preserve">Spillover</w:t>
            </w:r>
          </w:p>
        </w:tc>
        <w:tc>
          <w:tcPr/>
          <w:p>
            <w:pPr>
              <w:pStyle w:val="Compact"/>
              <w:jc w:val="left"/>
            </w:pPr>
            <w:r>
              <w:t xml:space="preserve">Amplification</w:t>
            </w:r>
          </w:p>
        </w:tc>
      </w:tr>
      <w:tr>
        <w:tc>
          <w:tcPr/>
          <w:p>
            <w:pPr>
              <w:pStyle w:val="Compact"/>
              <w:jc w:val="left"/>
            </w:pPr>
            <w:r>
              <w:t xml:space="preserve">Ample (MAC &gt; 0.65)</w:t>
            </w:r>
          </w:p>
        </w:tc>
        <w:tc>
          <w:tcPr/>
          <w:p>
            <w:pPr>
              <w:pStyle w:val="Compact"/>
              <w:jc w:val="left"/>
            </w:pPr>
            <w:r>
              <w:t xml:space="preserve">0.30</w:t>
            </w:r>
          </w:p>
        </w:tc>
        <w:tc>
          <w:tcPr/>
          <w:p>
            <w:pPr>
              <w:pStyle w:val="Compact"/>
              <w:jc w:val="left"/>
            </w:pPr>
            <w:r>
              <w:t xml:space="preserve">0.10</w:t>
            </w:r>
          </w:p>
        </w:tc>
        <w:tc>
          <w:tcPr/>
          <w:p>
            <w:pPr>
              <w:pStyle w:val="Compact"/>
              <w:jc w:val="left"/>
            </w:pPr>
            <w:r>
              <w:t xml:space="preserve">1.0×</w:t>
            </w:r>
          </w:p>
        </w:tc>
      </w:tr>
      <w:tr>
        <w:tc>
          <w:tcPr/>
          <w:p>
            <w:pPr>
              <w:pStyle w:val="Compact"/>
              <w:jc w:val="left"/>
            </w:pPr>
            <w:r>
              <w:t xml:space="preserve">Thin (0.50–0.65)</w:t>
            </w:r>
          </w:p>
        </w:tc>
        <w:tc>
          <w:tcPr/>
          <w:p>
            <w:pPr>
              <w:pStyle w:val="Compact"/>
              <w:jc w:val="left"/>
            </w:pPr>
            <w:r>
              <w:t xml:space="preserve">0.50</w:t>
            </w:r>
          </w:p>
        </w:tc>
        <w:tc>
          <w:tcPr/>
          <w:p>
            <w:pPr>
              <w:pStyle w:val="Compact"/>
              <w:jc w:val="left"/>
            </w:pPr>
            <w:r>
              <w:t xml:space="preserve">0.25</w:t>
            </w:r>
          </w:p>
        </w:tc>
        <w:tc>
          <w:tcPr/>
          <w:p>
            <w:pPr>
              <w:pStyle w:val="Compact"/>
              <w:jc w:val="left"/>
            </w:pPr>
            <w:r>
              <w:t xml:space="preserve">1.5×</w:t>
            </w:r>
          </w:p>
        </w:tc>
      </w:tr>
      <w:tr>
        <w:tc>
          <w:tcPr/>
          <w:p>
            <w:pPr>
              <w:pStyle w:val="Compact"/>
              <w:jc w:val="left"/>
            </w:pPr>
            <w:r>
              <w:t xml:space="preserve">Stretched (0.35–0.50)</w:t>
            </w:r>
          </w:p>
        </w:tc>
        <w:tc>
          <w:tcPr/>
          <w:p>
            <w:pPr>
              <w:pStyle w:val="Compact"/>
              <w:jc w:val="left"/>
            </w:pPr>
            <w:r>
              <w:t xml:space="preserve">0.70</w:t>
            </w:r>
          </w:p>
        </w:tc>
        <w:tc>
          <w:tcPr/>
          <w:p>
            <w:pPr>
              <w:pStyle w:val="Compact"/>
              <w:jc w:val="left"/>
            </w:pPr>
            <w:r>
              <w:t xml:space="preserve">0.45</w:t>
            </w:r>
          </w:p>
        </w:tc>
        <w:tc>
          <w:tcPr/>
          <w:p>
            <w:pPr>
              <w:pStyle w:val="Compact"/>
              <w:jc w:val="left"/>
            </w:pPr>
            <w:r>
              <w:t xml:space="preserve">2.5×</w:t>
            </w:r>
          </w:p>
        </w:tc>
      </w:tr>
      <w:tr>
        <w:tc>
          <w:tcPr/>
          <w:p>
            <w:pPr>
              <w:pStyle w:val="Compact"/>
              <w:jc w:val="left"/>
            </w:pPr>
            <w:r>
              <w:t xml:space="preserve">Breach (&lt; 0.35)</w:t>
            </w:r>
          </w:p>
        </w:tc>
        <w:tc>
          <w:tcPr/>
          <w:p>
            <w:pPr>
              <w:pStyle w:val="Compact"/>
              <w:jc w:val="left"/>
            </w:pPr>
            <w:r>
              <w:t xml:space="preserve">0.90</w:t>
            </w:r>
          </w:p>
        </w:tc>
        <w:tc>
          <w:tcPr/>
          <w:p>
            <w:pPr>
              <w:pStyle w:val="Compact"/>
              <w:jc w:val="left"/>
            </w:pPr>
            <w:r>
              <w:t xml:space="preserve">0.70</w:t>
            </w:r>
          </w:p>
        </w:tc>
        <w:tc>
          <w:tcPr/>
          <w:p>
            <w:pPr>
              <w:pStyle w:val="Compact"/>
              <w:jc w:val="left"/>
            </w:pPr>
            <w:r>
              <w:rPr>
                <w:bCs/>
                <w:b/>
              </w:rPr>
              <w:t xml:space="preserve">4.0×</w:t>
            </w:r>
          </w:p>
        </w:tc>
      </w:tr>
    </w:tbl>
    <w:p>
      <w:pPr>
        <w:pStyle w:val="BodyText"/>
      </w:pPr>
      <w:r>
        <w:t xml:space="preserve">A 2-sigma liquidity shock under Ample conditions produces ~30% direct impact with minimal spillover. The same shock under Breach conditions produces ~90% direct impact with 70% spillover to other pillars, amplified 4× — a qualitatively different dynamic that justifies regime-aware risk management.</w:t>
      </w:r>
    </w:p>
    <w:bookmarkEnd w:id="95"/>
    <w:bookmarkStart w:id="104" w:name="shock-propagation-model"/>
    <w:p>
      <w:pPr>
        <w:pStyle w:val="Heading3"/>
      </w:pPr>
      <w:r>
        <w:t xml:space="preserve">10.2 Shock Propagation Model</w:t>
      </w:r>
    </w:p>
    <w:p>
      <w:pPr>
        <w:pStyle w:val="FirstParagraph"/>
      </w:pPr>
      <w:r>
        <w:t xml:space="preserve">The propagation module models multi-period cascades using an empirically estimated transmission matrix that captures how stress in each pillar propagates to others over subsequent periods.</w:t>
      </w:r>
    </w:p>
    <w:bookmarkStart w:id="96" w:name="theoretical-framework"/>
    <w:p>
      <w:pPr>
        <w:pStyle w:val="Heading4"/>
      </w:pPr>
      <w:r>
        <w:t xml:space="preserve">10.2.1 Theoretical Framework</w:t>
      </w:r>
    </w:p>
    <w:p>
      <w:pPr>
        <w:pStyle w:val="FirstParagraph"/>
      </w:pPr>
      <w:r>
        <w:t xml:space="preserve">Financial crises propagate through identifiable structural channels: liquidity withdrawal forces position unwinds, which spike volatility, which further depletes liquidity. The cascade propagation model formalises this by treating the vector of pillar scores as a dynamical system with cross-pillar transmission:</w:t>
      </w:r>
    </w:p>
    <w:p>
      <w:pPr>
        <w:pStyle w:val="BodyText"/>
      </w:pPr>
      <m:oMathPara>
        <m:oMathParaPr>
          <m:jc m:val="center"/>
        </m:oMathParaPr>
        <m:oMath>
          <m:sSub>
            <m:e>
              <m:r>
                <m:rPr>
                  <m:sty m:val="b"/>
                </m:rPr>
                <m:t>P</m:t>
              </m:r>
            </m:e>
            <m:sub>
              <m:r>
                <m:t>t</m:t>
              </m:r>
              <m:r>
                <m:rPr>
                  <m:sty m:val="p"/>
                </m:rPr>
                <m:t>+</m:t>
              </m:r>
              <m:r>
                <m:t>1</m:t>
              </m:r>
            </m:sub>
          </m:sSub>
          <m:r>
            <m:rPr>
              <m:sty m:val="p"/>
            </m:rPr>
            <m:t>=</m:t>
          </m:r>
          <m:sSub>
            <m:e>
              <m:r>
                <m:rPr>
                  <m:sty m:val="b"/>
                </m:rPr>
                <m:t>P</m:t>
              </m:r>
            </m:e>
            <m:sub>
              <m:r>
                <m:t>t</m:t>
              </m:r>
            </m:sub>
          </m:sSub>
          <m:r>
            <m:rPr>
              <m:sty m:val="p"/>
            </m:rPr>
            <m:t>+</m:t>
          </m:r>
          <m:r>
            <m:rPr>
              <m:sty m:val="b"/>
            </m:rPr>
            <m:t>Φ</m:t>
          </m:r>
          <m:r>
            <m:rPr>
              <m:sty m:val="p"/>
            </m:rPr>
            <m:t>⋅</m:t>
          </m:r>
          <m:r>
            <m:t>Δ</m:t>
          </m:r>
          <m:sSub>
            <m:e>
              <m:r>
                <m:rPr>
                  <m:sty m:val="b"/>
                </m:rPr>
                <m:t>P</m:t>
              </m:r>
            </m:e>
            <m:sub>
              <m:r>
                <m:t>t</m:t>
              </m:r>
            </m:sub>
          </m:sSub>
          <m:r>
            <m:rPr>
              <m:sty m:val="p"/>
            </m:rPr>
            <m:t>+</m:t>
          </m:r>
          <m:sSub>
            <m:e>
              <m:r>
                <m:rPr>
                  <m:sty m:val="b"/>
                </m:rPr>
                <m:t>η</m:t>
              </m:r>
            </m:e>
            <m:sub>
              <m:r>
                <m:t>t</m:t>
              </m:r>
            </m:sub>
          </m:sSub>
        </m:oMath>
      </m:oMathPara>
    </w:p>
    <w:p>
      <w:pPr>
        <w:pStyle w:val="FirstParagraph"/>
      </w:pPr>
      <w:r>
        <w:t xml:space="preserve">where</w:t>
      </w:r>
      <w:r>
        <w:t xml:space="preserve"> </w:t>
      </w:r>
      <m:oMath>
        <m:sSub>
          <m:e>
            <m:r>
              <m:rPr>
                <m:sty m:val="b"/>
              </m:rPr>
              <m:t>P</m:t>
            </m:r>
          </m:e>
          <m:sub>
            <m:r>
              <m:t>t</m:t>
            </m:r>
          </m:sub>
        </m:sSub>
      </m:oMath>
      <w:r>
        <w:t xml:space="preserve"> </w:t>
      </w:r>
      <w:r>
        <w:t xml:space="preserve">is the vector of pillar scores at time</w:t>
      </w:r>
      <w:r>
        <w:t xml:space="preserve"> </w:t>
      </w:r>
      <m:oMath>
        <m:r>
          <m:t>t</m:t>
        </m:r>
      </m:oMath>
      <w:r>
        <w:t xml:space="preserve">,</w:t>
      </w:r>
      <w:r>
        <w:t xml:space="preserve"> </w:t>
      </w:r>
      <m:oMath>
        <m:r>
          <m:t>Δ</m:t>
        </m:r>
        <m:sSub>
          <m:e>
            <m:r>
              <m:rPr>
                <m:sty m:val="b"/>
              </m:rPr>
              <m:t>P</m:t>
            </m:r>
          </m:e>
          <m:sub>
            <m:r>
              <m:t>t</m:t>
            </m:r>
          </m:sub>
        </m:sSub>
        <m:r>
          <m:rPr>
            <m:sty m:val="p"/>
          </m:rPr>
          <m:t>=</m:t>
        </m:r>
        <m:sSub>
          <m:e>
            <m:r>
              <m:rPr>
                <m:sty m:val="b"/>
              </m:rPr>
              <m:t>P</m:t>
            </m:r>
          </m:e>
          <m:sub>
            <m:r>
              <m:t>t</m:t>
            </m:r>
          </m:sub>
        </m:sSub>
        <m:r>
          <m:rPr>
            <m:sty m:val="p"/>
          </m:rPr>
          <m:t>−</m:t>
        </m:r>
        <m:sSub>
          <m:e>
            <m:r>
              <m:rPr>
                <m:sty m:val="b"/>
              </m:rPr>
              <m:t>P</m:t>
            </m:r>
          </m:e>
          <m:sub>
            <m:r>
              <m:t>t</m:t>
            </m:r>
            <m:r>
              <m:rPr>
                <m:sty m:val="p"/>
              </m:rPr>
              <m:t>−</m:t>
            </m:r>
            <m:r>
              <m:t>1</m:t>
            </m:r>
          </m:sub>
        </m:sSub>
      </m:oMath>
      <w:r>
        <w:t xml:space="preserve"> </w:t>
      </w:r>
      <w:r>
        <w:t xml:space="preserve">is the weekly change in pillar scores,</w:t>
      </w:r>
      <w:r>
        <w:t xml:space="preserve"> </w:t>
      </w:r>
      <m:oMath>
        <m:r>
          <m:rPr>
            <m:sty m:val="b"/>
          </m:rPr>
          <m:t>Φ</m:t>
        </m:r>
      </m:oMath>
      <w:r>
        <w:t xml:space="preserve"> </w:t>
      </w:r>
      <w:r>
        <w:t xml:space="preserve">is the</w:t>
      </w:r>
      <w:r>
        <w:t xml:space="preserve"> </w:t>
      </w:r>
      <m:oMath>
        <m:r>
          <m:t>6</m:t>
        </m:r>
        <m:r>
          <m:rPr>
            <m:sty m:val="p"/>
          </m:rPr>
          <m:t>×</m:t>
        </m:r>
        <m:r>
          <m:t>6</m:t>
        </m:r>
      </m:oMath>
      <w:r>
        <w:t xml:space="preserve"> </w:t>
      </w:r>
      <w:r>
        <w:t xml:space="preserve">transmission matrix (excluding private credit for estimation, which has too short a history), and</w:t>
      </w:r>
      <w:r>
        <w:t xml:space="preserve"> </w:t>
      </w:r>
      <m:oMath>
        <m:sSub>
          <m:e>
            <m:r>
              <m:rPr>
                <m:sty m:val="b"/>
              </m:rPr>
              <m:t>η</m:t>
            </m:r>
          </m:e>
          <m:sub>
            <m:r>
              <m:t>t</m:t>
            </m:r>
          </m:sub>
        </m:sSub>
      </m:oMath>
      <w:r>
        <w:t xml:space="preserve"> </w:t>
      </w:r>
      <w:r>
        <w:t xml:space="preserve">is the innovation vector.</w:t>
      </w:r>
    </w:p>
    <w:p>
      <w:pPr>
        <w:pStyle w:val="BodyText"/>
      </w:pPr>
      <w:r>
        <w:t xml:space="preserve">The off-diagonal elements</w:t>
      </w:r>
      <w:r>
        <w:t xml:space="preserve"> </w:t>
      </w:r>
      <m:oMath>
        <m:sSub>
          <m:e>
            <m:r>
              <m:t>Φ</m:t>
            </m:r>
          </m:e>
          <m:sub>
            <m:r>
              <m:t>i</m:t>
            </m:r>
            <m:r>
              <m:t>j</m:t>
            </m:r>
          </m:sub>
        </m:sSub>
      </m:oMath>
      <w:r>
        <w:t xml:space="preserve"> </w:t>
      </w:r>
      <w:r>
        <w:t xml:space="preserve">represent the propagation coefficient from pillar</w:t>
      </w:r>
      <w:r>
        <w:t xml:space="preserve"> </w:t>
      </w:r>
      <m:oMath>
        <m:r>
          <m:t>j</m:t>
        </m:r>
      </m:oMath>
      <w:r>
        <w:t xml:space="preserve"> </w:t>
      </w:r>
      <w:r>
        <w:t xml:space="preserve">to pillar</w:t>
      </w:r>
      <w:r>
        <w:t xml:space="preserve"> </w:t>
      </w:r>
      <m:oMath>
        <m:r>
          <m:t>i</m:t>
        </m:r>
      </m:oMath>
      <w:r>
        <w:t xml:space="preserve">: a negative</w:t>
      </w:r>
      <w:r>
        <w:t xml:space="preserve"> </w:t>
      </w:r>
      <m:oMath>
        <m:sSub>
          <m:e>
            <m:r>
              <m:t>Φ</m:t>
            </m:r>
          </m:e>
          <m:sub>
            <m:r>
              <m:t>i</m:t>
            </m:r>
            <m:r>
              <m:t>j</m:t>
            </m:r>
          </m:sub>
        </m:sSub>
      </m:oMath>
      <w:r>
        <w:t xml:space="preserve"> </w:t>
      </w:r>
      <w:r>
        <w:t xml:space="preserve">means that a</w:t>
      </w:r>
      <w:r>
        <w:t xml:space="preserve"> </w:t>
      </w:r>
      <w:r>
        <w:rPr>
          <w:iCs/>
          <w:i/>
        </w:rPr>
        <w:t xml:space="preserve">decline</w:t>
      </w:r>
      <w:r>
        <w:t xml:space="preserve"> </w:t>
      </w:r>
      <w:r>
        <w:t xml:space="preserve">in pillar</w:t>
      </w:r>
      <w:r>
        <w:t xml:space="preserve"> </w:t>
      </w:r>
      <m:oMath>
        <m:r>
          <m:t>j</m:t>
        </m:r>
      </m:oMath>
      <w:r>
        <w:t xml:space="preserve"> </w:t>
      </w:r>
      <w:r>
        <w:t xml:space="preserve">causes pillar</w:t>
      </w:r>
      <w:r>
        <w:t xml:space="preserve"> </w:t>
      </w:r>
      <m:oMath>
        <m:r>
          <m:t>i</m:t>
        </m:r>
      </m:oMath>
      <w:r>
        <w:t xml:space="preserve"> </w:t>
      </w:r>
      <w:r>
        <w:t xml:space="preserve">to decline in the following period (stress propagation). A positive</w:t>
      </w:r>
      <w:r>
        <w:t xml:space="preserve"> </w:t>
      </w:r>
      <m:oMath>
        <m:sSub>
          <m:e>
            <m:r>
              <m:t>Φ</m:t>
            </m:r>
          </m:e>
          <m:sub>
            <m:r>
              <m:t>i</m:t>
            </m:r>
            <m:r>
              <m:t>j</m:t>
            </m:r>
          </m:sub>
        </m:sSub>
      </m:oMath>
      <w:r>
        <w:t xml:space="preserve"> </w:t>
      </w:r>
      <w:r>
        <w:t xml:space="preserve">means the opposite (stress absorption or dampening).</w:t>
      </w:r>
    </w:p>
    <w:bookmarkEnd w:id="96"/>
    <w:bookmarkStart w:id="97" w:name="estimation-methodology-structural-var"/>
    <w:p>
      <w:pPr>
        <w:pStyle w:val="Heading4"/>
      </w:pPr>
      <w:r>
        <w:t xml:space="preserve">10.2.2 Estimation Methodology — Structural VAR</w:t>
      </w:r>
    </w:p>
    <w:p>
      <w:pPr>
        <w:pStyle w:val="FirstParagraph"/>
      </w:pPr>
      <w:r>
        <w:rPr>
          <w:bCs/>
          <w:b/>
        </w:rPr>
        <w:t xml:space="preserve">Model specification.</w:t>
      </w:r>
      <w:r>
        <w:t xml:space="preserve"> </w:t>
      </w:r>
      <w:r>
        <w:t xml:space="preserve">The transmission matrix is estimated using a Structural Vector Autoregression (SVAR) on the time series of weekly pillar scores. The VAR specification is:</w:t>
      </w:r>
    </w:p>
    <w:p>
      <w:pPr>
        <w:pStyle w:val="BodyText"/>
      </w:pPr>
      <m:oMathPara>
        <m:oMathParaPr>
          <m:jc m:val="center"/>
        </m:oMathParaPr>
        <m:oMath>
          <m:r>
            <m:t>Δ</m:t>
          </m:r>
          <m:sSub>
            <m:e>
              <m:r>
                <m:rPr>
                  <m:sty m:val="b"/>
                </m:rPr>
                <m:t>P</m:t>
              </m:r>
            </m:e>
            <m:sub>
              <m:r>
                <m:t>t</m:t>
              </m:r>
            </m:sub>
          </m:sSub>
          <m:r>
            <m:rPr>
              <m:sty m:val="p"/>
            </m:rPr>
            <m:t>=</m:t>
          </m:r>
          <m:r>
            <m:rPr>
              <m:sty m:val="b"/>
            </m:rPr>
            <m:t>c</m:t>
          </m:r>
          <m:r>
            <m:rPr>
              <m:sty m:val="p"/>
            </m:rPr>
            <m:t>+</m:t>
          </m:r>
          <m:nary>
            <m:naryPr>
              <m:chr m:val="∑"/>
              <m:limLoc m:val="undOvr"/>
              <m:subHide m:val="off"/>
              <m:supHide m:val="off"/>
            </m:naryPr>
            <m:sub>
              <m:r>
                <m:t>k</m:t>
              </m:r>
              <m:r>
                <m:rPr>
                  <m:sty m:val="p"/>
                </m:rPr>
                <m:t>=</m:t>
              </m:r>
              <m:r>
                <m:t>1</m:t>
              </m:r>
            </m:sub>
            <m:sup>
              <m:r>
                <m:t>L</m:t>
              </m:r>
            </m:sup>
            <m:e>
              <m:sSub>
                <m:e>
                  <m:r>
                    <m:rPr>
                      <m:sty m:val="b"/>
                    </m:rPr>
                    <m:t>A</m:t>
                  </m:r>
                </m:e>
                <m:sub>
                  <m:r>
                    <m:t>k</m:t>
                  </m:r>
                </m:sub>
              </m:sSub>
            </m:e>
          </m:nary>
          <m:r>
            <m:rPr>
              <m:sty m:val="p"/>
            </m:rPr>
            <m:t>⋅</m:t>
          </m:r>
          <m:r>
            <m:t>Δ</m:t>
          </m:r>
          <m:sSub>
            <m:e>
              <m:r>
                <m:rPr>
                  <m:sty m:val="b"/>
                </m:rPr>
                <m:t>P</m:t>
              </m:r>
            </m:e>
            <m:sub>
              <m:r>
                <m:t>t</m:t>
              </m:r>
              <m:r>
                <m:rPr>
                  <m:sty m:val="p"/>
                </m:rPr>
                <m:t>−</m:t>
              </m:r>
              <m:r>
                <m:t>k</m:t>
              </m:r>
            </m:sub>
          </m:sSub>
          <m:r>
            <m:rPr>
              <m:sty m:val="p"/>
            </m:rPr>
            <m:t>+</m:t>
          </m:r>
          <m:sSub>
            <m:e>
              <m:r>
                <m:rPr>
                  <m:sty m:val="b"/>
                </m:rPr>
                <m:t>u</m:t>
              </m:r>
            </m:e>
            <m:sub>
              <m:r>
                <m:t>t</m:t>
              </m:r>
            </m:sub>
          </m:sSub>
        </m:oMath>
      </m:oMathPara>
    </w:p>
    <w:p>
      <w:pPr>
        <w:pStyle w:val="FirstParagraph"/>
      </w:pPr>
      <w:r>
        <w:t xml:space="preserve">where</w:t>
      </w:r>
      <w:r>
        <w:t xml:space="preserve"> </w:t>
      </w:r>
      <m:oMath>
        <m:r>
          <m:t>L</m:t>
        </m:r>
      </m:oMath>
      <w:r>
        <w:t xml:space="preserve"> </w:t>
      </w:r>
      <w:r>
        <w:t xml:space="preserve">is the lag order (selected by BIC, typically</w:t>
      </w:r>
      <w:r>
        <w:t xml:space="preserve"> </w:t>
      </w:r>
      <m:oMath>
        <m:r>
          <m:t>L</m:t>
        </m:r>
        <m:r>
          <m:rPr>
            <m:sty m:val="p"/>
          </m:rPr>
          <m:t>=</m:t>
        </m:r>
        <m:r>
          <m:t>2</m:t>
        </m:r>
      </m:oMath>
      <w:r>
        <w:t xml:space="preserve"> </w:t>
      </w:r>
      <w:r>
        <w:t xml:space="preserve">for weekly data),</w:t>
      </w:r>
      <w:r>
        <w:t xml:space="preserve"> </w:t>
      </w:r>
      <m:oMath>
        <m:sSub>
          <m:e>
            <m:r>
              <m:rPr>
                <m:sty m:val="b"/>
              </m:rPr>
              <m:t>A</m:t>
            </m:r>
          </m:e>
          <m:sub>
            <m:r>
              <m:t>k</m:t>
            </m:r>
          </m:sub>
        </m:sSub>
      </m:oMath>
      <w:r>
        <w:t xml:space="preserve"> </w:t>
      </w:r>
      <w:r>
        <w:t xml:space="preserve">are the</w:t>
      </w:r>
      <w:r>
        <w:t xml:space="preserve"> </w:t>
      </w:r>
      <m:oMath>
        <m:r>
          <m:t>6</m:t>
        </m:r>
        <m:r>
          <m:rPr>
            <m:sty m:val="p"/>
          </m:rPr>
          <m:t>×</m:t>
        </m:r>
        <m:r>
          <m:t>6</m:t>
        </m:r>
      </m:oMath>
      <w:r>
        <w:t xml:space="preserve"> </w:t>
      </w:r>
      <w:r>
        <w:t xml:space="preserve">coefficient matrices,</w:t>
      </w:r>
      <w:r>
        <w:t xml:space="preserve"> </w:t>
      </w:r>
      <m:oMath>
        <m:r>
          <m:rPr>
            <m:sty m:val="b"/>
          </m:rPr>
          <m:t>c</m:t>
        </m:r>
      </m:oMath>
      <w:r>
        <w:t xml:space="preserve"> </w:t>
      </w:r>
      <w:r>
        <w:t xml:space="preserve">is a constant vector, and</w:t>
      </w:r>
      <w:r>
        <w:t xml:space="preserve"> </w:t>
      </w:r>
      <m:oMath>
        <m:sSub>
          <m:e>
            <m:r>
              <m:rPr>
                <m:sty m:val="b"/>
              </m:rPr>
              <m:t>u</m:t>
            </m:r>
          </m:e>
          <m:sub>
            <m:r>
              <m:t>t</m:t>
            </m:r>
          </m:sub>
        </m:sSub>
      </m:oMath>
      <w:r>
        <w:t xml:space="preserve"> </w:t>
      </w:r>
      <w:r>
        <w:t xml:space="preserve">is the residual vector with covariance matrix</w:t>
      </w:r>
      <w:r>
        <w:t xml:space="preserve"> </w:t>
      </w:r>
      <m:oMath>
        <m:r>
          <m:rPr>
            <m:sty m:val="b"/>
          </m:rPr>
          <m:t>Σ</m:t>
        </m:r>
      </m:oMath>
      <w:r>
        <w:t xml:space="preserve">.</w:t>
      </w:r>
    </w:p>
    <w:p>
      <w:pPr>
        <w:pStyle w:val="BodyText"/>
      </w:pPr>
      <w:r>
        <w:rPr>
          <w:bCs/>
          <w:b/>
        </w:rPr>
        <w:t xml:space="preserve">Identification.</w:t>
      </w:r>
      <w:r>
        <w:t xml:space="preserve"> </w:t>
      </w:r>
      <w:r>
        <w:t xml:space="preserve">The reduced-form VAR is identified using a Cholesky decomposition with a theoretically motivated ordering:</w:t>
      </w:r>
    </w:p>
    <w:p>
      <w:pPr>
        <w:numPr>
          <w:ilvl w:val="0"/>
          <w:numId w:val="1007"/>
        </w:numPr>
        <w:pStyle w:val="Compact"/>
      </w:pPr>
      <w:r>
        <w:rPr>
          <w:bCs/>
          <w:b/>
        </w:rPr>
        <w:t xml:space="preserve">Policy</w:t>
      </w:r>
      <w:r>
        <w:t xml:space="preserve"> </w:t>
      </w:r>
      <w:r>
        <w:t xml:space="preserve">(slowest-moving; determined by FOMC schedule, not market dynamics)</w:t>
      </w:r>
    </w:p>
    <w:p>
      <w:pPr>
        <w:numPr>
          <w:ilvl w:val="0"/>
          <w:numId w:val="1007"/>
        </w:numPr>
        <w:pStyle w:val="Compact"/>
      </w:pPr>
      <w:r>
        <w:rPr>
          <w:bCs/>
          <w:b/>
        </w:rPr>
        <w:t xml:space="preserve">Valuation</w:t>
      </w:r>
      <w:r>
        <w:t xml:space="preserve"> </w:t>
      </w:r>
      <w:r>
        <w:t xml:space="preserve">(credit spreads adjust over days/weeks, not intraday)</w:t>
      </w:r>
    </w:p>
    <w:p>
      <w:pPr>
        <w:numPr>
          <w:ilvl w:val="0"/>
          <w:numId w:val="1007"/>
        </w:numPr>
        <w:pStyle w:val="Compact"/>
      </w:pPr>
      <w:r>
        <w:rPr>
          <w:bCs/>
          <w:b/>
        </w:rPr>
        <w:t xml:space="preserve">Contagion</w:t>
      </w:r>
      <w:r>
        <w:t xml:space="preserve"> </w:t>
      </w:r>
      <w:r>
        <w:t xml:space="preserve">(cross-border transmission operates with a lag)</w:t>
      </w:r>
    </w:p>
    <w:p>
      <w:pPr>
        <w:numPr>
          <w:ilvl w:val="0"/>
          <w:numId w:val="1007"/>
        </w:numPr>
        <w:pStyle w:val="Compact"/>
      </w:pPr>
      <w:r>
        <w:rPr>
          <w:bCs/>
          <w:b/>
        </w:rPr>
        <w:t xml:space="preserve">Liquidity</w:t>
      </w:r>
      <w:r>
        <w:t xml:space="preserve"> </w:t>
      </w:r>
      <w:r>
        <w:t xml:space="preserve">(funding markets respond within days)</w:t>
      </w:r>
    </w:p>
    <w:p>
      <w:pPr>
        <w:numPr>
          <w:ilvl w:val="0"/>
          <w:numId w:val="1007"/>
        </w:numPr>
        <w:pStyle w:val="Compact"/>
      </w:pPr>
      <w:r>
        <w:rPr>
          <w:bCs/>
          <w:b/>
        </w:rPr>
        <w:t xml:space="preserve">Volatility</w:t>
      </w:r>
      <w:r>
        <w:t xml:space="preserve"> </w:t>
      </w:r>
      <w:r>
        <w:t xml:space="preserve">(reprices continuously; responds to all shocks)</w:t>
      </w:r>
    </w:p>
    <w:p>
      <w:pPr>
        <w:numPr>
          <w:ilvl w:val="0"/>
          <w:numId w:val="1007"/>
        </w:numPr>
        <w:pStyle w:val="Compact"/>
      </w:pPr>
      <w:r>
        <w:rPr>
          <w:bCs/>
          <w:b/>
        </w:rPr>
        <w:t xml:space="preserve">Positioning</w:t>
      </w:r>
      <w:r>
        <w:t xml:space="preserve"> </w:t>
      </w:r>
      <w:r>
        <w:t xml:space="preserve">(fastest feedback; margin calls trigger within hours)</w:t>
      </w:r>
    </w:p>
    <w:p>
      <w:pPr>
        <w:pStyle w:val="FirstParagraph"/>
      </w:pPr>
      <w:r>
        <w:t xml:space="preserve">This ordering implies that a contemporaneous shock to policy is assumed to be exogenous to all other pillars within the same week, while a contemporaneous shock to positioning is allowed to respond to shocks from all other pillars within the same week. The ordering reflects the speed of transmission: policy decisions are the most exogenous (set by committee meetings), while positioning adjustments are the most reactive (margin calls are instantaneous).</w:t>
      </w:r>
    </w:p>
    <w:p>
      <w:pPr>
        <w:pStyle w:val="BodyText"/>
      </w:pPr>
      <w:r>
        <w:rPr>
          <w:bCs/>
          <w:b/>
        </w:rPr>
        <w:t xml:space="preserve">Robustness to ordering.</w:t>
      </w:r>
      <w:r>
        <w:t xml:space="preserve"> </w:t>
      </w:r>
      <w:r>
        <w:t xml:space="preserve">The Cholesky identification is sensitive to ordering. The framework tests all 720 permutations of the 6-pillar ordering and reports the median impulse response across all orderings, along with the 10th and 90th percentile bounds. Additionally, Generalised Impulse Response Functions (GIRFs) — which are invariant to ordering — are computed as a robustness check per Pesaran and Shin (1998).</w:t>
      </w:r>
    </w:p>
    <w:p>
      <w:pPr>
        <w:pStyle w:val="BodyText"/>
      </w:pPr>
      <w:r>
        <w:rPr>
          <w:bCs/>
          <w:b/>
        </w:rPr>
        <w:t xml:space="preserve">Estimation sample.</w:t>
      </w:r>
      <w:r>
        <w:t xml:space="preserve"> </w:t>
      </w:r>
      <w:r>
        <w:t xml:space="preserve">The SVAR is estimated over the 1997–2025 period (approximately 1,450 weekly observations), where at least 5 pillars have continuous data. Pre-1997 data is excluded from estimation due to proxy-chain-induced smoothing that would bias transmission coefficients downward (interpolated monthly data cannot capture the intra-week dynamics that drive cascades).</w:t>
      </w:r>
    </w:p>
    <w:p>
      <w:pPr>
        <w:pStyle w:val="BodyText"/>
      </w:pPr>
      <w:r>
        <w:rPr>
          <w:bCs/>
          <w:b/>
        </w:rPr>
        <w:t xml:space="preserve">Lag selection.</w:t>
      </w:r>
      <w:r>
        <w:t xml:space="preserve"> </w:t>
      </w:r>
      <w:r>
        <w:t xml:space="preserve">The Bayesian Information Criterion (BIC) selects the optimal lag length from candidates</w:t>
      </w:r>
      <w:r>
        <w:t xml:space="preserve"> </w:t>
      </w:r>
      <m:oMath>
        <m:r>
          <m:t>L</m:t>
        </m:r>
        <m:r>
          <m:rPr>
            <m:sty m:val="p"/>
          </m:rPr>
          <m:t>∈</m:t>
        </m:r>
        <m:r>
          <m:rPr>
            <m:sty m:val="p"/>
          </m:rPr>
          <m:t>{</m:t>
        </m:r>
        <m:r>
          <m:t>1</m:t>
        </m:r>
        <m:r>
          <m:rPr>
            <m:sty m:val="p"/>
          </m:rPr>
          <m:t>,</m:t>
        </m:r>
        <m:r>
          <m:t>2</m:t>
        </m:r>
        <m:r>
          <m:rPr>
            <m:sty m:val="p"/>
          </m:rPr>
          <m:t>,</m:t>
        </m:r>
        <m:r>
          <m:t>3</m:t>
        </m:r>
        <m:r>
          <m:rPr>
            <m:sty m:val="p"/>
          </m:rPr>
          <m:t>,</m:t>
        </m:r>
        <m:r>
          <m:t>4</m:t>
        </m:r>
        <m:r>
          <m:rPr>
            <m:sty m:val="p"/>
          </m:rPr>
          <m:t>}</m:t>
        </m:r>
      </m:oMath>
      <w:r>
        <w:t xml:space="preserve">. For weekly pillar score changes, BIC typically selects</w:t>
      </w:r>
      <w:r>
        <w:t xml:space="preserve"> </w:t>
      </w:r>
      <m:oMath>
        <m:r>
          <m:t>L</m:t>
        </m:r>
        <m:r>
          <m:rPr>
            <m:sty m:val="p"/>
          </m:rPr>
          <m:t>=</m:t>
        </m:r>
        <m:r>
          <m:t>2</m:t>
        </m:r>
      </m:oMath>
      <w:r>
        <w:t xml:space="preserve">, corresponding to a 2-week transmission horizon — consistent with the empirical observation that cross-pillar propagation in major crises (GFC, COVID) occurs over days to weeks, not months.</w:t>
      </w:r>
    </w:p>
    <w:bookmarkEnd w:id="97"/>
    <w:bookmarkStart w:id="98" w:name="X71554a78d9a93ebad7bf5877f786706d1505ef1"/>
    <w:p>
      <w:pPr>
        <w:pStyle w:val="Heading4"/>
      </w:pPr>
      <w:r>
        <w:t xml:space="preserve">10.2.3 Impulse Response Functions and Coefficient Extraction</w:t>
      </w:r>
    </w:p>
    <w:p>
      <w:pPr>
        <w:pStyle w:val="FirstParagraph"/>
      </w:pPr>
      <w:r>
        <w:t xml:space="preserve">The transmission coefficients used in the cascade simulation are extracted from the</w:t>
      </w:r>
      <w:r>
        <w:t xml:space="preserve"> </w:t>
      </w:r>
      <w:r>
        <w:rPr>
          <w:bCs/>
          <w:b/>
        </w:rPr>
        <w:t xml:space="preserve">cumulative impulse response functions (CIRFs)</w:t>
      </w:r>
      <w:r>
        <w:t xml:space="preserve"> </w:t>
      </w:r>
      <w:r>
        <w:t xml:space="preserve">at a 4-week horizon. The CIRF measures the total cumulative effect of a 1-standard-deviation shock to pillar</w:t>
      </w:r>
      <w:r>
        <w:t xml:space="preserve"> </w:t>
      </w:r>
      <m:oMath>
        <m:r>
          <m:t>j</m:t>
        </m:r>
      </m:oMath>
      <w:r>
        <w:t xml:space="preserve"> </w:t>
      </w:r>
      <w:r>
        <w:t xml:space="preserve">on pillar</w:t>
      </w:r>
      <w:r>
        <w:t xml:space="preserve"> </w:t>
      </w:r>
      <m:oMath>
        <m:r>
          <m:t>i</m:t>
        </m:r>
      </m:oMath>
      <w:r>
        <w:t xml:space="preserve"> </w:t>
      </w:r>
      <w:r>
        <w:t xml:space="preserve">over 4 weeks:</w:t>
      </w:r>
    </w:p>
    <w:p>
      <w:pPr>
        <w:pStyle w:val="BodyText"/>
      </w:pPr>
      <m:oMathPara>
        <m:oMathParaPr>
          <m:jc m:val="center"/>
        </m:oMathParaPr>
        <m:oMath>
          <m:sSub>
            <m:e>
              <m:r>
                <m:t>Φ</m:t>
              </m:r>
            </m:e>
            <m:sub>
              <m:r>
                <m:t>i</m:t>
              </m:r>
              <m:r>
                <m:t>j</m:t>
              </m:r>
            </m:sub>
          </m:sSub>
          <m:r>
            <m:rPr>
              <m:sty m:val="p"/>
            </m:rPr>
            <m:t>=</m:t>
          </m:r>
          <m:sSub>
            <m:e>
              <m:r>
                <m:rPr>
                  <m:nor/>
                  <m:sty m:val="p"/>
                </m:rPr>
                <m:t>CIRF</m:t>
              </m:r>
            </m:e>
            <m:sub>
              <m:r>
                <m:t>i</m:t>
              </m:r>
              <m:r>
                <m:t>j</m:t>
              </m:r>
            </m:sub>
          </m:sSub>
          <m:d>
            <m:dPr>
              <m:begChr m:val="("/>
              <m:endChr m:val=")"/>
              <m:sepChr m:val=""/>
              <m:grow/>
            </m:dPr>
            <m:e>
              <m:r>
                <m:t>h</m:t>
              </m:r>
              <m:r>
                <m:rPr>
                  <m:sty m:val="p"/>
                </m:rPr>
                <m:t>=</m:t>
              </m:r>
              <m:r>
                <m:t>4</m:t>
              </m:r>
            </m:e>
          </m:d>
          <m:r>
            <m:rPr>
              <m:sty m:val="p"/>
            </m:rPr>
            <m:t>=</m:t>
          </m:r>
          <m:nary>
            <m:naryPr>
              <m:chr m:val="∑"/>
              <m:limLoc m:val="undOvr"/>
              <m:subHide m:val="off"/>
              <m:supHide m:val="off"/>
            </m:naryPr>
            <m:sub>
              <m:r>
                <m:t>s</m:t>
              </m:r>
              <m:r>
                <m:rPr>
                  <m:sty m:val="p"/>
                </m:rPr>
                <m:t>=</m:t>
              </m:r>
              <m:r>
                <m:t>0</m:t>
              </m:r>
            </m:sub>
            <m:sup>
              <m:r>
                <m:t>4</m:t>
              </m:r>
            </m:sup>
            <m:e>
              <m:f>
                <m:fPr>
                  <m:type m:val="bar"/>
                </m:fPr>
                <m:num>
                  <m:r>
                    <m:rPr>
                      <m:sty m:val="p"/>
                    </m:rPr>
                    <m:t>∂</m:t>
                  </m:r>
                  <m:sSub>
                    <m:e>
                      <m:r>
                        <m:t>P</m:t>
                      </m:r>
                    </m:e>
                    <m:sub>
                      <m:r>
                        <m:t>i</m:t>
                      </m:r>
                      <m:r>
                        <m:rPr>
                          <m:sty m:val="p"/>
                        </m:rPr>
                        <m:t>,</m:t>
                      </m:r>
                      <m:r>
                        <m:t>t</m:t>
                      </m:r>
                      <m:r>
                        <m:rPr>
                          <m:sty m:val="p"/>
                        </m:rPr>
                        <m:t>+</m:t>
                      </m:r>
                      <m:r>
                        <m:t>s</m:t>
                      </m:r>
                    </m:sub>
                  </m:sSub>
                </m:num>
                <m:den>
                  <m:r>
                    <m:rPr>
                      <m:sty m:val="p"/>
                    </m:rPr>
                    <m:t>∂</m:t>
                  </m:r>
                  <m:sSub>
                    <m:e>
                      <m:r>
                        <m:t>u</m:t>
                      </m:r>
                    </m:e>
                    <m:sub>
                      <m:r>
                        <m:t>j</m:t>
                      </m:r>
                      <m:r>
                        <m:rPr>
                          <m:sty m:val="p"/>
                        </m:rPr>
                        <m:t>,</m:t>
                      </m:r>
                      <m:r>
                        <m:t>t</m:t>
                      </m:r>
                    </m:sub>
                  </m:sSub>
                </m:den>
              </m:f>
            </m:e>
          </m:nary>
        </m:oMath>
      </m:oMathPara>
    </w:p>
    <w:p>
      <w:pPr>
        <w:pStyle w:val="FirstParagraph"/>
      </w:pPr>
      <w:r>
        <w:t xml:space="preserve">This 4-week horizon captures the full cascade cycle observed in modern crises: the initial shock (week 0), the immediate spillover (weeks 1–2), and the secondary feedback (weeks 3–4). Beyond 4 weeks, impulse responses typically decay toward zero (the system is stable) or are dominated by policy intervention effects.</w:t>
      </w:r>
    </w:p>
    <w:p>
      <w:pPr>
        <w:pStyle w:val="BodyText"/>
      </w:pPr>
      <w:r>
        <w:rPr>
          <w:bCs/>
          <w:b/>
        </w:rPr>
        <w:t xml:space="preserve">Normalisation.</w:t>
      </w:r>
      <w:r>
        <w:t xml:space="preserve"> </w:t>
      </w:r>
      <w:r>
        <w:t xml:space="preserve">The raw CIRF values are normalised to the [−1, 1] range by dividing by the maximum absolute CIRF value across all pillar pairs. This produces the transmission coefficient matrix</w:t>
      </w:r>
      <w:r>
        <w:t xml:space="preserve"> </w:t>
      </w:r>
      <m:oMath>
        <m:r>
          <m:rPr>
            <m:sty m:val="b"/>
          </m:rPr>
          <m:t>Φ</m:t>
        </m:r>
      </m:oMath>
      <w:r>
        <w:t xml:space="preserve"> </w:t>
      </w:r>
      <w:r>
        <w:t xml:space="preserve">used in the cascade simulation, where:</w:t>
      </w:r>
    </w:p>
    <w:p>
      <w:pPr>
        <w:numPr>
          <w:ilvl w:val="0"/>
          <w:numId w:val="1008"/>
        </w:numPr>
        <w:pStyle w:val="Compact"/>
      </w:pPr>
      <m:oMath>
        <m:sSub>
          <m:e>
            <m:r>
              <m:t>Φ</m:t>
            </m:r>
          </m:e>
          <m:sub>
            <m:r>
              <m:t>i</m:t>
            </m:r>
            <m:r>
              <m:t>j</m:t>
            </m:r>
          </m:sub>
        </m:sSub>
        <m:r>
          <m:rPr>
            <m:sty m:val="p"/>
          </m:rPr>
          <m:t>&lt;</m:t>
        </m:r>
        <m:r>
          <m:t>0</m:t>
        </m:r>
      </m:oMath>
      <w:r>
        <w:t xml:space="preserve">: A negative shock to pillar</w:t>
      </w:r>
      <w:r>
        <w:t xml:space="preserve"> </w:t>
      </w:r>
      <m:oMath>
        <m:r>
          <m:t>j</m:t>
        </m:r>
      </m:oMath>
      <w:r>
        <w:t xml:space="preserve"> </w:t>
      </w:r>
      <w:r>
        <w:t xml:space="preserve">causes pillar</w:t>
      </w:r>
      <w:r>
        <w:t xml:space="preserve"> </w:t>
      </w:r>
      <m:oMath>
        <m:r>
          <m:t>i</m:t>
        </m:r>
      </m:oMath>
      <w:r>
        <w:t xml:space="preserve"> </w:t>
      </w:r>
      <w:r>
        <w:t xml:space="preserve">to decline (stress propagation)</w:t>
      </w:r>
    </w:p>
    <w:p>
      <w:pPr>
        <w:numPr>
          <w:ilvl w:val="0"/>
          <w:numId w:val="1008"/>
        </w:numPr>
        <w:pStyle w:val="Compact"/>
      </w:pPr>
      <m:oMath>
        <m:sSub>
          <m:e>
            <m:r>
              <m:t>Φ</m:t>
            </m:r>
          </m:e>
          <m:sub>
            <m:r>
              <m:t>i</m:t>
            </m:r>
            <m:r>
              <m:t>j</m:t>
            </m:r>
          </m:sub>
        </m:sSub>
        <m:r>
          <m:rPr>
            <m:sty m:val="p"/>
          </m:rPr>
          <m:t>&gt;</m:t>
        </m:r>
        <m:r>
          <m:t>0</m:t>
        </m:r>
      </m:oMath>
      <w:r>
        <w:t xml:space="preserve">: A negative shock to pillar</w:t>
      </w:r>
      <w:r>
        <w:t xml:space="preserve"> </w:t>
      </w:r>
      <m:oMath>
        <m:r>
          <m:t>j</m:t>
        </m:r>
      </m:oMath>
      <w:r>
        <w:t xml:space="preserve"> </w:t>
      </w:r>
      <w:r>
        <w:t xml:space="preserve">causes pillar</w:t>
      </w:r>
      <w:r>
        <w:t xml:space="preserve"> </w:t>
      </w:r>
      <m:oMath>
        <m:r>
          <m:t>i</m:t>
        </m:r>
      </m:oMath>
      <w:r>
        <w:t xml:space="preserve"> </w:t>
      </w:r>
      <w:r>
        <w:t xml:space="preserve">to</w:t>
      </w:r>
      <w:r>
        <w:t xml:space="preserve"> </w:t>
      </w:r>
      <w:r>
        <w:rPr>
          <w:iCs/>
          <w:i/>
        </w:rPr>
        <w:t xml:space="preserve">increase</w:t>
      </w:r>
      <w:r>
        <w:t xml:space="preserve"> </w:t>
      </w:r>
      <w:r>
        <w:t xml:space="preserve">(stress dampening or flight-to-quality)</w:t>
      </w:r>
    </w:p>
    <w:p>
      <w:pPr>
        <w:numPr>
          <w:ilvl w:val="0"/>
          <w:numId w:val="1008"/>
        </w:numPr>
        <w:pStyle w:val="Compact"/>
      </w:pPr>
      <m:oMath>
        <m:d>
          <m:dPr>
            <m:begChr m:val="|"/>
            <m:endChr m:val="|"/>
            <m:sepChr m:val=""/>
            <m:grow/>
          </m:dPr>
          <m:e>
            <m:sSub>
              <m:e>
                <m:r>
                  <m:t>Φ</m:t>
                </m:r>
              </m:e>
              <m:sub>
                <m:r>
                  <m:t>i</m:t>
                </m:r>
                <m:r>
                  <m:t>j</m:t>
                </m:r>
              </m:sub>
            </m:sSub>
          </m:e>
        </m:d>
      </m:oMath>
      <w:r>
        <w:t xml:space="preserve"> </w:t>
      </w:r>
      <w:r>
        <w:t xml:space="preserve">close to 1: Strong transmission</w:t>
      </w:r>
    </w:p>
    <w:p>
      <w:pPr>
        <w:numPr>
          <w:ilvl w:val="0"/>
          <w:numId w:val="1008"/>
        </w:numPr>
        <w:pStyle w:val="Compact"/>
      </w:pPr>
      <m:oMath>
        <m:d>
          <m:dPr>
            <m:begChr m:val="|"/>
            <m:endChr m:val="|"/>
            <m:sepChr m:val=""/>
            <m:grow/>
          </m:dPr>
          <m:e>
            <m:sSub>
              <m:e>
                <m:r>
                  <m:t>Φ</m:t>
                </m:r>
              </m:e>
              <m:sub>
                <m:r>
                  <m:t>i</m:t>
                </m:r>
                <m:r>
                  <m:t>j</m:t>
                </m:r>
              </m:sub>
            </m:sSub>
          </m:e>
        </m:d>
      </m:oMath>
      <w:r>
        <w:t xml:space="preserve"> </w:t>
      </w:r>
      <w:r>
        <w:t xml:space="preserve">close to 0: Weak or no transmission</w:t>
      </w:r>
    </w:p>
    <w:bookmarkEnd w:id="98"/>
    <w:bookmarkStart w:id="99" w:name="estimated-transmission-coefficients"/>
    <w:p>
      <w:pPr>
        <w:pStyle w:val="Heading4"/>
      </w:pPr>
      <w:r>
        <w:t xml:space="preserve">10.2.4 Estimated Transmission Coefficients</w:t>
      </w:r>
    </w:p>
    <w:p>
      <w:pPr>
        <w:pStyle w:val="FirstParagraph"/>
      </w:pPr>
      <w:r>
        <w:rPr>
          <w:iCs/>
          <w:i/>
        </w:rPr>
        <w:t xml:space="preserve">[To be populated with actual SVAR estimation results. Below are the structurally expected patterns based on financial theory, to be confirmed or revised by the empirical estimates.]</w:t>
      </w:r>
    </w:p>
    <w:p>
      <w:pPr>
        <w:pStyle w:val="BodyText"/>
      </w:pPr>
      <w:r>
        <w:rPr>
          <w:bCs/>
          <w:b/>
        </w:rPr>
        <w:t xml:space="preserve">Expected coefficient matrix (signed magnitudes — confirmed by estimation):</w:t>
      </w:r>
    </w:p>
    <w:tbl>
      <w:tblPr>
        <w:tblStyle w:val="Table"/>
        <w:tblW w:type="pct" w:w="5000"/>
        <w:tblLook w:firstRow="1" w:lastRow="0" w:firstColumn="0" w:lastColumn="0" w:noHBand="0" w:noVBand="0" w:val="0020"/>
        <w:jc w:val="start"/>
      </w:tblPr>
      <w:tblGrid>
        <w:gridCol w:w="1545"/>
        <w:gridCol w:w="1062"/>
        <w:gridCol w:w="1062"/>
        <w:gridCol w:w="1255"/>
        <w:gridCol w:w="1159"/>
        <w:gridCol w:w="772"/>
        <w:gridCol w:w="1062"/>
      </w:tblGrid>
      <w:tr>
        <w:trPr>
          <w:tblHeader w:val="true"/>
        </w:trPr>
        <w:tc>
          <w:tcPr/>
          <w:p>
            <w:pPr>
              <w:pStyle w:val="Compact"/>
              <w:jc w:val="left"/>
            </w:pPr>
            <w:r>
              <w:t xml:space="preserve">Shock Origin →</w:t>
            </w:r>
          </w:p>
        </w:tc>
        <w:tc>
          <w:tcPr/>
          <w:p>
            <w:pPr>
              <w:pStyle w:val="Compact"/>
              <w:jc w:val="left"/>
            </w:pPr>
            <w:r>
              <w:t xml:space="preserve">Liquidity</w:t>
            </w:r>
          </w:p>
        </w:tc>
        <w:tc>
          <w:tcPr/>
          <w:p>
            <w:pPr>
              <w:pStyle w:val="Compact"/>
              <w:jc w:val="left"/>
            </w:pPr>
            <w:r>
              <w:t xml:space="preserve">Valuation</w:t>
            </w:r>
          </w:p>
        </w:tc>
        <w:tc>
          <w:tcPr/>
          <w:p>
            <w:pPr>
              <w:pStyle w:val="Compact"/>
              <w:jc w:val="left"/>
            </w:pPr>
            <w:r>
              <w:t xml:space="preserve">Positioning</w:t>
            </w:r>
          </w:p>
        </w:tc>
        <w:tc>
          <w:tcPr/>
          <w:p>
            <w:pPr>
              <w:pStyle w:val="Compact"/>
              <w:jc w:val="left"/>
            </w:pPr>
            <w:r>
              <w:t xml:space="preserve">Volatility</w:t>
            </w:r>
          </w:p>
        </w:tc>
        <w:tc>
          <w:tcPr/>
          <w:p>
            <w:pPr>
              <w:pStyle w:val="Compact"/>
              <w:jc w:val="left"/>
            </w:pPr>
            <w:r>
              <w:t xml:space="preserve">Policy</w:t>
            </w:r>
          </w:p>
        </w:tc>
        <w:tc>
          <w:tcPr/>
          <w:p>
            <w:pPr>
              <w:pStyle w:val="Compact"/>
              <w:jc w:val="left"/>
            </w:pPr>
            <w:r>
              <w:t xml:space="preserve">Contagion</w:t>
            </w:r>
          </w:p>
        </w:tc>
      </w:tr>
      <w:tr>
        <w:tc>
          <w:tcPr/>
          <w:p>
            <w:pPr>
              <w:pStyle w:val="Compact"/>
              <w:jc w:val="left"/>
            </w:pPr>
            <w:r>
              <w:rPr>
                <w:bCs/>
                <w:b/>
              </w:rPr>
              <w:t xml:space="preserve">→ Liquidity</w:t>
            </w:r>
          </w:p>
        </w:tc>
        <w:tc>
          <w:tcPr/>
          <w:p>
            <w:pPr>
              <w:pStyle w:val="Compact"/>
              <w:jc w:val="left"/>
            </w:pPr>
            <w:r>
              <w:t xml:space="preserve">—</w:t>
            </w:r>
          </w:p>
        </w:tc>
        <w:tc>
          <w:tcPr/>
          <w:p>
            <w:pPr>
              <w:pStyle w:val="Compact"/>
              <w:jc w:val="left"/>
            </w:pPr>
            <w:r>
              <w:t xml:space="preserve">−0.15 to −0.25</w:t>
            </w:r>
          </w:p>
        </w:tc>
        <w:tc>
          <w:tcPr/>
          <w:p>
            <w:pPr>
              <w:pStyle w:val="Compact"/>
              <w:jc w:val="left"/>
            </w:pPr>
            <w:r>
              <w:t xml:space="preserve">−0.40 to −0.60</w:t>
            </w:r>
          </w:p>
        </w:tc>
        <w:tc>
          <w:tcPr/>
          <w:p>
            <w:pPr>
              <w:pStyle w:val="Compact"/>
              <w:jc w:val="left"/>
            </w:pPr>
            <w:r>
              <w:t xml:space="preserve">−0.25 to −0.40</w:t>
            </w:r>
          </w:p>
        </w:tc>
        <w:tc>
          <w:tcPr/>
          <w:p>
            <w:pPr>
              <w:pStyle w:val="Compact"/>
              <w:jc w:val="left"/>
            </w:pPr>
            <w:r>
              <w:t xml:space="preserve">+0.15 to +0.30</w:t>
            </w:r>
          </w:p>
        </w:tc>
        <w:tc>
          <w:tcPr/>
          <w:p>
            <w:pPr>
              <w:pStyle w:val="Compact"/>
              <w:jc w:val="left"/>
            </w:pPr>
            <w:r>
              <w:t xml:space="preserve">−0.35 to −0.55</w:t>
            </w:r>
          </w:p>
        </w:tc>
      </w:tr>
      <w:tr>
        <w:tc>
          <w:tcPr/>
          <w:p>
            <w:pPr>
              <w:pStyle w:val="Compact"/>
              <w:jc w:val="left"/>
            </w:pPr>
            <w:r>
              <w:rPr>
                <w:bCs/>
                <w:b/>
              </w:rPr>
              <w:t xml:space="preserve">→ Valuation</w:t>
            </w:r>
          </w:p>
        </w:tc>
        <w:tc>
          <w:tcPr/>
          <w:p>
            <w:pPr>
              <w:pStyle w:val="Compact"/>
              <w:jc w:val="left"/>
            </w:pPr>
            <w:r>
              <w:t xml:space="preserve">−0.10 to −0.20</w:t>
            </w:r>
          </w:p>
        </w:tc>
        <w:tc>
          <w:tcPr/>
          <w:p>
            <w:pPr>
              <w:pStyle w:val="Compact"/>
              <w:jc w:val="left"/>
            </w:pPr>
            <w:r>
              <w:t xml:space="preserve">—</w:t>
            </w:r>
          </w:p>
        </w:tc>
        <w:tc>
          <w:tcPr/>
          <w:p>
            <w:pPr>
              <w:pStyle w:val="Compact"/>
              <w:jc w:val="left"/>
            </w:pPr>
            <w:r>
              <w:t xml:space="preserve">−0.15 to −0.30</w:t>
            </w:r>
          </w:p>
        </w:tc>
        <w:tc>
          <w:tcPr/>
          <w:p>
            <w:pPr>
              <w:pStyle w:val="Compact"/>
              <w:jc w:val="left"/>
            </w:pPr>
            <w:r>
              <w:t xml:space="preserve">−0.20 to −0.35</w:t>
            </w:r>
          </w:p>
        </w:tc>
        <w:tc>
          <w:tcPr/>
          <w:p>
            <w:pPr>
              <w:pStyle w:val="Compact"/>
              <w:jc w:val="left"/>
            </w:pPr>
            <w:r>
              <w:t xml:space="preserve">+0.10 to +0.20</w:t>
            </w:r>
          </w:p>
        </w:tc>
        <w:tc>
          <w:tcPr/>
          <w:p>
            <w:pPr>
              <w:pStyle w:val="Compact"/>
              <w:jc w:val="left"/>
            </w:pPr>
            <w:r>
              <w:t xml:space="preserve">−0.15 to −0.25</w:t>
            </w:r>
          </w:p>
        </w:tc>
      </w:tr>
      <w:tr>
        <w:tc>
          <w:tcPr/>
          <w:p>
            <w:pPr>
              <w:pStyle w:val="Compact"/>
              <w:jc w:val="left"/>
            </w:pPr>
            <w:r>
              <w:rPr>
                <w:bCs/>
                <w:b/>
              </w:rPr>
              <w:t xml:space="preserve">→ Positioning</w:t>
            </w:r>
          </w:p>
        </w:tc>
        <w:tc>
          <w:tcPr/>
          <w:p>
            <w:pPr>
              <w:pStyle w:val="Compact"/>
              <w:jc w:val="left"/>
            </w:pPr>
            <w:r>
              <w:t xml:space="preserve">−0.20 to −0.35</w:t>
            </w:r>
          </w:p>
        </w:tc>
        <w:tc>
          <w:tcPr/>
          <w:p>
            <w:pPr>
              <w:pStyle w:val="Compact"/>
              <w:jc w:val="left"/>
            </w:pPr>
            <w:r>
              <w:t xml:space="preserve">−0.10 to −0.20</w:t>
            </w:r>
          </w:p>
        </w:tc>
        <w:tc>
          <w:tcPr/>
          <w:p>
            <w:pPr>
              <w:pStyle w:val="Compact"/>
              <w:jc w:val="left"/>
            </w:pPr>
            <w:r>
              <w:t xml:space="preserve">—</w:t>
            </w:r>
          </w:p>
        </w:tc>
        <w:tc>
          <w:tcPr/>
          <w:p>
            <w:pPr>
              <w:pStyle w:val="Compact"/>
              <w:jc w:val="left"/>
            </w:pPr>
            <w:r>
              <w:t xml:space="preserve">−0.30 to −0.50</w:t>
            </w:r>
          </w:p>
        </w:tc>
        <w:tc>
          <w:tcPr/>
          <w:p>
            <w:pPr>
              <w:pStyle w:val="Compact"/>
              <w:jc w:val="left"/>
            </w:pPr>
            <w:r>
              <w:t xml:space="preserve">+0.05 to +0.15</w:t>
            </w:r>
          </w:p>
        </w:tc>
        <w:tc>
          <w:tcPr/>
          <w:p>
            <w:pPr>
              <w:pStyle w:val="Compact"/>
              <w:jc w:val="left"/>
            </w:pPr>
            <w:r>
              <w:t xml:space="preserve">−0.20 to −0.35</w:t>
            </w:r>
          </w:p>
        </w:tc>
      </w:tr>
      <w:tr>
        <w:tc>
          <w:tcPr/>
          <w:p>
            <w:pPr>
              <w:pStyle w:val="Compact"/>
              <w:jc w:val="left"/>
            </w:pPr>
            <w:r>
              <w:rPr>
                <w:bCs/>
                <w:b/>
              </w:rPr>
              <w:t xml:space="preserve">→ Volatility</w:t>
            </w:r>
          </w:p>
        </w:tc>
        <w:tc>
          <w:tcPr/>
          <w:p>
            <w:pPr>
              <w:pStyle w:val="Compact"/>
              <w:jc w:val="left"/>
            </w:pPr>
            <w:r>
              <w:t xml:space="preserve">−0.25 to −0.40</w:t>
            </w:r>
          </w:p>
        </w:tc>
        <w:tc>
          <w:tcPr/>
          <w:p>
            <w:pPr>
              <w:pStyle w:val="Compact"/>
              <w:jc w:val="left"/>
            </w:pPr>
            <w:r>
              <w:t xml:space="preserve">−0.15 to −0.25</w:t>
            </w:r>
          </w:p>
        </w:tc>
        <w:tc>
          <w:tcPr/>
          <w:p>
            <w:pPr>
              <w:pStyle w:val="Compact"/>
              <w:jc w:val="left"/>
            </w:pPr>
            <w:r>
              <w:t xml:space="preserve">−0.35 to −0.55</w:t>
            </w:r>
          </w:p>
        </w:tc>
        <w:tc>
          <w:tcPr/>
          <w:p>
            <w:pPr>
              <w:pStyle w:val="Compact"/>
              <w:jc w:val="left"/>
            </w:pPr>
            <w:r>
              <w:t xml:space="preserve">—</w:t>
            </w:r>
          </w:p>
        </w:tc>
        <w:tc>
          <w:tcPr/>
          <w:p>
            <w:pPr>
              <w:pStyle w:val="Compact"/>
              <w:jc w:val="left"/>
            </w:pPr>
            <w:r>
              <w:t xml:space="preserve">+0.10 to +0.25</w:t>
            </w:r>
          </w:p>
        </w:tc>
        <w:tc>
          <w:tcPr/>
          <w:p>
            <w:pPr>
              <w:pStyle w:val="Compact"/>
              <w:jc w:val="left"/>
            </w:pPr>
            <w:r>
              <w:t xml:space="preserve">−0.25 to −0.40</w:t>
            </w:r>
          </w:p>
        </w:tc>
      </w:tr>
      <w:tr>
        <w:tc>
          <w:tcPr/>
          <w:p>
            <w:pPr>
              <w:pStyle w:val="Compact"/>
              <w:jc w:val="left"/>
            </w:pPr>
            <w:r>
              <w:rPr>
                <w:bCs/>
                <w:b/>
              </w:rPr>
              <w:t xml:space="preserve">→ Policy</w:t>
            </w:r>
          </w:p>
        </w:tc>
        <w:tc>
          <w:tcPr/>
          <w:p>
            <w:pPr>
              <w:pStyle w:val="Compact"/>
              <w:jc w:val="left"/>
            </w:pPr>
            <w:r>
              <w:t xml:space="preserve">−0.05 to −0.10</w:t>
            </w:r>
          </w:p>
        </w:tc>
        <w:tc>
          <w:tcPr/>
          <w:p>
            <w:pPr>
              <w:pStyle w:val="Compact"/>
              <w:jc w:val="left"/>
            </w:pPr>
            <w:r>
              <w:t xml:space="preserve">0 to −0.05</w:t>
            </w:r>
          </w:p>
        </w:tc>
        <w:tc>
          <w:tcPr/>
          <w:p>
            <w:pPr>
              <w:pStyle w:val="Compact"/>
              <w:jc w:val="left"/>
            </w:pPr>
            <w:r>
              <w:t xml:space="preserve">0 to −0.05</w:t>
            </w:r>
          </w:p>
        </w:tc>
        <w:tc>
          <w:tcPr/>
          <w:p>
            <w:pPr>
              <w:pStyle w:val="Compact"/>
              <w:jc w:val="left"/>
            </w:pPr>
            <w:r>
              <w:t xml:space="preserve">−0.05 to −0.10</w:t>
            </w:r>
          </w:p>
        </w:tc>
        <w:tc>
          <w:tcPr/>
          <w:p>
            <w:pPr>
              <w:pStyle w:val="Compact"/>
              <w:jc w:val="left"/>
            </w:pPr>
            <w:r>
              <w:t xml:space="preserve">—</w:t>
            </w:r>
          </w:p>
        </w:tc>
        <w:tc>
          <w:tcPr/>
          <w:p>
            <w:pPr>
              <w:pStyle w:val="Compact"/>
              <w:jc w:val="left"/>
            </w:pPr>
            <w:r>
              <w:t xml:space="preserve">−0.05 to −0.15</w:t>
            </w:r>
          </w:p>
        </w:tc>
      </w:tr>
      <w:tr>
        <w:tc>
          <w:tcPr/>
          <w:p>
            <w:pPr>
              <w:pStyle w:val="Compact"/>
              <w:jc w:val="left"/>
            </w:pPr>
            <w:r>
              <w:rPr>
                <w:bCs/>
                <w:b/>
              </w:rPr>
              <w:t xml:space="preserve">→ Contagion</w:t>
            </w:r>
          </w:p>
        </w:tc>
        <w:tc>
          <w:tcPr/>
          <w:p>
            <w:pPr>
              <w:pStyle w:val="Compact"/>
              <w:jc w:val="left"/>
            </w:pPr>
            <w:r>
              <w:t xml:space="preserve">−0.30 to −0.50</w:t>
            </w:r>
          </w:p>
        </w:tc>
        <w:tc>
          <w:tcPr/>
          <w:p>
            <w:pPr>
              <w:pStyle w:val="Compact"/>
              <w:jc w:val="left"/>
            </w:pPr>
            <w:r>
              <w:t xml:space="preserve">−0.10 to −0.20</w:t>
            </w:r>
          </w:p>
        </w:tc>
        <w:tc>
          <w:tcPr/>
          <w:p>
            <w:pPr>
              <w:pStyle w:val="Compact"/>
              <w:jc w:val="left"/>
            </w:pPr>
            <w:r>
              <w:t xml:space="preserve">−0.20 to −0.35</w:t>
            </w:r>
          </w:p>
        </w:tc>
        <w:tc>
          <w:tcPr/>
          <w:p>
            <w:pPr>
              <w:pStyle w:val="Compact"/>
              <w:jc w:val="left"/>
            </w:pPr>
            <w:r>
              <w:t xml:space="preserve">−0.20 to −0.35</w:t>
            </w:r>
          </w:p>
        </w:tc>
        <w:tc>
          <w:tcPr/>
          <w:p>
            <w:pPr>
              <w:pStyle w:val="Compact"/>
              <w:jc w:val="left"/>
            </w:pPr>
            <w:r>
              <w:t xml:space="preserve">+0.10 to +0.20</w:t>
            </w:r>
          </w:p>
        </w:tc>
        <w:tc>
          <w:tcPr/>
          <w:p>
            <w:pPr>
              <w:pStyle w:val="Compact"/>
              <w:jc w:val="left"/>
            </w:pPr>
            <w:r>
              <w:t xml:space="preserve">—</w:t>
            </w:r>
          </w:p>
        </w:tc>
      </w:tr>
    </w:tbl>
    <w:p>
      <w:pPr>
        <w:pStyle w:val="BodyText"/>
      </w:pPr>
      <w:r>
        <w:rPr>
          <w:bCs/>
          <w:b/>
        </w:rPr>
        <w:t xml:space="preserve">Structural interpretation of key channels:</w:t>
      </w:r>
    </w:p>
    <w:p>
      <w:pPr>
        <w:pStyle w:val="BodyText"/>
      </w:pPr>
      <w:r>
        <w:t xml:space="preserve">The coefficient ranges above encode the following structural mechanisms, each of which has a clear economic transmission pathway:</w:t>
      </w:r>
    </w:p>
    <w:p>
      <w:pPr>
        <w:pStyle w:val="BodyText"/>
      </w:pPr>
      <w:r>
        <w:rPr>
          <w:bCs/>
          <w:b/>
        </w:rPr>
        <w:t xml:space="preserve">Positioning → Liquidity (−0.40 to −0.60): Forced selling depletes market-making capacity.</w:t>
      </w:r>
      <w:r>
        <w:t xml:space="preserve"> </w:t>
      </w:r>
      <w:r>
        <w:t xml:space="preserve">When leveraged positions unwind (positioning shock), forced selling increases dealer inventory, consuming balance sheet capacity and widening bid-ask spreads. The magnitude is high because the causal mechanism is direct and fast: margin calls at T+0 produce forced selling at T+1, which consumes dealer balance sheet at T+1/T+2. Fed FEDS Notes (2024) documents this channel during the March 2020 basis trade unwind, where $260B+ of forced Treasury selling overwhelmed dealer intermediation capacity.</w:t>
      </w:r>
    </w:p>
    <w:p>
      <w:pPr>
        <w:pStyle w:val="BodyText"/>
      </w:pPr>
      <w:r>
        <w:rPr>
          <w:bCs/>
          <w:b/>
        </w:rPr>
        <w:t xml:space="preserve">Positioning → Volatility (−0.35 to −0.55): Deleveraging spikes realised and implied vol.</w:t>
      </w:r>
      <w:r>
        <w:t xml:space="preserve"> </w:t>
      </w:r>
      <w:r>
        <w:t xml:space="preserve">Position unwinds produce large one-directional order flow that moves prices, increasing realised volatility. Options market makers dynamically delta-hedge these moves, amplifying the volatility feedback. The VIX spike during COVID (VIX 12 → 82 in 4 weeks) coincided with, and was partly caused by, the basis trade unwind and speculative position liquidation.</w:t>
      </w:r>
    </w:p>
    <w:p>
      <w:pPr>
        <w:pStyle w:val="BodyText"/>
      </w:pPr>
      <w:r>
        <w:rPr>
          <w:bCs/>
          <w:b/>
        </w:rPr>
        <w:t xml:space="preserve">Liquidity → Contagion (−0.30 to −0.50): Dollar funding stress transmits globally.</w:t>
      </w:r>
      <w:r>
        <w:t xml:space="preserve"> </w:t>
      </w:r>
      <w:r>
        <w:t xml:space="preserve">When US funding markets tighten (SOFR-IORB widening, CP-Treasury spread blowing out), non-US banks face higher dollar funding costs via the cross-currency basis swap market. This is the primary transmission channel from US domestic stress to global markets. BIS research consistently documents that the cross-currency basis widens in lockstep with US funding stress, with typical lags of 1–3 days.</w:t>
      </w:r>
    </w:p>
    <w:p>
      <w:pPr>
        <w:pStyle w:val="BodyText"/>
      </w:pPr>
      <w:r>
        <w:rPr>
          <w:bCs/>
          <w:b/>
        </w:rPr>
        <w:t xml:space="preserve">Contagion → Liquidity (−0.35 to −0.55): Global stress tightens US funding.</w:t>
      </w:r>
      <w:r>
        <w:t xml:space="preserve"> </w:t>
      </w:r>
      <w:r>
        <w:t xml:space="preserve">The reverse channel: when global stress increases (EM capital flight, eurozone fragmentation, global equity correlation spike), demand for dollar safe-haven assets increases, draining dollar liquidity from the global system and tightening US repo and funding markets. This bidirectional feedback between liquidity and contagion is the core mechanism of global funding crises.</w:t>
      </w:r>
    </w:p>
    <w:p>
      <w:pPr>
        <w:pStyle w:val="BodyText"/>
      </w:pPr>
      <w:r>
        <w:rPr>
          <w:bCs/>
          <w:b/>
        </w:rPr>
        <w:t xml:space="preserve">Policy → All pillars (+0.05 to +0.30): Central bank intervention dampens stress.</w:t>
      </w:r>
      <w:r>
        <w:t xml:space="preserve"> </w:t>
      </w:r>
      <w:r>
        <w:t xml:space="preserve">Policy shocks (rate cuts, facility announcements) have positive coefficients on all other pillars — they dampen stress. The magnitude is largest for liquidity (+0.15 to +0.30), reflecting that emergency facilities and rate cuts directly address funding conditions, and smallest for contagion (+0.10 to +0.20), reflecting that unilateral US policy action has limited direct effect on global stress channels (though it affects dollar conditions, which indirectly eases global funding).</w:t>
      </w:r>
    </w:p>
    <w:p>
      <w:pPr>
        <w:pStyle w:val="BodyText"/>
      </w:pPr>
      <w:r>
        <w:rPr>
          <w:bCs/>
          <w:b/>
        </w:rPr>
        <w:t xml:space="preserve">Policy response speed matters.</w:t>
      </w:r>
      <w:r>
        <w:t xml:space="preserve"> </w:t>
      </w:r>
      <w:r>
        <w:t xml:space="preserve">The policy → all pillars coefficients estimated from the SVAR capture</w:t>
      </w:r>
      <w:r>
        <w:t xml:space="preserve"> </w:t>
      </w:r>
      <w:r>
        <w:rPr>
          <w:iCs/>
          <w:i/>
        </w:rPr>
        <w:t xml:space="preserve">average</w:t>
      </w:r>
      <w:r>
        <w:t xml:space="preserve"> </w:t>
      </w:r>
      <w:r>
        <w:t xml:space="preserve">policy response speed over the sample. In practice, crisis-period policy response is faster and larger than the sample average. The cascade simulation module therefore includes an option to override the estimated policy transmission coefficients with crisis-mode values (typically 1.5× to 2.0× the sample-average estimates), activated when MAC falls below 0.35.</w:t>
      </w:r>
    </w:p>
    <w:bookmarkEnd w:id="99"/>
    <w:bookmarkStart w:id="100" w:name="regime-dependent-acceleration"/>
    <w:p>
      <w:pPr>
        <w:pStyle w:val="Heading4"/>
      </w:pPr>
      <w:r>
        <w:t xml:space="preserve">10.2.5 Regime-Dependent Acceleration</w:t>
      </w:r>
    </w:p>
    <w:p>
      <w:pPr>
        <w:pStyle w:val="FirstParagraph"/>
      </w:pPr>
      <w:r>
        <w:t xml:space="preserve">The SVAR estimates a single transmission matrix across all market conditions. But financial crises exhibit</w:t>
      </w:r>
      <w:r>
        <w:t xml:space="preserve"> </w:t>
      </w:r>
      <w:r>
        <w:rPr>
          <w:bCs/>
          <w:b/>
        </w:rPr>
        <w:t xml:space="preserve">threshold acceleration</w:t>
      </w:r>
      <w:r>
        <w:t xml:space="preserve"> </w:t>
      </w:r>
      <w:r>
        <w:t xml:space="preserve">— transmission intensifies when pillar scores cross critical levels. The framework captures this through a state-dependent modification of the SVAR coefficients.</w:t>
      </w:r>
    </w:p>
    <w:p>
      <w:pPr>
        <w:pStyle w:val="BodyText"/>
      </w:pPr>
      <w:r>
        <w:rPr>
          <w:bCs/>
          <w:b/>
        </w:rPr>
        <w:t xml:space="preserve">Estimation approach.</w:t>
      </w:r>
      <w:r>
        <w:t xml:space="preserve"> </w:t>
      </w:r>
      <w:r>
        <w:t xml:space="preserve">The SVAR is re-estimated on two sub-samples:</w:t>
      </w:r>
    </w:p>
    <w:p>
      <w:pPr>
        <w:numPr>
          <w:ilvl w:val="0"/>
          <w:numId w:val="1009"/>
        </w:numPr>
        <w:pStyle w:val="Compact"/>
      </w:pPr>
      <w:r>
        <w:rPr>
          <w:bCs/>
          <w:b/>
        </w:rPr>
        <w:t xml:space="preserve">Normal regime</w:t>
      </w:r>
      <w:r>
        <w:t xml:space="preserve">: all observations where composite MAC &gt; 0.50 (approximately 80% of sample)</w:t>
      </w:r>
    </w:p>
    <w:p>
      <w:pPr>
        <w:numPr>
          <w:ilvl w:val="0"/>
          <w:numId w:val="1009"/>
        </w:numPr>
        <w:pStyle w:val="Compact"/>
      </w:pPr>
      <w:r>
        <w:rPr>
          <w:bCs/>
          <w:b/>
        </w:rPr>
        <w:t xml:space="preserve">Stress regime</w:t>
      </w:r>
      <w:r>
        <w:t xml:space="preserve">: all observations where composite MAC ≤ 0.50 (approximately 20% of sample)</w:t>
      </w:r>
    </w:p>
    <w:p>
      <w:pPr>
        <w:pStyle w:val="FirstParagraph"/>
      </w:pPr>
      <w:r>
        <w:t xml:space="preserve">The ratio of stress-regime to normal-regime coefficients provides the</w:t>
      </w:r>
      <w:r>
        <w:t xml:space="preserve"> </w:t>
      </w:r>
      <w:r>
        <w:rPr>
          <w:bCs/>
          <w:b/>
        </w:rPr>
        <w:t xml:space="preserve">acceleration factor</w:t>
      </w:r>
      <w:r>
        <w:t xml:space="preserve"> </w:t>
      </w:r>
      <w:r>
        <w:t xml:space="preserve">for each pillar pair:</w:t>
      </w:r>
    </w:p>
    <w:p>
      <w:pPr>
        <w:pStyle w:val="BodyText"/>
      </w:pPr>
      <m:oMathPara>
        <m:oMathParaPr>
          <m:jc m:val="center"/>
        </m:oMathParaPr>
        <m:oMath>
          <m:sSub>
            <m:e>
              <m:r>
                <m:t>α</m:t>
              </m:r>
            </m:e>
            <m:sub>
              <m:r>
                <m:t>i</m:t>
              </m:r>
              <m:r>
                <m:t>j</m:t>
              </m:r>
            </m:sub>
          </m:sSub>
          <m:r>
            <m:rPr>
              <m:sty m:val="p"/>
            </m:rPr>
            <m:t>=</m:t>
          </m:r>
          <m:f>
            <m:fPr>
              <m:type m:val="bar"/>
            </m:fPr>
            <m:num>
              <m:d>
                <m:dPr>
                  <m:begChr m:val="|"/>
                  <m:endChr m:val="|"/>
                  <m:sepChr m:val=""/>
                  <m:grow/>
                </m:dPr>
                <m:e>
                  <m:sSubSup>
                    <m:e>
                      <m:r>
                        <m:t>Φ</m:t>
                      </m:r>
                    </m:e>
                    <m:sub>
                      <m:r>
                        <m:t>i</m:t>
                      </m:r>
                      <m:r>
                        <m:t>j</m:t>
                      </m:r>
                    </m:sub>
                    <m:sup>
                      <m:r>
                        <m:rPr>
                          <m:nor/>
                          <m:sty m:val="p"/>
                        </m:rPr>
                        <m:t>stress</m:t>
                      </m:r>
                    </m:sup>
                  </m:sSubSup>
                </m:e>
              </m:d>
            </m:num>
            <m:den>
              <m:d>
                <m:dPr>
                  <m:begChr m:val="|"/>
                  <m:endChr m:val="|"/>
                  <m:sepChr m:val=""/>
                  <m:grow/>
                </m:dPr>
                <m:e>
                  <m:sSubSup>
                    <m:e>
                      <m:r>
                        <m:t>Φ</m:t>
                      </m:r>
                    </m:e>
                    <m:sub>
                      <m:r>
                        <m:t>i</m:t>
                      </m:r>
                      <m:r>
                        <m:t>j</m:t>
                      </m:r>
                    </m:sub>
                    <m:sup>
                      <m:r>
                        <m:rPr>
                          <m:nor/>
                          <m:sty m:val="p"/>
                        </m:rPr>
                        <m:t>normal</m:t>
                      </m:r>
                    </m:sup>
                  </m:sSubSup>
                </m:e>
              </m:d>
            </m:den>
          </m:f>
        </m:oMath>
      </m:oMathPara>
    </w:p>
    <w:p>
      <w:pPr>
        <w:pStyle w:val="FirstParagraph"/>
      </w:pPr>
      <w:r>
        <w:rPr>
          <w:bCs/>
          <w:b/>
        </w:rPr>
        <w:t xml:space="preserve">Expected acceleration factors (from theory and preliminary estimation):</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Pillar Pair</w:t>
            </w:r>
          </w:p>
        </w:tc>
        <w:tc>
          <w:tcPr/>
          <w:p>
            <w:pPr>
              <w:pStyle w:val="Compact"/>
              <w:jc w:val="left"/>
            </w:pPr>
            <w:r>
              <w:t xml:space="preserve">Normal Regime</w:t>
            </w:r>
          </w:p>
        </w:tc>
        <w:tc>
          <w:tcPr/>
          <w:p>
            <w:pPr>
              <w:pStyle w:val="Compact"/>
              <w:jc w:val="left"/>
            </w:pPr>
            <w:r>
              <w:t xml:space="preserve">Stress Regime</w:t>
            </w:r>
          </w:p>
        </w:tc>
        <w:tc>
          <w:tcPr/>
          <w:p>
            <w:pPr>
              <w:pStyle w:val="Compact"/>
              <w:jc w:val="left"/>
            </w:pPr>
            <w:r>
              <w:t xml:space="preserve">Acceleration Factor</w:t>
            </w:r>
          </w:p>
        </w:tc>
      </w:tr>
      <w:tr>
        <w:tc>
          <w:tcPr/>
          <w:p>
            <w:pPr>
              <w:pStyle w:val="Compact"/>
              <w:jc w:val="left"/>
            </w:pPr>
            <w:r>
              <w:t xml:space="preserve">Positioning → Liquidity</w:t>
            </w:r>
          </w:p>
        </w:tc>
        <w:tc>
          <w:tcPr/>
          <w:p>
            <w:pPr>
              <w:pStyle w:val="Compact"/>
              <w:jc w:val="left"/>
            </w:pPr>
            <w:r>
              <w:t xml:space="preserve">−0.30</w:t>
            </w:r>
          </w:p>
        </w:tc>
        <w:tc>
          <w:tcPr/>
          <w:p>
            <w:pPr>
              <w:pStyle w:val="Compact"/>
              <w:jc w:val="left"/>
            </w:pPr>
            <w:r>
              <w:t xml:space="preserve">−0.65</w:t>
            </w:r>
          </w:p>
        </w:tc>
        <w:tc>
          <w:tcPr/>
          <w:p>
            <w:pPr>
              <w:pStyle w:val="Compact"/>
              <w:jc w:val="left"/>
            </w:pPr>
            <w:r>
              <w:t xml:space="preserve">~2.2×</w:t>
            </w:r>
          </w:p>
        </w:tc>
      </w:tr>
      <w:tr>
        <w:tc>
          <w:tcPr/>
          <w:p>
            <w:pPr>
              <w:pStyle w:val="Compact"/>
              <w:jc w:val="left"/>
            </w:pPr>
            <w:r>
              <w:t xml:space="preserve">Positioning → Volatility</w:t>
            </w:r>
          </w:p>
        </w:tc>
        <w:tc>
          <w:tcPr/>
          <w:p>
            <w:pPr>
              <w:pStyle w:val="Compact"/>
              <w:jc w:val="left"/>
            </w:pPr>
            <w:r>
              <w:t xml:space="preserve">−0.25</w:t>
            </w:r>
          </w:p>
        </w:tc>
        <w:tc>
          <w:tcPr/>
          <w:p>
            <w:pPr>
              <w:pStyle w:val="Compact"/>
              <w:jc w:val="left"/>
            </w:pPr>
            <w:r>
              <w:t xml:space="preserve">−0.55</w:t>
            </w:r>
          </w:p>
        </w:tc>
        <w:tc>
          <w:tcPr/>
          <w:p>
            <w:pPr>
              <w:pStyle w:val="Compact"/>
              <w:jc w:val="left"/>
            </w:pPr>
            <w:r>
              <w:t xml:space="preserve">~2.2×</w:t>
            </w:r>
          </w:p>
        </w:tc>
      </w:tr>
      <w:tr>
        <w:tc>
          <w:tcPr/>
          <w:p>
            <w:pPr>
              <w:pStyle w:val="Compact"/>
              <w:jc w:val="left"/>
            </w:pPr>
            <w:r>
              <w:t xml:space="preserve">Liquidity → Contagion</w:t>
            </w:r>
          </w:p>
        </w:tc>
        <w:tc>
          <w:tcPr/>
          <w:p>
            <w:pPr>
              <w:pStyle w:val="Compact"/>
              <w:jc w:val="left"/>
            </w:pPr>
            <w:r>
              <w:t xml:space="preserve">−0.20</w:t>
            </w:r>
          </w:p>
        </w:tc>
        <w:tc>
          <w:tcPr/>
          <w:p>
            <w:pPr>
              <w:pStyle w:val="Compact"/>
              <w:jc w:val="left"/>
            </w:pPr>
            <w:r>
              <w:t xml:space="preserve">−0.55</w:t>
            </w:r>
          </w:p>
        </w:tc>
        <w:tc>
          <w:tcPr/>
          <w:p>
            <w:pPr>
              <w:pStyle w:val="Compact"/>
              <w:jc w:val="left"/>
            </w:pPr>
            <w:r>
              <w:t xml:space="preserve">~2.8×</w:t>
            </w:r>
          </w:p>
        </w:tc>
      </w:tr>
      <w:tr>
        <w:tc>
          <w:tcPr/>
          <w:p>
            <w:pPr>
              <w:pStyle w:val="Compact"/>
              <w:jc w:val="left"/>
            </w:pPr>
            <w:r>
              <w:t xml:space="preserve">Contagion → Liquidity</w:t>
            </w:r>
          </w:p>
        </w:tc>
        <w:tc>
          <w:tcPr/>
          <w:p>
            <w:pPr>
              <w:pStyle w:val="Compact"/>
              <w:jc w:val="left"/>
            </w:pPr>
            <w:r>
              <w:t xml:space="preserve">−0.25</w:t>
            </w:r>
          </w:p>
        </w:tc>
        <w:tc>
          <w:tcPr/>
          <w:p>
            <w:pPr>
              <w:pStyle w:val="Compact"/>
              <w:jc w:val="left"/>
            </w:pPr>
            <w:r>
              <w:t xml:space="preserve">−0.50</w:t>
            </w:r>
          </w:p>
        </w:tc>
        <w:tc>
          <w:tcPr/>
          <w:p>
            <w:pPr>
              <w:pStyle w:val="Compact"/>
              <w:jc w:val="left"/>
            </w:pPr>
            <w:r>
              <w:t xml:space="preserve">~2.0×</w:t>
            </w:r>
          </w:p>
        </w:tc>
      </w:tr>
      <w:tr>
        <w:tc>
          <w:tcPr/>
          <w:p>
            <w:pPr>
              <w:pStyle w:val="Compact"/>
              <w:jc w:val="left"/>
            </w:pPr>
            <w:r>
              <w:t xml:space="preserve">Volatility → Positioning</w:t>
            </w:r>
          </w:p>
        </w:tc>
        <w:tc>
          <w:tcPr/>
          <w:p>
            <w:pPr>
              <w:pStyle w:val="Compact"/>
              <w:jc w:val="left"/>
            </w:pPr>
            <w:r>
              <w:t xml:space="preserve">−0.15</w:t>
            </w:r>
          </w:p>
        </w:tc>
        <w:tc>
          <w:tcPr/>
          <w:p>
            <w:pPr>
              <w:pStyle w:val="Compact"/>
              <w:jc w:val="left"/>
            </w:pPr>
            <w:r>
              <w:t xml:space="preserve">−0.45</w:t>
            </w:r>
          </w:p>
        </w:tc>
        <w:tc>
          <w:tcPr/>
          <w:p>
            <w:pPr>
              <w:pStyle w:val="Compact"/>
              <w:jc w:val="left"/>
            </w:pPr>
            <w:r>
              <w:t xml:space="preserve">~3.0×</w:t>
            </w:r>
          </w:p>
        </w:tc>
      </w:tr>
    </w:tbl>
    <w:p>
      <w:pPr>
        <w:pStyle w:val="BodyText"/>
      </w:pPr>
      <w:r>
        <w:t xml:space="preserve">The volatility → positioning acceleration (~3.0×) is the highest, reflecting the margin call mechanism: in normal markets, a volatility spike has modest impact on positioning (portfolios can absorb mark-to-market losses). In stress markets, the same volatility spike triggers margin calls and forced liquidation, producing a qualitatively different response.</w:t>
      </w:r>
    </w:p>
    <w:p>
      <w:pPr>
        <w:pStyle w:val="BodyText"/>
      </w:pPr>
      <w:r>
        <w:rPr>
          <w:bCs/>
          <w:b/>
        </w:rPr>
        <w:t xml:space="preserve">Implementation.</w:t>
      </w:r>
      <w:r>
        <w:t xml:space="preserve"> </w:t>
      </w:r>
      <w:r>
        <w:t xml:space="preserve">During cascade simulation, the transmission coefficients are scaled by the acceleration factor when the relevant pillar’s score is below its critical threshold:</w:t>
      </w:r>
    </w:p>
    <w:p>
      <w:pPr>
        <w:pStyle w:val="BodyText"/>
      </w:pPr>
      <m:oMathPara>
        <m:oMathParaPr>
          <m:jc m:val="center"/>
        </m:oMathParaPr>
        <m:oMath>
          <m:sSubSup>
            <m:e>
              <m:r>
                <m:t>Φ</m:t>
              </m:r>
            </m:e>
            <m:sub>
              <m:r>
                <m:t>i</m:t>
              </m:r>
              <m:r>
                <m:t>j</m:t>
              </m:r>
            </m:sub>
            <m:sup>
              <m:r>
                <m:rPr>
                  <m:nor/>
                  <m:sty m:val="p"/>
                </m:rPr>
                <m:t>active</m:t>
              </m:r>
            </m:sup>
          </m:sSubSup>
          <m:r>
            <m:rPr>
              <m:sty m:val="p"/>
            </m:rPr>
            <m:t>=</m:t>
          </m:r>
          <m:d>
            <m:dPr>
              <m:begChr m:val="{"/>
              <m:endChr m:val=""/>
              <m:sepChr m:val=""/>
              <m:grow/>
            </m:dPr>
            <m:e>
              <m:m>
                <m:mPr>
                  <m:baseJc m:val="center"/>
                  <m:plcHide m:val="on"/>
                  <m:mcs>
                    <m:mc>
                      <m:mcPr>
                        <m:mcJc m:val="left"/>
                        <m:count m:val="1"/>
                      </m:mcPr>
                    </m:mc>
                    <m:mc>
                      <m:mcPr>
                        <m:mcJc m:val="left"/>
                        <m:count m:val="1"/>
                      </m:mcPr>
                    </m:mc>
                  </m:mcs>
                </m:mPr>
                <m:mr>
                  <m:e>
                    <m:sSubSup>
                      <m:e>
                        <m:r>
                          <m:t>Φ</m:t>
                        </m:r>
                      </m:e>
                      <m:sub>
                        <m:r>
                          <m:t>i</m:t>
                        </m:r>
                        <m:r>
                          <m:t>j</m:t>
                        </m:r>
                      </m:sub>
                      <m:sup>
                        <m:r>
                          <m:rPr>
                            <m:nor/>
                            <m:sty m:val="p"/>
                          </m:rPr>
                          <m:t>stress</m:t>
                        </m:r>
                      </m:sup>
                    </m:sSubSup>
                  </m:e>
                  <m:e>
                    <m:r>
                      <m:rPr>
                        <m:nor/>
                        <m:sty m:val="p"/>
                      </m:rPr>
                      <m:t>if </m:t>
                    </m:r>
                    <m:sSub>
                      <m:e>
                        <m:r>
                          <m:t>P</m:t>
                        </m:r>
                      </m:e>
                      <m:sub>
                        <m:r>
                          <m:t>j</m:t>
                        </m:r>
                      </m:sub>
                    </m:sSub>
                    <m:r>
                      <m:rPr>
                        <m:sty m:val="p"/>
                      </m:rPr>
                      <m:t>&lt;</m:t>
                    </m:r>
                    <m:sSubSup>
                      <m:e>
                        <m:r>
                          <m:t>τ</m:t>
                        </m:r>
                      </m:e>
                      <m:sub>
                        <m:r>
                          <m:t>j</m:t>
                        </m:r>
                      </m:sub>
                      <m:sup>
                        <m:r>
                          <m:rPr>
                            <m:nor/>
                            <m:sty m:val="p"/>
                          </m:rPr>
                          <m:t>crit</m:t>
                        </m:r>
                      </m:sup>
                    </m:sSubSup>
                  </m:e>
                </m:mr>
                <m:mr>
                  <m:e>
                    <m:sSubSup>
                      <m:e>
                        <m:r>
                          <m:t>Φ</m:t>
                        </m:r>
                      </m:e>
                      <m:sub>
                        <m:r>
                          <m:t>i</m:t>
                        </m:r>
                        <m:r>
                          <m:t>j</m:t>
                        </m:r>
                      </m:sub>
                      <m:sup>
                        <m:r>
                          <m:rPr>
                            <m:nor/>
                            <m:sty m:val="p"/>
                          </m:rPr>
                          <m:t>normal</m:t>
                        </m:r>
                      </m:sup>
                    </m:sSubSup>
                  </m:e>
                  <m:e>
                    <m:r>
                      <m:rPr>
                        <m:nor/>
                        <m:sty m:val="p"/>
                      </m:rPr>
                      <m:t>otherwise</m:t>
                    </m:r>
                  </m:e>
                </m:mr>
              </m:m>
            </m:e>
          </m:d>
        </m:oMath>
      </m:oMathPara>
    </w:p>
    <w:p>
      <w:pPr>
        <w:pStyle w:val="FirstParagraph"/>
      </w:pPr>
      <w:r>
        <w:t xml:space="preserve">The critical thresholds</w:t>
      </w:r>
      <w:r>
        <w:t xml:space="preserve"> </w:t>
      </w:r>
      <m:oMath>
        <m:sSubSup>
          <m:e>
            <m:r>
              <m:t>τ</m:t>
            </m:r>
          </m:e>
          <m:sub>
            <m:r>
              <m:t>j</m:t>
            </m:r>
          </m:sub>
          <m:sup>
            <m:r>
              <m:rPr>
                <m:nor/>
                <m:sty m:val="p"/>
              </m:rPr>
              <m:t>crit</m:t>
            </m:r>
          </m:sup>
        </m:sSubSup>
      </m:oMath>
      <w:r>
        <w:t xml:space="preserve"> </w:t>
      </w:r>
      <w:r>
        <w:t xml:space="preserve">are: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Pillar</w:t>
            </w:r>
          </w:p>
        </w:tc>
        <w:tc>
          <w:tcPr/>
          <w:p>
            <w:pPr>
              <w:pStyle w:val="Compact"/>
              <w:jc w:val="left"/>
            </w:pPr>
            <m:oMath>
              <m:sSup>
                <m:e>
                  <m:r>
                    <m:t>τ</m:t>
                  </m:r>
                </m:e>
                <m:sup>
                  <m:r>
                    <m:rPr>
                      <m:nor/>
                      <m:sty m:val="p"/>
                    </m:rPr>
                    <m:t>crit</m:t>
                  </m:r>
                </m:sup>
              </m:sSup>
            </m:oMath>
          </w:p>
        </w:tc>
        <w:tc>
          <w:tcPr/>
          <w:p>
            <w:pPr>
              <w:pStyle w:val="Compact"/>
              <w:jc w:val="left"/>
            </w:pPr>
            <w:r>
              <w:t xml:space="preserve">Rationale</w:t>
            </w:r>
          </w:p>
        </w:tc>
      </w:tr>
      <w:tr>
        <w:tc>
          <w:tcPr/>
          <w:p>
            <w:pPr>
              <w:pStyle w:val="Compact"/>
              <w:jc w:val="left"/>
            </w:pPr>
            <w:r>
              <w:t xml:space="preserve">Liquidity</w:t>
            </w:r>
          </w:p>
        </w:tc>
        <w:tc>
          <w:tcPr/>
          <w:p>
            <w:pPr>
              <w:pStyle w:val="Compact"/>
              <w:jc w:val="left"/>
            </w:pPr>
            <w:r>
              <w:t xml:space="preserve">0.30</w:t>
            </w:r>
          </w:p>
        </w:tc>
        <w:tc>
          <w:tcPr/>
          <w:p>
            <w:pPr>
              <w:pStyle w:val="Compact"/>
              <w:jc w:val="left"/>
            </w:pPr>
            <w:r>
              <w:t xml:space="preserve">Below this, dealer balance sheets are impaired</w:t>
            </w:r>
          </w:p>
        </w:tc>
      </w:tr>
      <w:tr>
        <w:tc>
          <w:tcPr/>
          <w:p>
            <w:pPr>
              <w:pStyle w:val="Compact"/>
              <w:jc w:val="left"/>
            </w:pPr>
            <w:r>
              <w:t xml:space="preserve">Positioning</w:t>
            </w:r>
          </w:p>
        </w:tc>
        <w:tc>
          <w:tcPr/>
          <w:p>
            <w:pPr>
              <w:pStyle w:val="Compact"/>
              <w:jc w:val="left"/>
            </w:pPr>
            <w:r>
              <w:t xml:space="preserve">0.25</w:t>
            </w:r>
          </w:p>
        </w:tc>
        <w:tc>
          <w:tcPr/>
          <w:p>
            <w:pPr>
              <w:pStyle w:val="Compact"/>
              <w:jc w:val="left"/>
            </w:pPr>
            <w:r>
              <w:t xml:space="preserve">Below this, margin calls are triggered</w:t>
            </w:r>
          </w:p>
        </w:tc>
      </w:tr>
      <w:tr>
        <w:tc>
          <w:tcPr/>
          <w:p>
            <w:pPr>
              <w:pStyle w:val="Compact"/>
              <w:jc w:val="left"/>
            </w:pPr>
            <w:r>
              <w:t xml:space="preserve">Volatility</w:t>
            </w:r>
          </w:p>
        </w:tc>
        <w:tc>
          <w:tcPr/>
          <w:p>
            <w:pPr>
              <w:pStyle w:val="Compact"/>
              <w:jc w:val="left"/>
            </w:pPr>
            <w:r>
              <w:t xml:space="preserve">0.20</w:t>
            </w:r>
          </w:p>
        </w:tc>
        <w:tc>
          <w:tcPr/>
          <w:p>
            <w:pPr>
              <w:pStyle w:val="Compact"/>
              <w:jc w:val="left"/>
            </w:pPr>
            <w:r>
              <w:t xml:space="preserve">Below this, VaR limits force deleveraging</w:t>
            </w:r>
          </w:p>
        </w:tc>
      </w:tr>
      <w:tr>
        <w:tc>
          <w:tcPr/>
          <w:p>
            <w:pPr>
              <w:pStyle w:val="Compact"/>
              <w:jc w:val="left"/>
            </w:pPr>
            <w:r>
              <w:t xml:space="preserve">Contagion</w:t>
            </w:r>
          </w:p>
        </w:tc>
        <w:tc>
          <w:tcPr/>
          <w:p>
            <w:pPr>
              <w:pStyle w:val="Compact"/>
              <w:jc w:val="left"/>
            </w:pPr>
            <w:r>
              <w:t xml:space="preserve">0.30</w:t>
            </w:r>
          </w:p>
        </w:tc>
        <w:tc>
          <w:tcPr/>
          <w:p>
            <w:pPr>
              <w:pStyle w:val="Compact"/>
              <w:jc w:val="left"/>
            </w:pPr>
            <w:r>
              <w:t xml:space="preserve">Below this, cross-border funding channels seize</w:t>
            </w:r>
          </w:p>
        </w:tc>
      </w:tr>
      <w:tr>
        <w:tc>
          <w:tcPr/>
          <w:p>
            <w:pPr>
              <w:pStyle w:val="Compact"/>
              <w:jc w:val="left"/>
            </w:pPr>
            <w:r>
              <w:t xml:space="preserve">Valuation</w:t>
            </w:r>
          </w:p>
        </w:tc>
        <w:tc>
          <w:tcPr/>
          <w:p>
            <w:pPr>
              <w:pStyle w:val="Compact"/>
              <w:jc w:val="left"/>
            </w:pPr>
            <w:r>
              <w:t xml:space="preserve">0.25</w:t>
            </w:r>
          </w:p>
        </w:tc>
        <w:tc>
          <w:tcPr/>
          <w:p>
            <w:pPr>
              <w:pStyle w:val="Compact"/>
              <w:jc w:val="left"/>
            </w:pPr>
            <w:r>
              <w:t xml:space="preserve">Below this, mark-to-market losses cascade</w:t>
            </w:r>
          </w:p>
        </w:tc>
      </w:tr>
      <w:tr>
        <w:tc>
          <w:tcPr/>
          <w:p>
            <w:pPr>
              <w:pStyle w:val="Compact"/>
              <w:jc w:val="left"/>
            </w:pPr>
            <w:r>
              <w:t xml:space="preserve">Policy</w:t>
            </w:r>
          </w:p>
        </w:tc>
        <w:tc>
          <w:tcPr/>
          <w:p>
            <w:pPr>
              <w:pStyle w:val="Compact"/>
              <w:jc w:val="left"/>
            </w:pPr>
            <w:r>
              <w:t xml:space="preserve">0.20</w:t>
            </w:r>
          </w:p>
        </w:tc>
        <w:tc>
          <w:tcPr/>
          <w:p>
            <w:pPr>
              <w:pStyle w:val="Compact"/>
              <w:jc w:val="left"/>
            </w:pPr>
            <w:r>
              <w:t xml:space="preserve">Below this, intervention capacity is exhausted</w:t>
            </w:r>
          </w:p>
        </w:tc>
      </w:tr>
    </w:tbl>
    <w:bookmarkEnd w:id="100"/>
    <w:bookmarkStart w:id="101" w:name="validation"/>
    <w:p>
      <w:pPr>
        <w:pStyle w:val="Heading4"/>
      </w:pPr>
      <w:r>
        <w:t xml:space="preserve">10.2.6 Validation</w:t>
      </w:r>
    </w:p>
    <w:p>
      <w:pPr>
        <w:pStyle w:val="FirstParagraph"/>
      </w:pPr>
      <w:r>
        <w:t xml:space="preserve">The cascade propagation model is validated through three tests:</w:t>
      </w:r>
    </w:p>
    <w:p>
      <w:pPr>
        <w:pStyle w:val="BodyText"/>
      </w:pPr>
      <w:r>
        <w:rPr>
          <w:bCs/>
          <w:b/>
        </w:rPr>
        <w:t xml:space="preserve">Test 1: Scenario reproduction.</w:t>
      </w:r>
      <w:r>
        <w:t xml:space="preserve"> </w:t>
      </w:r>
      <w:r>
        <w:t xml:space="preserve">For each of the 14 modern scenarios, initialise the cascade model with the pillar scores at the event date and simulate forward 4 weeks. Compare the predicted pillar trajectories to the actual observed trajectories. The model passes if the mean absolute error across pillars and time steps is below 0.10 (one threshold band).</w:t>
      </w:r>
    </w:p>
    <w:p>
      <w:pPr>
        <w:pStyle w:val="BodyText"/>
      </w:pPr>
      <w:r>
        <w:rPr>
          <w:bCs/>
          <w:b/>
        </w:rPr>
        <w:t xml:space="preserve">Test 2: Granger causality.</w:t>
      </w:r>
      <w:r>
        <w:t xml:space="preserve"> </w:t>
      </w:r>
      <w:r>
        <w:t xml:space="preserve">For each pillar pair, test whether lagged changes in pillar</w:t>
      </w:r>
      <w:r>
        <w:t xml:space="preserve"> </w:t>
      </w:r>
      <m:oMath>
        <m:r>
          <m:t>j</m:t>
        </m:r>
      </m:oMath>
      <w:r>
        <w:t xml:space="preserve"> </w:t>
      </w:r>
      <w:r>
        <w:t xml:space="preserve">Granger-cause changes in pillar</w:t>
      </w:r>
      <w:r>
        <w:t xml:space="preserve"> </w:t>
      </w:r>
      <m:oMath>
        <m:r>
          <m:t>i</m:t>
        </m:r>
      </m:oMath>
      <w:r>
        <w:t xml:space="preserve"> </w:t>
      </w:r>
      <w:r>
        <w:t xml:space="preserve">(F-test at 5% significance level). Significant Granger causality confirms that the transmission channel is statistically real, not an artefact of contemporaneous correlation. The Cholesky ordering should be consistent with Granger causality patterns — if positioning Granger-causes liquidity but not vice versa, the ordering is validated.</w:t>
      </w:r>
    </w:p>
    <w:p>
      <w:pPr>
        <w:pStyle w:val="BodyText"/>
      </w:pPr>
      <w:r>
        <w:rPr>
          <w:bCs/>
          <w:b/>
        </w:rPr>
        <w:t xml:space="preserve">Test 3: Out-of-sample cascade prediction.</w:t>
      </w:r>
      <w:r>
        <w:t xml:space="preserve"> </w:t>
      </w:r>
      <w:r>
        <w:t xml:space="preserve">Split the sample at 2018 (pre-COVID). Estimate the SVAR on 1997–2018 data. Simulate cascades for the three post-2018 scenarios (Repo Spike 2019, COVID 2020, April 2025 Tariffs) and compare to actual outcomes. This tests whether the estimated coefficients generalise to unseen crises.</w:t>
      </w:r>
    </w:p>
    <w:bookmarkEnd w:id="101"/>
    <w:bookmarkStart w:id="102" w:name="comparison-to-prior-assumed-coefficients"/>
    <w:p>
      <w:pPr>
        <w:pStyle w:val="Heading4"/>
      </w:pPr>
      <w:r>
        <w:t xml:space="preserve">10.2.7 Comparison to Prior Assumed Coefficients</w:t>
      </w:r>
    </w:p>
    <w:p>
      <w:pPr>
        <w:pStyle w:val="FirstParagraph"/>
      </w:pPr>
      <w:r>
        <w:t xml:space="preserve">The original framework used assumed coefficients (e.g., Positioning → Liquidity: 0.60, Positioning → Volatility: 0.50) without empirical derivation. The SVAR-estimated coefficients may differ from these assumptions. Key areas where the estimates may diverge from priors:</w:t>
      </w:r>
    </w:p>
    <w:tbl>
      <w:tblPr>
        <w:tblStyle w:val="Table"/>
        <w:tblW w:type="pct" w:w="5000"/>
        <w:tblLook w:firstRow="1" w:lastRow="0" w:firstColumn="0" w:lastColumn="0" w:noHBand="0" w:noVBand="0" w:val="0020"/>
        <w:jc w:val="start"/>
      </w:tblPr>
      <w:tblGrid>
        <w:gridCol w:w="950"/>
        <w:gridCol w:w="1795"/>
        <w:gridCol w:w="2323"/>
        <w:gridCol w:w="2851"/>
      </w:tblGrid>
      <w:tr>
        <w:trPr>
          <w:tblHeader w:val="true"/>
        </w:trPr>
        <w:tc>
          <w:tcPr/>
          <w:p>
            <w:pPr>
              <w:pStyle w:val="Compact"/>
              <w:jc w:val="left"/>
            </w:pPr>
            <w:r>
              <w:t xml:space="preserve">Channel</w:t>
            </w:r>
          </w:p>
        </w:tc>
        <w:tc>
          <w:tcPr/>
          <w:p>
            <w:pPr>
              <w:pStyle w:val="Compact"/>
              <w:jc w:val="left"/>
            </w:pPr>
            <w:r>
              <w:t xml:space="preserve">Prior Assumption</w:t>
            </w:r>
          </w:p>
        </w:tc>
        <w:tc>
          <w:tcPr/>
          <w:p>
            <w:pPr>
              <w:pStyle w:val="Compact"/>
              <w:jc w:val="left"/>
            </w:pPr>
            <w:r>
              <w:t xml:space="preserve">Expected SVAR Estimate</w:t>
            </w:r>
          </w:p>
        </w:tc>
        <w:tc>
          <w:tcPr/>
          <w:p>
            <w:pPr>
              <w:pStyle w:val="Compact"/>
              <w:jc w:val="left"/>
            </w:pPr>
            <w:r>
              <w:t xml:space="preserve">Likely Direction of Change</w:t>
            </w:r>
          </w:p>
        </w:tc>
      </w:tr>
      <w:tr>
        <w:tc>
          <w:tcPr/>
          <w:p>
            <w:pPr>
              <w:pStyle w:val="Compact"/>
              <w:jc w:val="left"/>
            </w:pPr>
            <w:r>
              <w:t xml:space="preserve">Positioning → Liquidity</w:t>
            </w:r>
          </w:p>
        </w:tc>
        <w:tc>
          <w:tcPr/>
          <w:p>
            <w:pPr>
              <w:pStyle w:val="Compact"/>
              <w:jc w:val="left"/>
            </w:pPr>
            <w:r>
              <w:t xml:space="preserve">0.60</w:t>
            </w:r>
          </w:p>
        </w:tc>
        <w:tc>
          <w:tcPr/>
          <w:p>
            <w:pPr>
              <w:pStyle w:val="Compact"/>
              <w:jc w:val="left"/>
            </w:pPr>
            <w:r>
              <w:t xml:space="preserve">0.40–0.60 (normal), 0.65 (stress)</w:t>
            </w:r>
          </w:p>
        </w:tc>
        <w:tc>
          <w:tcPr/>
          <w:p>
            <w:pPr>
              <w:pStyle w:val="Compact"/>
              <w:jc w:val="left"/>
            </w:pPr>
            <w:r>
              <w:t xml:space="preserve">Broadly confirmed; stress regime may be higher</w:t>
            </w:r>
          </w:p>
        </w:tc>
      </w:tr>
      <w:tr>
        <w:tc>
          <w:tcPr/>
          <w:p>
            <w:pPr>
              <w:pStyle w:val="Compact"/>
              <w:jc w:val="left"/>
            </w:pPr>
            <w:r>
              <w:t xml:space="preserve">Positioning → Volatility</w:t>
            </w:r>
          </w:p>
        </w:tc>
        <w:tc>
          <w:tcPr/>
          <w:p>
            <w:pPr>
              <w:pStyle w:val="Compact"/>
              <w:jc w:val="left"/>
            </w:pPr>
            <w:r>
              <w:t xml:space="preserve">0.50</w:t>
            </w:r>
          </w:p>
        </w:tc>
        <w:tc>
          <w:tcPr/>
          <w:p>
            <w:pPr>
              <w:pStyle w:val="Compact"/>
              <w:jc w:val="left"/>
            </w:pPr>
            <w:r>
              <w:t xml:space="preserve">0.35–0.55 (normal), 0.55 (stress)</w:t>
            </w:r>
          </w:p>
        </w:tc>
        <w:tc>
          <w:tcPr/>
          <w:p>
            <w:pPr>
              <w:pStyle w:val="Compact"/>
              <w:jc w:val="left"/>
            </w:pPr>
            <w:r>
              <w:t xml:space="preserve">Broadly confirmed</w:t>
            </w:r>
          </w:p>
        </w:tc>
      </w:tr>
      <w:tr>
        <w:tc>
          <w:tcPr/>
          <w:p>
            <w:pPr>
              <w:pStyle w:val="Compact"/>
              <w:jc w:val="left"/>
            </w:pPr>
            <w:r>
              <w:t xml:space="preserve">Liquidity → Contagion</w:t>
            </w:r>
          </w:p>
        </w:tc>
        <w:tc>
          <w:tcPr/>
          <w:p>
            <w:pPr>
              <w:pStyle w:val="Compact"/>
              <w:jc w:val="left"/>
            </w:pPr>
            <w:r>
              <w:t xml:space="preserve">0.60</w:t>
            </w:r>
          </w:p>
        </w:tc>
        <w:tc>
          <w:tcPr/>
          <w:p>
            <w:pPr>
              <w:pStyle w:val="Compact"/>
              <w:jc w:val="left"/>
            </w:pPr>
            <w:r>
              <w:t xml:space="preserve">0.30–0.50 (normal), 0.55 (stress)</w:t>
            </w:r>
          </w:p>
        </w:tc>
        <w:tc>
          <w:tcPr/>
          <w:p>
            <w:pPr>
              <w:pStyle w:val="Compact"/>
              <w:jc w:val="left"/>
            </w:pPr>
            <w:r>
              <w:t xml:space="preserve">May be lower in normal regime; prior was stress-calibrated</w:t>
            </w:r>
          </w:p>
        </w:tc>
      </w:tr>
      <w:tr>
        <w:tc>
          <w:tcPr/>
          <w:p>
            <w:pPr>
              <w:pStyle w:val="Compact"/>
              <w:jc w:val="left"/>
            </w:pPr>
            <w:r>
              <w:t xml:space="preserve">Contagion → Liquidity</w:t>
            </w:r>
          </w:p>
        </w:tc>
        <w:tc>
          <w:tcPr/>
          <w:p>
            <w:pPr>
              <w:pStyle w:val="Compact"/>
              <w:jc w:val="left"/>
            </w:pPr>
            <w:r>
              <w:t xml:space="preserve">0.50</w:t>
            </w:r>
          </w:p>
        </w:tc>
        <w:tc>
          <w:tcPr/>
          <w:p>
            <w:pPr>
              <w:pStyle w:val="Compact"/>
              <w:jc w:val="left"/>
            </w:pPr>
            <w:r>
              <w:t xml:space="preserve">0.35–0.55</w:t>
            </w:r>
          </w:p>
        </w:tc>
        <w:tc>
          <w:tcPr/>
          <w:p>
            <w:pPr>
              <w:pStyle w:val="Compact"/>
              <w:jc w:val="left"/>
            </w:pPr>
            <w:r>
              <w:t xml:space="preserve">Broadly confirmed</w:t>
            </w:r>
          </w:p>
        </w:tc>
      </w:tr>
      <w:tr>
        <w:tc>
          <w:tcPr/>
          <w:p>
            <w:pPr>
              <w:pStyle w:val="Compact"/>
              <w:jc w:val="left"/>
            </w:pPr>
            <w:r>
              <w:t xml:space="preserve">Policy → All (dampening)</w:t>
            </w:r>
          </w:p>
        </w:tc>
        <w:tc>
          <w:tcPr/>
          <w:p>
            <w:pPr>
              <w:pStyle w:val="Compact"/>
              <w:jc w:val="left"/>
            </w:pPr>
            <w:r>
              <w:t xml:space="preserve">Negative coefficients</w:t>
            </w:r>
          </w:p>
        </w:tc>
        <w:tc>
          <w:tcPr/>
          <w:p>
            <w:pPr>
              <w:pStyle w:val="Compact"/>
              <w:jc w:val="left"/>
            </w:pPr>
            <w:r>
              <w:t xml:space="preserve">Positive (dampening) in [+0.05, +0.30]</w:t>
            </w:r>
          </w:p>
        </w:tc>
        <w:tc>
          <w:tcPr/>
          <w:p>
            <w:pPr>
              <w:pStyle w:val="Compact"/>
              <w:jc w:val="left"/>
            </w:pPr>
            <w:r>
              <w:t xml:space="preserve">Confirmed but sign convention differs</w:t>
            </w:r>
          </w:p>
        </w:tc>
      </w:tr>
    </w:tbl>
    <w:p>
      <w:pPr>
        <w:pStyle w:val="BodyText"/>
      </w:pPr>
      <w:r>
        <w:t xml:space="preserve">The most likely finding is that the prior assumptions were implicitly calibrated to stress-regime dynamics (which is sensible — cascades matter most during stress). The SVAR will separate these into normal-regime and stress-regime estimates, providing more nuanced coefficients for simulations that span both regimes.</w:t>
      </w:r>
    </w:p>
    <w:bookmarkEnd w:id="102"/>
    <w:bookmarkStart w:id="103" w:name="implementation-notes-1"/>
    <w:p>
      <w:pPr>
        <w:pStyle w:val="Heading4"/>
      </w:pPr>
      <w:r>
        <w:t xml:space="preserve">10.2.8 Implementation Notes</w:t>
      </w:r>
    </w:p>
    <w:p>
      <w:pPr>
        <w:pStyle w:val="FirstParagraph"/>
      </w:pPr>
      <w:r>
        <w:rPr>
          <w:bCs/>
          <w:b/>
        </w:rPr>
        <w:t xml:space="preserve">Stationarity.</w:t>
      </w:r>
      <w:r>
        <w:t xml:space="preserve"> </w:t>
      </w:r>
      <w:r>
        <w:t xml:space="preserve">The SVAR is estimated on first-differences of pillar scores (</w:t>
      </w:r>
      <m:oMath>
        <m:r>
          <m:t>Δ</m:t>
        </m:r>
        <m:sSub>
          <m:e>
            <m:r>
              <m:t>P</m:t>
            </m:r>
          </m:e>
          <m:sub>
            <m:r>
              <m:t>t</m:t>
            </m:r>
          </m:sub>
        </m:sSub>
      </m:oMath>
      <w:r>
        <w:t xml:space="preserve">), which are stationary by construction (pillar scores are bounded on [0, 1]). Augmented Dickey-Fuller tests confirm stationarity of all pillar score differences at the 1% level.</w:t>
      </w:r>
    </w:p>
    <w:p>
      <w:pPr>
        <w:pStyle w:val="BodyText"/>
      </w:pPr>
      <w:r>
        <w:rPr>
          <w:bCs/>
          <w:b/>
        </w:rPr>
        <w:t xml:space="preserve">Missing data.</w:t>
      </w:r>
      <w:r>
        <w:t xml:space="preserve"> </w:t>
      </w:r>
      <w:r>
        <w:t xml:space="preserve">For the 1997–2006 period, the private credit pillar is unavailable. The SVAR is estimated on the remaining 6 pillars. For the 2006–2025 period, a 7-pillar SVAR is estimated separately to capture private credit transmission channels. The 6-pillar coefficients are used as the primary propagation matrix; the 7-pillar coefficients are used as a supplementary check and to estimate the private credit row/column of the transmission matrix.</w:t>
      </w:r>
    </w:p>
    <w:p>
      <w:pPr>
        <w:pStyle w:val="BodyText"/>
      </w:pPr>
      <w:r>
        <w:rPr>
          <w:bCs/>
          <w:b/>
        </w:rPr>
        <w:t xml:space="preserve">Structural breaks.</w:t>
      </w:r>
      <w:r>
        <w:t xml:space="preserve"> </w:t>
      </w:r>
      <w:r>
        <w:t xml:space="preserve">The 2008 GFC and post-Dodd-Frank regulatory regime represent potential structural breaks in transmission dynamics. A Chow test at 2010-Q1 tests for parameter stability. If the break is significant, the framework estimates separate pre-2010 and post-2010 coefficient matrices and uses the post-2010 matrix for forward-looking simulations (as the current regulatory environment is more relevant than the pre-GFC environment).</w:t>
      </w:r>
    </w:p>
    <w:p>
      <w:pPr>
        <w:pStyle w:val="BodyText"/>
      </w:pPr>
      <w:r>
        <w:rPr>
          <w:bCs/>
          <w:b/>
        </w:rPr>
        <w:t xml:space="preserve">Computational implementation.</w:t>
      </w:r>
      <w:r>
        <w:t xml:space="preserve"> </w:t>
      </w:r>
      <w:r>
        <w:t xml:space="preserve">The SVAR estimation is performed using the</w:t>
      </w:r>
      <w:r>
        <w:t xml:space="preserve"> </w:t>
      </w:r>
      <w:r>
        <w:rPr>
          <w:rStyle w:val="VerbatimChar"/>
        </w:rPr>
        <w:t xml:space="preserve">statsmodels.tsa.vector_ar</w:t>
      </w:r>
      <w:r>
        <w:t xml:space="preserve"> </w:t>
      </w:r>
      <w:r>
        <w:t xml:space="preserve">module (Python), with Cholesky identification via</w:t>
      </w:r>
      <w:r>
        <w:t xml:space="preserve"> </w:t>
      </w:r>
      <w:r>
        <w:rPr>
          <w:rStyle w:val="VerbatimChar"/>
        </w:rPr>
        <w:t xml:space="preserve">scipy.linalg.cholesky</w:t>
      </w:r>
      <w:r>
        <w:t xml:space="preserve">. Impulse response functions and confidence bands are computed via bootstrap (1,000 replications) to account for estimation uncertainty. The entire estimation pipeline is encapsulated in the</w:t>
      </w:r>
      <w:r>
        <w:t xml:space="preserve"> </w:t>
      </w:r>
      <w:r>
        <w:rPr>
          <w:rStyle w:val="VerbatimChar"/>
        </w:rPr>
        <w:t xml:space="preserve">grri_mac.predictive.cascade_var</w:t>
      </w:r>
      <w:r>
        <w:t xml:space="preserve"> </w:t>
      </w:r>
      <w:r>
        <w:t xml:space="preserve">module.</w:t>
      </w:r>
    </w:p>
    <w:bookmarkEnd w:id="103"/>
    <w:bookmarkEnd w:id="104"/>
    <w:bookmarkStart w:id="105" w:name="blind-backtesting"/>
    <w:p>
      <w:pPr>
        <w:pStyle w:val="Heading3"/>
      </w:pPr>
      <w:r>
        <w:t xml:space="preserve">10.3 Blind Backtesting</w:t>
      </w:r>
    </w:p>
    <w:p>
      <w:pPr>
        <w:pStyle w:val="FirstParagraph"/>
      </w:pPr>
      <w:r>
        <w:t xml:space="preserve">The blind backtesting module addresses the key critique of historical backtests:</w:t>
      </w:r>
      <w:r>
        <w:t xml:space="preserve"> </w:t>
      </w:r>
      <w:r>
        <w:rPr>
          <w:bCs/>
          <w:b/>
        </w:rPr>
        <w:t xml:space="preserve">lookahead bias</w:t>
      </w:r>
      <w:r>
        <w:t xml:space="preserve">. Standard backtests know the outcome and may unconsciously be tuned to match. The blind backtest:</w:t>
      </w:r>
    </w:p>
    <w:p>
      <w:pPr>
        <w:numPr>
          <w:ilvl w:val="0"/>
          <w:numId w:val="1010"/>
        </w:numPr>
        <w:pStyle w:val="Compact"/>
      </w:pPr>
      <w:r>
        <w:t xml:space="preserve">Only uses data that was available at each historical date</w:t>
      </w:r>
    </w:p>
    <w:p>
      <w:pPr>
        <w:numPr>
          <w:ilvl w:val="0"/>
          <w:numId w:val="1010"/>
        </w:numPr>
        <w:pStyle w:val="Compact"/>
      </w:pPr>
      <w:r>
        <w:t xml:space="preserve">Makes predictions</w:t>
      </w:r>
      <w:r>
        <w:t xml:space="preserve"> </w:t>
      </w:r>
      <w:r>
        <w:rPr>
          <w:iCs/>
          <w:i/>
        </w:rPr>
        <w:t xml:space="preserve">before</w:t>
      </w:r>
      <w:r>
        <w:t xml:space="preserve"> </w:t>
      </w:r>
      <w:r>
        <w:t xml:space="preserve">outcomes are known</w:t>
      </w:r>
    </w:p>
    <w:p>
      <w:pPr>
        <w:numPr>
          <w:ilvl w:val="0"/>
          <w:numId w:val="1010"/>
        </w:numPr>
        <w:pStyle w:val="Compact"/>
      </w:pPr>
      <w:r>
        <w:t xml:space="preserve">Compares predictions to actual outcomes via a pre-specified protocol</w:t>
      </w:r>
    </w:p>
    <w:p>
      <w:pPr>
        <w:pStyle w:val="FirstParagraph"/>
      </w:pPr>
      <w:r>
        <w:t xml:space="preserve">This produces a more realistic assessment of how the framework would have performed in real time. The module tracks pre-event data availability (e.g., SOFR not available before 2018, EMBI proxy not available before 1998) and restricts the indicator set accordingly.</w:t>
      </w:r>
    </w:p>
    <w:p>
      <w:r>
        <w:pict>
          <v:rect style="width:0;height:1.5pt" o:hralign="center" o:hrstd="t" o:hr="t"/>
        </w:pict>
      </w:r>
    </w:p>
    <w:bookmarkEnd w:id="105"/>
    <w:bookmarkEnd w:id="106"/>
    <w:bookmarkStart w:id="110" w:name="data-architecture-and-sources"/>
    <w:p>
      <w:pPr>
        <w:pStyle w:val="Heading2"/>
      </w:pPr>
      <w:r>
        <w:t xml:space="preserve">11. Data Architecture and Sources</w:t>
      </w:r>
    </w:p>
    <w:bookmarkStart w:id="107" w:name="primary-data-sources-modern-era"/>
    <w:p>
      <w:pPr>
        <w:pStyle w:val="Heading3"/>
      </w:pPr>
      <w:r>
        <w:t xml:space="preserve">11.1 Primary Data Sources (Modern Era)</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Source</w:t>
            </w:r>
          </w:p>
        </w:tc>
        <w:tc>
          <w:tcPr/>
          <w:p>
            <w:pPr>
              <w:pStyle w:val="Compact"/>
              <w:jc w:val="left"/>
            </w:pPr>
            <w:r>
              <w:t xml:space="preserve">Series Count</w:t>
            </w:r>
          </w:p>
        </w:tc>
        <w:tc>
          <w:tcPr/>
          <w:p>
            <w:pPr>
              <w:pStyle w:val="Compact"/>
              <w:jc w:val="left"/>
            </w:pPr>
            <w:r>
              <w:t xml:space="preserve">Coverage</w:t>
            </w:r>
          </w:p>
        </w:tc>
        <w:tc>
          <w:tcPr/>
          <w:p>
            <w:pPr>
              <w:pStyle w:val="Compact"/>
              <w:jc w:val="left"/>
            </w:pPr>
            <w:r>
              <w:t xml:space="preserve">Update Frequency</w:t>
            </w:r>
          </w:p>
        </w:tc>
      </w:tr>
      <w:tr>
        <w:tc>
          <w:tcPr/>
          <w:p>
            <w:pPr>
              <w:pStyle w:val="Compact"/>
              <w:jc w:val="left"/>
            </w:pPr>
            <w:r>
              <w:rPr>
                <w:bCs/>
                <w:b/>
              </w:rPr>
              <w:t xml:space="preserve">FRED</w:t>
            </w:r>
            <w:r>
              <w:t xml:space="preserve"> </w:t>
            </w:r>
            <w:r>
              <w:t xml:space="preserve">(Federal Reserve)</w:t>
            </w:r>
          </w:p>
        </w:tc>
        <w:tc>
          <w:tcPr/>
          <w:p>
            <w:pPr>
              <w:pStyle w:val="Compact"/>
              <w:jc w:val="left"/>
            </w:pPr>
            <w:r>
              <w:t xml:space="preserve">30+</w:t>
            </w:r>
          </w:p>
        </w:tc>
        <w:tc>
          <w:tcPr/>
          <w:p>
            <w:pPr>
              <w:pStyle w:val="Compact"/>
              <w:jc w:val="left"/>
            </w:pPr>
            <w:r>
              <w:t xml:space="preserve">1913–present</w:t>
            </w:r>
          </w:p>
        </w:tc>
        <w:tc>
          <w:tcPr/>
          <w:p>
            <w:pPr>
              <w:pStyle w:val="Compact"/>
              <w:jc w:val="left"/>
            </w:pPr>
            <w:r>
              <w:t xml:space="preserve">Daily/weekly</w:t>
            </w:r>
          </w:p>
        </w:tc>
      </w:tr>
      <w:tr>
        <w:tc>
          <w:tcPr/>
          <w:p>
            <w:pPr>
              <w:pStyle w:val="Compact"/>
              <w:jc w:val="left"/>
            </w:pPr>
            <w:r>
              <w:rPr>
                <w:bCs/>
                <w:b/>
              </w:rPr>
              <w:t xml:space="preserve">CFTC COT</w:t>
            </w:r>
          </w:p>
        </w:tc>
        <w:tc>
          <w:tcPr/>
          <w:p>
            <w:pPr>
              <w:pStyle w:val="Compact"/>
              <w:jc w:val="left"/>
            </w:pPr>
            <w:r>
              <w:t xml:space="preserve">5–10</w:t>
            </w:r>
          </w:p>
        </w:tc>
        <w:tc>
          <w:tcPr/>
          <w:p>
            <w:pPr>
              <w:pStyle w:val="Compact"/>
              <w:jc w:val="left"/>
            </w:pPr>
            <w:r>
              <w:t xml:space="preserve">1986–present</w:t>
            </w:r>
          </w:p>
        </w:tc>
        <w:tc>
          <w:tcPr/>
          <w:p>
            <w:pPr>
              <w:pStyle w:val="Compact"/>
              <w:jc w:val="left"/>
            </w:pPr>
            <w:r>
              <w:t xml:space="preserve">Weekly (Tuesdays)</w:t>
            </w:r>
          </w:p>
        </w:tc>
      </w:tr>
      <w:tr>
        <w:tc>
          <w:tcPr/>
          <w:p>
            <w:pPr>
              <w:pStyle w:val="Compact"/>
              <w:jc w:val="left"/>
            </w:pPr>
            <w:r>
              <w:rPr>
                <w:bCs/>
                <w:b/>
              </w:rPr>
              <w:t xml:space="preserve">ETF Data</w:t>
            </w:r>
            <w:r>
              <w:t xml:space="preserve"> </w:t>
            </w:r>
            <w:r>
              <w:t xml:space="preserve">(yfinance)</w:t>
            </w:r>
          </w:p>
        </w:tc>
        <w:tc>
          <w:tcPr/>
          <w:p>
            <w:pPr>
              <w:pStyle w:val="Compact"/>
              <w:jc w:val="left"/>
            </w:pPr>
            <w:r>
              <w:t xml:space="preserve">~15</w:t>
            </w:r>
          </w:p>
        </w:tc>
        <w:tc>
          <w:tcPr/>
          <w:p>
            <w:pPr>
              <w:pStyle w:val="Compact"/>
              <w:jc w:val="left"/>
            </w:pPr>
            <w:r>
              <w:t xml:space="preserve">2004–present</w:t>
            </w:r>
          </w:p>
        </w:tc>
        <w:tc>
          <w:tcPr/>
          <w:p>
            <w:pPr>
              <w:pStyle w:val="Compact"/>
              <w:jc w:val="left"/>
            </w:pPr>
            <w:r>
              <w:t xml:space="preserve">Daily</w:t>
            </w:r>
          </w:p>
        </w:tc>
      </w:tr>
      <w:tr>
        <w:tc>
          <w:tcPr/>
          <w:p>
            <w:pPr>
              <w:pStyle w:val="Compact"/>
              <w:jc w:val="left"/>
            </w:pPr>
            <w:r>
              <w:rPr>
                <w:bCs/>
                <w:b/>
              </w:rPr>
              <w:t xml:space="preserve">BIS</w:t>
            </w:r>
          </w:p>
        </w:tc>
        <w:tc>
          <w:tcPr/>
          <w:p>
            <w:pPr>
              <w:pStyle w:val="Compact"/>
              <w:jc w:val="left"/>
            </w:pPr>
            <w:r>
              <w:t xml:space="preserve">3–5</w:t>
            </w:r>
          </w:p>
        </w:tc>
        <w:tc>
          <w:tcPr/>
          <w:p>
            <w:pPr>
              <w:pStyle w:val="Compact"/>
              <w:jc w:val="left"/>
            </w:pPr>
            <w:r>
              <w:t xml:space="preserve">1999–present</w:t>
            </w:r>
          </w:p>
        </w:tc>
        <w:tc>
          <w:tcPr/>
          <w:p>
            <w:pPr>
              <w:pStyle w:val="Compact"/>
              <w:jc w:val="left"/>
            </w:pPr>
            <w:r>
              <w:t xml:space="preserve">Quarterly</w:t>
            </w:r>
          </w:p>
        </w:tc>
      </w:tr>
      <w:tr>
        <w:tc>
          <w:tcPr/>
          <w:p>
            <w:pPr>
              <w:pStyle w:val="Compact"/>
              <w:jc w:val="left"/>
            </w:pPr>
            <w:r>
              <w:rPr>
                <w:bCs/>
                <w:b/>
              </w:rPr>
              <w:t xml:space="preserve">IMF</w:t>
            </w:r>
          </w:p>
        </w:tc>
        <w:tc>
          <w:tcPr/>
          <w:p>
            <w:pPr>
              <w:pStyle w:val="Compact"/>
              <w:jc w:val="left"/>
            </w:pPr>
            <w:r>
              <w:t xml:space="preserve">2–3</w:t>
            </w:r>
          </w:p>
        </w:tc>
        <w:tc>
          <w:tcPr/>
          <w:p>
            <w:pPr>
              <w:pStyle w:val="Compact"/>
              <w:jc w:val="left"/>
            </w:pPr>
            <w:r>
              <w:t xml:space="preserve">1980–present</w:t>
            </w:r>
          </w:p>
        </w:tc>
        <w:tc>
          <w:tcPr/>
          <w:p>
            <w:pPr>
              <w:pStyle w:val="Compact"/>
              <w:jc w:val="left"/>
            </w:pPr>
            <w:r>
              <w:t xml:space="preserve">Monthly/quarterly</w:t>
            </w:r>
          </w:p>
        </w:tc>
      </w:tr>
      <w:tr>
        <w:tc>
          <w:tcPr/>
          <w:p>
            <w:pPr>
              <w:pStyle w:val="Compact"/>
              <w:jc w:val="left"/>
            </w:pPr>
            <w:r>
              <w:rPr>
                <w:bCs/>
                <w:b/>
              </w:rPr>
              <w:t xml:space="preserve">ECB</w:t>
            </w:r>
          </w:p>
        </w:tc>
        <w:tc>
          <w:tcPr/>
          <w:p>
            <w:pPr>
              <w:pStyle w:val="Compact"/>
              <w:jc w:val="left"/>
            </w:pPr>
            <w:r>
              <w:t xml:space="preserve">2–3</w:t>
            </w:r>
          </w:p>
        </w:tc>
        <w:tc>
          <w:tcPr/>
          <w:p>
            <w:pPr>
              <w:pStyle w:val="Compact"/>
              <w:jc w:val="left"/>
            </w:pPr>
            <w:r>
              <w:t xml:space="preserve">1999–present</w:t>
            </w:r>
          </w:p>
        </w:tc>
        <w:tc>
          <w:tcPr/>
          <w:p>
            <w:pPr>
              <w:pStyle w:val="Compact"/>
              <w:jc w:val="left"/>
            </w:pPr>
            <w:r>
              <w:t xml:space="preserve">Daily</w:t>
            </w:r>
          </w:p>
        </w:tc>
      </w:tr>
    </w:tbl>
    <w:bookmarkEnd w:id="107"/>
    <w:bookmarkStart w:id="108" w:name="fred-series-used"/>
    <w:p>
      <w:pPr>
        <w:pStyle w:val="Heading3"/>
      </w:pPr>
      <w:r>
        <w:t xml:space="preserve">11.2 FRED Series Used</w:t>
      </w:r>
    </w:p>
    <w:tbl>
      <w:tblPr>
        <w:tblStyle w:val="Table"/>
        <w:tblW w:type="pct" w:w="5000"/>
        <w:tblLook w:firstRow="1" w:lastRow="0" w:firstColumn="0" w:lastColumn="0" w:noHBand="0" w:noVBand="0" w:val="0020"/>
        <w:jc w:val="start"/>
      </w:tblPr>
      <w:tblGrid>
        <w:gridCol w:w="2124"/>
        <w:gridCol w:w="1159"/>
        <w:gridCol w:w="1545"/>
        <w:gridCol w:w="3090"/>
      </w:tblGrid>
      <w:tr>
        <w:trPr>
          <w:tblHeader w:val="true"/>
        </w:trPr>
        <w:tc>
          <w:tcPr/>
          <w:p>
            <w:pPr>
              <w:pStyle w:val="Compact"/>
              <w:jc w:val="left"/>
            </w:pPr>
            <w:r>
              <w:t xml:space="preserve">Series ID</w:t>
            </w:r>
          </w:p>
        </w:tc>
        <w:tc>
          <w:tcPr/>
          <w:p>
            <w:pPr>
              <w:pStyle w:val="Compact"/>
              <w:jc w:val="left"/>
            </w:pPr>
            <w:r>
              <w:t xml:space="preserve">Name</w:t>
            </w:r>
          </w:p>
        </w:tc>
        <w:tc>
          <w:tcPr/>
          <w:p>
            <w:pPr>
              <w:pStyle w:val="Compact"/>
              <w:jc w:val="left"/>
            </w:pPr>
            <w:r>
              <w:t xml:space="preserve">Pillar</w:t>
            </w:r>
          </w:p>
        </w:tc>
        <w:tc>
          <w:tcPr/>
          <w:p>
            <w:pPr>
              <w:pStyle w:val="Compact"/>
              <w:jc w:val="left"/>
            </w:pPr>
            <w:r>
              <w:t xml:space="preserve">Available From</w:t>
            </w:r>
          </w:p>
        </w:tc>
      </w:tr>
      <w:tr>
        <w:tc>
          <w:tcPr/>
          <w:p>
            <w:pPr>
              <w:pStyle w:val="Compact"/>
              <w:jc w:val="left"/>
            </w:pPr>
            <w:r>
              <w:t xml:space="preserve">SOFR</w:t>
            </w:r>
          </w:p>
        </w:tc>
        <w:tc>
          <w:tcPr/>
          <w:p>
            <w:pPr>
              <w:pStyle w:val="Compact"/>
              <w:jc w:val="left"/>
            </w:pPr>
            <w:r>
              <w:t xml:space="preserve">Secured Overnight Financing Rate</w:t>
            </w:r>
          </w:p>
        </w:tc>
        <w:tc>
          <w:tcPr/>
          <w:p>
            <w:pPr>
              <w:pStyle w:val="Compact"/>
              <w:jc w:val="left"/>
            </w:pPr>
            <w:r>
              <w:t xml:space="preserve">Liquidity</w:t>
            </w:r>
          </w:p>
        </w:tc>
        <w:tc>
          <w:tcPr/>
          <w:p>
            <w:pPr>
              <w:pStyle w:val="Compact"/>
              <w:jc w:val="left"/>
            </w:pPr>
            <w:r>
              <w:t xml:space="preserve">2018</w:t>
            </w:r>
          </w:p>
        </w:tc>
      </w:tr>
      <w:tr>
        <w:tc>
          <w:tcPr/>
          <w:p>
            <w:pPr>
              <w:pStyle w:val="Compact"/>
              <w:jc w:val="left"/>
            </w:pPr>
            <w:r>
              <w:t xml:space="preserve">IORB</w:t>
            </w:r>
          </w:p>
        </w:tc>
        <w:tc>
          <w:tcPr/>
          <w:p>
            <w:pPr>
              <w:pStyle w:val="Compact"/>
              <w:jc w:val="left"/>
            </w:pPr>
            <w:r>
              <w:t xml:space="preserve">Interest on Reserve Balances</w:t>
            </w:r>
          </w:p>
        </w:tc>
        <w:tc>
          <w:tcPr/>
          <w:p>
            <w:pPr>
              <w:pStyle w:val="Compact"/>
              <w:jc w:val="left"/>
            </w:pPr>
            <w:r>
              <w:t xml:space="preserve">Liquidity</w:t>
            </w:r>
          </w:p>
        </w:tc>
        <w:tc>
          <w:tcPr/>
          <w:p>
            <w:pPr>
              <w:pStyle w:val="Compact"/>
              <w:jc w:val="left"/>
            </w:pPr>
            <w:r>
              <w:t xml:space="preserve">2021</w:t>
            </w:r>
          </w:p>
        </w:tc>
      </w:tr>
      <w:tr>
        <w:tc>
          <w:tcPr/>
          <w:p>
            <w:pPr>
              <w:pStyle w:val="Compact"/>
              <w:jc w:val="left"/>
            </w:pPr>
            <w:r>
              <w:t xml:space="preserve">IOER</w:t>
            </w:r>
          </w:p>
        </w:tc>
        <w:tc>
          <w:tcPr/>
          <w:p>
            <w:pPr>
              <w:pStyle w:val="Compact"/>
              <w:jc w:val="left"/>
            </w:pPr>
            <w:r>
              <w:t xml:space="preserve">Interest on Excess Reserves</w:t>
            </w:r>
          </w:p>
        </w:tc>
        <w:tc>
          <w:tcPr/>
          <w:p>
            <w:pPr>
              <w:pStyle w:val="Compact"/>
              <w:jc w:val="left"/>
            </w:pPr>
            <w:r>
              <w:t xml:space="preserve">Liquidity</w:t>
            </w:r>
          </w:p>
        </w:tc>
        <w:tc>
          <w:tcPr/>
          <w:p>
            <w:pPr>
              <w:pStyle w:val="Compact"/>
              <w:jc w:val="left"/>
            </w:pPr>
            <w:r>
              <w:t xml:space="preserve">2008</w:t>
            </w:r>
          </w:p>
        </w:tc>
      </w:tr>
      <w:tr>
        <w:tc>
          <w:tcPr/>
          <w:p>
            <w:pPr>
              <w:pStyle w:val="Compact"/>
              <w:jc w:val="left"/>
            </w:pPr>
            <w:r>
              <w:t xml:space="preserve">TEDRATE</w:t>
            </w:r>
          </w:p>
        </w:tc>
        <w:tc>
          <w:tcPr/>
          <w:p>
            <w:pPr>
              <w:pStyle w:val="Compact"/>
              <w:jc w:val="left"/>
            </w:pPr>
            <w:r>
              <w:t xml:space="preserve">TED Spread</w:t>
            </w:r>
          </w:p>
        </w:tc>
        <w:tc>
          <w:tcPr/>
          <w:p>
            <w:pPr>
              <w:pStyle w:val="Compact"/>
              <w:jc w:val="left"/>
            </w:pPr>
            <w:r>
              <w:t xml:space="preserve">Liquidity</w:t>
            </w:r>
          </w:p>
        </w:tc>
        <w:tc>
          <w:tcPr/>
          <w:p>
            <w:pPr>
              <w:pStyle w:val="Compact"/>
              <w:jc w:val="left"/>
            </w:pPr>
            <w:r>
              <w:t xml:space="preserve">1986</w:t>
            </w:r>
          </w:p>
        </w:tc>
      </w:tr>
      <w:tr>
        <w:tc>
          <w:tcPr/>
          <w:p>
            <w:pPr>
              <w:pStyle w:val="Compact"/>
              <w:jc w:val="left"/>
            </w:pPr>
            <w:r>
              <w:t xml:space="preserve">DFF</w:t>
            </w:r>
          </w:p>
        </w:tc>
        <w:tc>
          <w:tcPr/>
          <w:p>
            <w:pPr>
              <w:pStyle w:val="Compact"/>
              <w:jc w:val="left"/>
            </w:pPr>
            <w:r>
              <w:t xml:space="preserve">Federal Funds Effective Rate</w:t>
            </w:r>
          </w:p>
        </w:tc>
        <w:tc>
          <w:tcPr/>
          <w:p>
            <w:pPr>
              <w:pStyle w:val="Compact"/>
              <w:jc w:val="left"/>
            </w:pPr>
            <w:r>
              <w:t xml:space="preserve">Liquidity, Policy</w:t>
            </w:r>
          </w:p>
        </w:tc>
        <w:tc>
          <w:tcPr/>
          <w:p>
            <w:pPr>
              <w:pStyle w:val="Compact"/>
              <w:jc w:val="left"/>
            </w:pPr>
            <w:r>
              <w:t xml:space="preserve">1954</w:t>
            </w:r>
          </w:p>
        </w:tc>
      </w:tr>
      <w:tr>
        <w:tc>
          <w:tcPr/>
          <w:p>
            <w:pPr>
              <w:pStyle w:val="Compact"/>
              <w:jc w:val="left"/>
            </w:pPr>
            <w:r>
              <w:t xml:space="preserve">DCPF3M</w:t>
            </w:r>
          </w:p>
        </w:tc>
        <w:tc>
          <w:tcPr/>
          <w:p>
            <w:pPr>
              <w:pStyle w:val="Compact"/>
              <w:jc w:val="left"/>
            </w:pPr>
            <w:r>
              <w:t xml:space="preserve">3-Month Commercial Paper Rate</w:t>
            </w:r>
          </w:p>
        </w:tc>
        <w:tc>
          <w:tcPr/>
          <w:p>
            <w:pPr>
              <w:pStyle w:val="Compact"/>
              <w:jc w:val="left"/>
            </w:pPr>
            <w:r>
              <w:t xml:space="preserve">Liquidity</w:t>
            </w:r>
          </w:p>
        </w:tc>
        <w:tc>
          <w:tcPr/>
          <w:p>
            <w:pPr>
              <w:pStyle w:val="Compact"/>
              <w:jc w:val="left"/>
            </w:pPr>
            <w:r>
              <w:t xml:space="preserve">1997</w:t>
            </w:r>
          </w:p>
        </w:tc>
      </w:tr>
      <w:tr>
        <w:tc>
          <w:tcPr/>
          <w:p>
            <w:pPr>
              <w:pStyle w:val="Compact"/>
              <w:jc w:val="left"/>
            </w:pPr>
            <w:r>
              <w:t xml:space="preserve">DTB3</w:t>
            </w:r>
          </w:p>
        </w:tc>
        <w:tc>
          <w:tcPr/>
          <w:p>
            <w:pPr>
              <w:pStyle w:val="Compact"/>
              <w:jc w:val="left"/>
            </w:pPr>
            <w:r>
              <w:t xml:space="preserve">3-Month Treasury Bill Rate</w:t>
            </w:r>
          </w:p>
        </w:tc>
        <w:tc>
          <w:tcPr/>
          <w:p>
            <w:pPr>
              <w:pStyle w:val="Compact"/>
              <w:jc w:val="left"/>
            </w:pPr>
            <w:r>
              <w:t xml:space="preserve">Liquidity</w:t>
            </w:r>
          </w:p>
        </w:tc>
        <w:tc>
          <w:tcPr/>
          <w:p>
            <w:pPr>
              <w:pStyle w:val="Compact"/>
              <w:jc w:val="left"/>
            </w:pPr>
            <w:r>
              <w:t xml:space="preserve">1954</w:t>
            </w:r>
          </w:p>
        </w:tc>
      </w:tr>
      <w:tr>
        <w:tc>
          <w:tcPr/>
          <w:p>
            <w:pPr>
              <w:pStyle w:val="Compact"/>
              <w:jc w:val="left"/>
            </w:pPr>
            <w:r>
              <w:t xml:space="preserve">BAMLC0A0CM</w:t>
            </w:r>
          </w:p>
        </w:tc>
        <w:tc>
          <w:tcPr/>
          <w:p>
            <w:pPr>
              <w:pStyle w:val="Compact"/>
              <w:jc w:val="left"/>
            </w:pPr>
            <w:r>
              <w:t xml:space="preserve">ICE BofA IG Corporate OAS</w:t>
            </w:r>
          </w:p>
        </w:tc>
        <w:tc>
          <w:tcPr/>
          <w:p>
            <w:pPr>
              <w:pStyle w:val="Compact"/>
              <w:jc w:val="left"/>
            </w:pPr>
            <w:r>
              <w:t xml:space="preserve">Valuation</w:t>
            </w:r>
          </w:p>
        </w:tc>
        <w:tc>
          <w:tcPr/>
          <w:p>
            <w:pPr>
              <w:pStyle w:val="Compact"/>
              <w:jc w:val="left"/>
            </w:pPr>
            <w:r>
              <w:t xml:space="preserve">1997</w:t>
            </w:r>
          </w:p>
        </w:tc>
      </w:tr>
      <w:tr>
        <w:tc>
          <w:tcPr/>
          <w:p>
            <w:pPr>
              <w:pStyle w:val="Compact"/>
              <w:jc w:val="left"/>
            </w:pPr>
            <w:r>
              <w:t xml:space="preserve">BAMLH0A0HYM2</w:t>
            </w:r>
          </w:p>
        </w:tc>
        <w:tc>
          <w:tcPr/>
          <w:p>
            <w:pPr>
              <w:pStyle w:val="Compact"/>
              <w:jc w:val="left"/>
            </w:pPr>
            <w:r>
              <w:t xml:space="preserve">ICE BofA HY Corporate OAS</w:t>
            </w:r>
          </w:p>
        </w:tc>
        <w:tc>
          <w:tcPr/>
          <w:p>
            <w:pPr>
              <w:pStyle w:val="Compact"/>
              <w:jc w:val="left"/>
            </w:pPr>
            <w:r>
              <w:t xml:space="preserve">Valuation</w:t>
            </w:r>
          </w:p>
        </w:tc>
        <w:tc>
          <w:tcPr/>
          <w:p>
            <w:pPr>
              <w:pStyle w:val="Compact"/>
              <w:jc w:val="left"/>
            </w:pPr>
            <w:r>
              <w:t xml:space="preserve">1997</w:t>
            </w:r>
          </w:p>
        </w:tc>
      </w:tr>
      <w:tr>
        <w:tc>
          <w:tcPr/>
          <w:p>
            <w:pPr>
              <w:pStyle w:val="Compact"/>
              <w:jc w:val="left"/>
            </w:pPr>
            <w:r>
              <w:t xml:space="preserve">DGS10</w:t>
            </w:r>
          </w:p>
        </w:tc>
        <w:tc>
          <w:tcPr/>
          <w:p>
            <w:pPr>
              <w:pStyle w:val="Compact"/>
              <w:jc w:val="left"/>
            </w:pPr>
            <w:r>
              <w:t xml:space="preserve">10-Year Treasury Constant Maturity</w:t>
            </w:r>
          </w:p>
        </w:tc>
        <w:tc>
          <w:tcPr/>
          <w:p>
            <w:pPr>
              <w:pStyle w:val="Compact"/>
              <w:jc w:val="left"/>
            </w:pPr>
            <w:r>
              <w:t xml:space="preserve">Valuation</w:t>
            </w:r>
          </w:p>
        </w:tc>
        <w:tc>
          <w:tcPr/>
          <w:p>
            <w:pPr>
              <w:pStyle w:val="Compact"/>
              <w:jc w:val="left"/>
            </w:pPr>
            <w:r>
              <w:t xml:space="preserve">1962</w:t>
            </w:r>
          </w:p>
        </w:tc>
      </w:tr>
      <w:tr>
        <w:tc>
          <w:tcPr/>
          <w:p>
            <w:pPr>
              <w:pStyle w:val="Compact"/>
              <w:jc w:val="left"/>
            </w:pPr>
            <w:r>
              <w:t xml:space="preserve">DGS2</w:t>
            </w:r>
          </w:p>
        </w:tc>
        <w:tc>
          <w:tcPr/>
          <w:p>
            <w:pPr>
              <w:pStyle w:val="Compact"/>
              <w:jc w:val="left"/>
            </w:pPr>
            <w:r>
              <w:t xml:space="preserve">2-Year Treasury Constant Maturity</w:t>
            </w:r>
          </w:p>
        </w:tc>
        <w:tc>
          <w:tcPr/>
          <w:p>
            <w:pPr>
              <w:pStyle w:val="Compact"/>
              <w:jc w:val="left"/>
            </w:pPr>
            <w:r>
              <w:t xml:space="preserve">Valuation, Policy</w:t>
            </w:r>
          </w:p>
        </w:tc>
        <w:tc>
          <w:tcPr/>
          <w:p>
            <w:pPr>
              <w:pStyle w:val="Compact"/>
              <w:jc w:val="left"/>
            </w:pPr>
            <w:r>
              <w:t xml:space="preserve">1976</w:t>
            </w:r>
          </w:p>
        </w:tc>
      </w:tr>
      <w:tr>
        <w:tc>
          <w:tcPr/>
          <w:p>
            <w:pPr>
              <w:pStyle w:val="Compact"/>
              <w:jc w:val="left"/>
            </w:pPr>
            <w:r>
              <w:t xml:space="preserve">AAA</w:t>
            </w:r>
          </w:p>
        </w:tc>
        <w:tc>
          <w:tcPr/>
          <w:p>
            <w:pPr>
              <w:pStyle w:val="Compact"/>
              <w:jc w:val="left"/>
            </w:pPr>
            <w:r>
              <w:t xml:space="preserve">Moody’s Aaa Corporate Bond Yield</w:t>
            </w:r>
          </w:p>
        </w:tc>
        <w:tc>
          <w:tcPr/>
          <w:p>
            <w:pPr>
              <w:pStyle w:val="Compact"/>
              <w:jc w:val="left"/>
            </w:pPr>
            <w:r>
              <w:t xml:space="preserve">Valuation</w:t>
            </w:r>
          </w:p>
        </w:tc>
        <w:tc>
          <w:tcPr/>
          <w:p>
            <w:pPr>
              <w:pStyle w:val="Compact"/>
              <w:jc w:val="left"/>
            </w:pPr>
            <w:r>
              <w:t xml:space="preserve">1919</w:t>
            </w:r>
          </w:p>
        </w:tc>
      </w:tr>
      <w:tr>
        <w:tc>
          <w:tcPr/>
          <w:p>
            <w:pPr>
              <w:pStyle w:val="Compact"/>
              <w:jc w:val="left"/>
            </w:pPr>
            <w:r>
              <w:t xml:space="preserve">BAA</w:t>
            </w:r>
          </w:p>
        </w:tc>
        <w:tc>
          <w:tcPr/>
          <w:p>
            <w:pPr>
              <w:pStyle w:val="Compact"/>
              <w:jc w:val="left"/>
            </w:pPr>
            <w:r>
              <w:t xml:space="preserve">Moody’s Baa Corporate Bond Yield</w:t>
            </w:r>
          </w:p>
        </w:tc>
        <w:tc>
          <w:tcPr/>
          <w:p>
            <w:pPr>
              <w:pStyle w:val="Compact"/>
              <w:jc w:val="left"/>
            </w:pPr>
            <w:r>
              <w:t xml:space="preserve">Valuation</w:t>
            </w:r>
          </w:p>
        </w:tc>
        <w:tc>
          <w:tcPr/>
          <w:p>
            <w:pPr>
              <w:pStyle w:val="Compact"/>
              <w:jc w:val="left"/>
            </w:pPr>
            <w:r>
              <w:t xml:space="preserve">1919</w:t>
            </w:r>
          </w:p>
        </w:tc>
      </w:tr>
      <w:tr>
        <w:tc>
          <w:tcPr/>
          <w:p>
            <w:pPr>
              <w:pStyle w:val="Compact"/>
              <w:jc w:val="left"/>
            </w:pPr>
            <w:r>
              <w:t xml:space="preserve">BAA10Y</w:t>
            </w:r>
          </w:p>
        </w:tc>
        <w:tc>
          <w:tcPr/>
          <w:p>
            <w:pPr>
              <w:pStyle w:val="Compact"/>
              <w:jc w:val="left"/>
            </w:pPr>
            <w:r>
              <w:t xml:space="preserve">Moody’s Baa–10Y Treasury Spread</w:t>
            </w:r>
          </w:p>
        </w:tc>
        <w:tc>
          <w:tcPr/>
          <w:p>
            <w:pPr>
              <w:pStyle w:val="Compact"/>
              <w:jc w:val="left"/>
            </w:pPr>
            <w:r>
              <w:t xml:space="preserve">Contagion</w:t>
            </w:r>
          </w:p>
        </w:tc>
        <w:tc>
          <w:tcPr/>
          <w:p>
            <w:pPr>
              <w:pStyle w:val="Compact"/>
              <w:jc w:val="left"/>
            </w:pPr>
            <w:r>
              <w:t xml:space="preserve">1919</w:t>
            </w:r>
          </w:p>
        </w:tc>
      </w:tr>
      <w:tr>
        <w:tc>
          <w:tcPr/>
          <w:p>
            <w:pPr>
              <w:pStyle w:val="Compact"/>
              <w:jc w:val="left"/>
            </w:pPr>
            <w:r>
              <w:t xml:space="preserve">VIXCLS</w:t>
            </w:r>
          </w:p>
        </w:tc>
        <w:tc>
          <w:tcPr/>
          <w:p>
            <w:pPr>
              <w:pStyle w:val="Compact"/>
              <w:jc w:val="left"/>
            </w:pPr>
            <w:r>
              <w:t xml:space="preserve">CBOE VIX</w:t>
            </w:r>
          </w:p>
        </w:tc>
        <w:tc>
          <w:tcPr/>
          <w:p>
            <w:pPr>
              <w:pStyle w:val="Compact"/>
              <w:jc w:val="left"/>
            </w:pPr>
            <w:r>
              <w:t xml:space="preserve">Volatility</w:t>
            </w:r>
          </w:p>
        </w:tc>
        <w:tc>
          <w:tcPr/>
          <w:p>
            <w:pPr>
              <w:pStyle w:val="Compact"/>
              <w:jc w:val="left"/>
            </w:pPr>
            <w:r>
              <w:t xml:space="preserve">1990</w:t>
            </w:r>
          </w:p>
        </w:tc>
      </w:tr>
      <w:tr>
        <w:tc>
          <w:tcPr/>
          <w:p>
            <w:pPr>
              <w:pStyle w:val="Compact"/>
              <w:jc w:val="left"/>
            </w:pPr>
            <w:r>
              <w:t xml:space="preserve">VXOCLS</w:t>
            </w:r>
          </w:p>
        </w:tc>
        <w:tc>
          <w:tcPr/>
          <w:p>
            <w:pPr>
              <w:pStyle w:val="Compact"/>
              <w:jc w:val="left"/>
            </w:pPr>
            <w:r>
              <w:t xml:space="preserve">CBOE VXO</w:t>
            </w:r>
          </w:p>
        </w:tc>
        <w:tc>
          <w:tcPr/>
          <w:p>
            <w:pPr>
              <w:pStyle w:val="Compact"/>
              <w:jc w:val="left"/>
            </w:pPr>
            <w:r>
              <w:t xml:space="preserve">Volatility</w:t>
            </w:r>
          </w:p>
        </w:tc>
        <w:tc>
          <w:tcPr/>
          <w:p>
            <w:pPr>
              <w:pStyle w:val="Compact"/>
              <w:jc w:val="left"/>
            </w:pPr>
            <w:r>
              <w:t xml:space="preserve">1986</w:t>
            </w:r>
          </w:p>
        </w:tc>
      </w:tr>
      <w:tr>
        <w:tc>
          <w:tcPr/>
          <w:p>
            <w:pPr>
              <w:pStyle w:val="Compact"/>
              <w:jc w:val="left"/>
            </w:pPr>
            <w:r>
              <w:t xml:space="preserve">NASDAQCOM</w:t>
            </w:r>
          </w:p>
        </w:tc>
        <w:tc>
          <w:tcPr/>
          <w:p>
            <w:pPr>
              <w:pStyle w:val="Compact"/>
              <w:jc w:val="left"/>
            </w:pPr>
            <w:r>
              <w:t xml:space="preserve">NASDAQ Composite</w:t>
            </w:r>
          </w:p>
        </w:tc>
        <w:tc>
          <w:tcPr/>
          <w:p>
            <w:pPr>
              <w:pStyle w:val="Compact"/>
              <w:jc w:val="left"/>
            </w:pPr>
            <w:r>
              <w:t xml:space="preserve">Volatility (RV)</w:t>
            </w:r>
          </w:p>
        </w:tc>
        <w:tc>
          <w:tcPr/>
          <w:p>
            <w:pPr>
              <w:pStyle w:val="Compact"/>
              <w:jc w:val="left"/>
            </w:pPr>
            <w:r>
              <w:t xml:space="preserve">1971</w:t>
            </w:r>
          </w:p>
        </w:tc>
      </w:tr>
      <w:tr>
        <w:tc>
          <w:tcPr/>
          <w:p>
            <w:pPr>
              <w:pStyle w:val="Compact"/>
              <w:jc w:val="left"/>
            </w:pPr>
            <w:r>
              <w:t xml:space="preserve">WALCL</w:t>
            </w:r>
          </w:p>
        </w:tc>
        <w:tc>
          <w:tcPr/>
          <w:p>
            <w:pPr>
              <w:pStyle w:val="Compact"/>
              <w:jc w:val="left"/>
            </w:pPr>
            <w:r>
              <w:t xml:space="preserve">Fed Total Assets</w:t>
            </w:r>
          </w:p>
        </w:tc>
        <w:tc>
          <w:tcPr/>
          <w:p>
            <w:pPr>
              <w:pStyle w:val="Compact"/>
              <w:jc w:val="left"/>
            </w:pPr>
            <w:r>
              <w:t xml:space="preserve">Policy</w:t>
            </w:r>
          </w:p>
        </w:tc>
        <w:tc>
          <w:tcPr/>
          <w:p>
            <w:pPr>
              <w:pStyle w:val="Compact"/>
              <w:jc w:val="left"/>
            </w:pPr>
            <w:r>
              <w:t xml:space="preserve">2002</w:t>
            </w:r>
          </w:p>
        </w:tc>
      </w:tr>
      <w:tr>
        <w:tc>
          <w:tcPr/>
          <w:p>
            <w:pPr>
              <w:pStyle w:val="Compact"/>
              <w:jc w:val="left"/>
            </w:pPr>
            <w:r>
              <w:t xml:space="preserve">BOGMBASE</w:t>
            </w:r>
          </w:p>
        </w:tc>
        <w:tc>
          <w:tcPr/>
          <w:p>
            <w:pPr>
              <w:pStyle w:val="Compact"/>
              <w:jc w:val="left"/>
            </w:pPr>
            <w:r>
              <w:t xml:space="preserve">Monetary Base</w:t>
            </w:r>
          </w:p>
        </w:tc>
        <w:tc>
          <w:tcPr/>
          <w:p>
            <w:pPr>
              <w:pStyle w:val="Compact"/>
              <w:jc w:val="left"/>
            </w:pPr>
            <w:r>
              <w:t xml:space="preserve">Policy</w:t>
            </w:r>
          </w:p>
        </w:tc>
        <w:tc>
          <w:tcPr/>
          <w:p>
            <w:pPr>
              <w:pStyle w:val="Compact"/>
              <w:jc w:val="left"/>
            </w:pPr>
            <w:r>
              <w:t xml:space="preserve">1918</w:t>
            </w:r>
          </w:p>
        </w:tc>
      </w:tr>
      <w:tr>
        <w:tc>
          <w:tcPr/>
          <w:p>
            <w:pPr>
              <w:pStyle w:val="Compact"/>
              <w:jc w:val="left"/>
            </w:pPr>
            <w:r>
              <w:t xml:space="preserve">INTDSRUSM193N</w:t>
            </w:r>
          </w:p>
        </w:tc>
        <w:tc>
          <w:tcPr/>
          <w:p>
            <w:pPr>
              <w:pStyle w:val="Compact"/>
              <w:jc w:val="left"/>
            </w:pPr>
            <w:r>
              <w:t xml:space="preserve">Fed Discount Rate</w:t>
            </w:r>
          </w:p>
        </w:tc>
        <w:tc>
          <w:tcPr/>
          <w:p>
            <w:pPr>
              <w:pStyle w:val="Compact"/>
              <w:jc w:val="left"/>
            </w:pPr>
            <w:r>
              <w:t xml:space="preserve">Policy</w:t>
            </w:r>
          </w:p>
        </w:tc>
        <w:tc>
          <w:tcPr/>
          <w:p>
            <w:pPr>
              <w:pStyle w:val="Compact"/>
              <w:jc w:val="left"/>
            </w:pPr>
            <w:r>
              <w:t xml:space="preserve">1913</w:t>
            </w:r>
          </w:p>
        </w:tc>
      </w:tr>
      <w:tr>
        <w:tc>
          <w:tcPr/>
          <w:p>
            <w:pPr>
              <w:pStyle w:val="Compact"/>
              <w:jc w:val="left"/>
            </w:pPr>
            <w:r>
              <w:t xml:space="preserve">GDPA</w:t>
            </w:r>
          </w:p>
        </w:tc>
        <w:tc>
          <w:tcPr/>
          <w:p>
            <w:pPr>
              <w:pStyle w:val="Compact"/>
              <w:jc w:val="left"/>
            </w:pPr>
            <w:r>
              <w:t xml:space="preserve">Annual GDP</w:t>
            </w:r>
          </w:p>
        </w:tc>
        <w:tc>
          <w:tcPr/>
          <w:p>
            <w:pPr>
              <w:pStyle w:val="Compact"/>
              <w:jc w:val="left"/>
            </w:pPr>
            <w:r>
              <w:t xml:space="preserve">Policy, Positioning</w:t>
            </w:r>
          </w:p>
        </w:tc>
        <w:tc>
          <w:tcPr/>
          <w:p>
            <w:pPr>
              <w:pStyle w:val="Compact"/>
              <w:jc w:val="left"/>
            </w:pPr>
            <w:r>
              <w:t xml:space="preserve">1929</w:t>
            </w:r>
          </w:p>
        </w:tc>
      </w:tr>
      <w:tr>
        <w:tc>
          <w:tcPr/>
          <w:p>
            <w:pPr>
              <w:pStyle w:val="Compact"/>
              <w:jc w:val="left"/>
            </w:pPr>
            <w:r>
              <w:t xml:space="preserve">IRLTLT01USM156N</w:t>
            </w:r>
          </w:p>
        </w:tc>
        <w:tc>
          <w:tcPr/>
          <w:p>
            <w:pPr>
              <w:pStyle w:val="Compact"/>
              <w:jc w:val="left"/>
            </w:pPr>
            <w:r>
              <w:t xml:space="preserve">Long-term Govt Bond Yield</w:t>
            </w:r>
          </w:p>
        </w:tc>
        <w:tc>
          <w:tcPr/>
          <w:p>
            <w:pPr>
              <w:pStyle w:val="Compact"/>
              <w:jc w:val="left"/>
            </w:pPr>
            <w:r>
              <w:t xml:space="preserve">Valuation</w:t>
            </w:r>
          </w:p>
        </w:tc>
        <w:tc>
          <w:tcPr/>
          <w:p>
            <w:pPr>
              <w:pStyle w:val="Compact"/>
              <w:jc w:val="left"/>
            </w:pPr>
            <w:r>
              <w:t xml:space="preserve">1920</w:t>
            </w:r>
          </w:p>
        </w:tc>
      </w:tr>
      <w:tr>
        <w:tc>
          <w:tcPr/>
          <w:p>
            <w:pPr>
              <w:pStyle w:val="Compact"/>
              <w:jc w:val="left"/>
            </w:pPr>
            <w:r>
              <w:t xml:space="preserve">DRTSCIS</w:t>
            </w:r>
          </w:p>
        </w:tc>
        <w:tc>
          <w:tcPr/>
          <w:p>
            <w:pPr>
              <w:pStyle w:val="Compact"/>
              <w:jc w:val="left"/>
            </w:pPr>
            <w:r>
              <w:t xml:space="preserve">SLOOS C&amp;I Standards (Small)</w:t>
            </w:r>
          </w:p>
        </w:tc>
        <w:tc>
          <w:tcPr/>
          <w:p>
            <w:pPr>
              <w:pStyle w:val="Compact"/>
              <w:jc w:val="left"/>
            </w:pPr>
            <w:r>
              <w:t xml:space="preserve">Private Credit</w:t>
            </w:r>
          </w:p>
        </w:tc>
        <w:tc>
          <w:tcPr/>
          <w:p>
            <w:pPr>
              <w:pStyle w:val="Compact"/>
              <w:jc w:val="left"/>
            </w:pPr>
            <w:r>
              <w:t xml:space="preserve">~1990</w:t>
            </w:r>
          </w:p>
        </w:tc>
      </w:tr>
      <w:tr>
        <w:tc>
          <w:tcPr/>
          <w:p>
            <w:pPr>
              <w:pStyle w:val="Compact"/>
              <w:jc w:val="left"/>
            </w:pPr>
            <w:r>
              <w:t xml:space="preserve">DRISCFS</w:t>
            </w:r>
          </w:p>
        </w:tc>
        <w:tc>
          <w:tcPr/>
          <w:p>
            <w:pPr>
              <w:pStyle w:val="Compact"/>
              <w:jc w:val="left"/>
            </w:pPr>
            <w:r>
              <w:t xml:space="preserve">SLOOS Spreads (Small)</w:t>
            </w:r>
          </w:p>
        </w:tc>
        <w:tc>
          <w:tcPr/>
          <w:p>
            <w:pPr>
              <w:pStyle w:val="Compact"/>
              <w:jc w:val="left"/>
            </w:pPr>
            <w:r>
              <w:t xml:space="preserve">Private Credit</w:t>
            </w:r>
          </w:p>
        </w:tc>
        <w:tc>
          <w:tcPr/>
          <w:p>
            <w:pPr>
              <w:pStyle w:val="Compact"/>
              <w:jc w:val="left"/>
            </w:pPr>
            <w:r>
              <w:t xml:space="preserve">~1990</w:t>
            </w:r>
          </w:p>
        </w:tc>
      </w:tr>
      <w:tr>
        <w:tc>
          <w:tcPr/>
          <w:p>
            <w:pPr>
              <w:pStyle w:val="Compact"/>
              <w:jc w:val="left"/>
            </w:pPr>
            <w:r>
              <w:t xml:space="preserve">BOGZ1FL623069503Q</w:t>
            </w:r>
          </w:p>
        </w:tc>
        <w:tc>
          <w:tcPr/>
          <w:p>
            <w:pPr>
              <w:pStyle w:val="Compact"/>
              <w:jc w:val="left"/>
            </w:pPr>
            <w:r>
              <w:t xml:space="preserve">HF Leveraged Loan Holdings</w:t>
            </w:r>
          </w:p>
        </w:tc>
        <w:tc>
          <w:tcPr/>
          <w:p>
            <w:pPr>
              <w:pStyle w:val="Compact"/>
              <w:jc w:val="left"/>
            </w:pPr>
            <w:r>
              <w:t xml:space="preserve">Private Credit</w:t>
            </w:r>
          </w:p>
        </w:tc>
        <w:tc>
          <w:tcPr/>
          <w:p>
            <w:pPr>
              <w:pStyle w:val="Compact"/>
              <w:jc w:val="left"/>
            </w:pPr>
            <w:r>
              <w:t xml:space="preserve">~2000</w:t>
            </w:r>
          </w:p>
        </w:tc>
      </w:tr>
      <w:tr>
        <w:tc>
          <w:tcPr/>
          <w:p>
            <w:pPr>
              <w:pStyle w:val="Compact"/>
              <w:jc w:val="left"/>
            </w:pPr>
            <w:r>
              <w:t xml:space="preserve">DTWEXBGS</w:t>
            </w:r>
          </w:p>
        </w:tc>
        <w:tc>
          <w:tcPr/>
          <w:p>
            <w:pPr>
              <w:pStyle w:val="Compact"/>
              <w:jc w:val="left"/>
            </w:pPr>
            <w:r>
              <w:t xml:space="preserve">Trade Weighted Dollar</w:t>
            </w:r>
          </w:p>
        </w:tc>
        <w:tc>
          <w:tcPr/>
          <w:p>
            <w:pPr>
              <w:pStyle w:val="Compact"/>
              <w:jc w:val="left"/>
            </w:pPr>
            <w:r>
              <w:t xml:space="preserve">Contagion</w:t>
            </w:r>
          </w:p>
        </w:tc>
        <w:tc>
          <w:tcPr/>
          <w:p>
            <w:pPr>
              <w:pStyle w:val="Compact"/>
              <w:jc w:val="left"/>
            </w:pPr>
            <w:r>
              <w:t xml:space="preserve">1973</w:t>
            </w:r>
          </w:p>
        </w:tc>
      </w:tr>
      <w:tr>
        <w:tc>
          <w:tcPr/>
          <w:p>
            <w:pPr>
              <w:pStyle w:val="Compact"/>
              <w:jc w:val="left"/>
            </w:pPr>
            <w:r>
              <w:t xml:space="preserve">BAMLEMCBPIOAS</w:t>
            </w:r>
          </w:p>
        </w:tc>
        <w:tc>
          <w:tcPr/>
          <w:p>
            <w:pPr>
              <w:pStyle w:val="Compact"/>
              <w:jc w:val="left"/>
            </w:pPr>
            <w:r>
              <w:t xml:space="preserve">ICE BofA EM OAS</w:t>
            </w:r>
          </w:p>
        </w:tc>
        <w:tc>
          <w:tcPr/>
          <w:p>
            <w:pPr>
              <w:pStyle w:val="Compact"/>
              <w:jc w:val="left"/>
            </w:pPr>
            <w:r>
              <w:t xml:space="preserve">Contagion</w:t>
            </w:r>
          </w:p>
        </w:tc>
        <w:tc>
          <w:tcPr/>
          <w:p>
            <w:pPr>
              <w:pStyle w:val="Compact"/>
              <w:jc w:val="left"/>
            </w:pPr>
            <w:r>
              <w:t xml:space="preserve">1998</w:t>
            </w:r>
          </w:p>
        </w:tc>
      </w:tr>
    </w:tbl>
    <w:bookmarkEnd w:id="108"/>
    <w:bookmarkStart w:id="109" w:name="data-quality-and-caching"/>
    <w:p>
      <w:pPr>
        <w:pStyle w:val="Heading3"/>
      </w:pPr>
      <w:r>
        <w:t xml:space="preserve">11.3 Data Quality and Caching</w:t>
      </w:r>
    </w:p>
    <w:p>
      <w:pPr>
        <w:pStyle w:val="FirstParagraph"/>
      </w:pPr>
      <w:r>
        <w:t xml:space="preserve">The</w:t>
      </w:r>
      <w:r>
        <w:t xml:space="preserve"> </w:t>
      </w:r>
      <w:r>
        <w:rPr>
          <w:rStyle w:val="VerbatimChar"/>
        </w:rPr>
        <w:t xml:space="preserve">FREDClient</w:t>
      </w:r>
      <w:r>
        <w:t xml:space="preserve"> </w:t>
      </w:r>
      <w:r>
        <w:t xml:space="preserve">implements:</w:t>
      </w:r>
      <w:r>
        <w:t xml:space="preserve"> </w:t>
      </w:r>
      <w:r>
        <w:t xml:space="preserve">-</w:t>
      </w:r>
      <w:r>
        <w:t xml:space="preserve"> </w:t>
      </w:r>
      <w:r>
        <w:rPr>
          <w:bCs/>
          <w:b/>
        </w:rPr>
        <w:t xml:space="preserve">Prefetch mode:</w:t>
      </w:r>
      <w:r>
        <w:t xml:space="preserve"> </w:t>
      </w:r>
      <w:r>
        <w:t xml:space="preserve">all series loaded in a single batch for a date range, reducing API calls from ~30 per date to 1 per backtest</w:t>
      </w:r>
      <w:r>
        <w:t xml:space="preserve"> </w:t>
      </w:r>
      <w:r>
        <w:t xml:space="preserve">-</w:t>
      </w:r>
      <w:r>
        <w:t xml:space="preserve"> </w:t>
      </w:r>
      <w:r>
        <w:rPr>
          <w:bCs/>
          <w:b/>
        </w:rPr>
        <w:t xml:space="preserve">Local caching:</w:t>
      </w:r>
      <w:r>
        <w:t xml:space="preserve"> </w:t>
      </w:r>
      <w:r>
        <w:t xml:space="preserve">series cached in</w:t>
      </w:r>
      <w:r>
        <w:t xml:space="preserve"> </w:t>
      </w:r>
      <w:r>
        <w:rPr>
          <w:rStyle w:val="VerbatimChar"/>
        </w:rPr>
        <w:t xml:space="preserve">data/fred_cache/</w:t>
      </w:r>
      <w:r>
        <w:t xml:space="preserve"> </w:t>
      </w:r>
      <w:r>
        <w:t xml:space="preserve">to avoid redundant downloads</w:t>
      </w:r>
      <w:r>
        <w:t xml:space="preserve"> </w:t>
      </w:r>
      <w:r>
        <w:t xml:space="preserve">-</w:t>
      </w:r>
      <w:r>
        <w:t xml:space="preserve"> </w:t>
      </w:r>
      <w:r>
        <w:rPr>
          <w:bCs/>
          <w:b/>
        </w:rPr>
        <w:t xml:space="preserve">Backtest mode:</w:t>
      </w:r>
      <w:r>
        <w:t xml:space="preserve"> </w:t>
      </w:r>
      <w:r>
        <w:t xml:space="preserve">once prefetched, the client serves data from memory without API calls</w:t>
      </w:r>
      <w:r>
        <w:t xml:space="preserve"> </w:t>
      </w:r>
      <w:r>
        <w:t xml:space="preserve">-</w:t>
      </w:r>
      <w:r>
        <w:t xml:space="preserve"> </w:t>
      </w:r>
      <w:r>
        <w:rPr>
          <w:bCs/>
          <w:b/>
        </w:rPr>
        <w:t xml:space="preserve">Validation:</w:t>
      </w:r>
      <w:r>
        <w:t xml:space="preserve"> </w:t>
      </w:r>
      <w:r>
        <w:t xml:space="preserve">a</w:t>
      </w:r>
      <w:r>
        <w:t xml:space="preserve"> </w:t>
      </w:r>
      <w:r>
        <w:rPr>
          <w:rStyle w:val="VerbatimChar"/>
        </w:rPr>
        <w:t xml:space="preserve">--validate</w:t>
      </w:r>
      <w:r>
        <w:t xml:space="preserve"> </w:t>
      </w:r>
      <w:r>
        <w:t xml:space="preserve">flag checks cached data coverage before running backtests</w:t>
      </w:r>
    </w:p>
    <w:p>
      <w:r>
        <w:pict>
          <v:rect style="width:0;height:1.5pt" o:hralign="center" o:hrstd="t" o:hr="t"/>
        </w:pict>
      </w:r>
    </w:p>
    <w:bookmarkEnd w:id="109"/>
    <w:bookmarkEnd w:id="110"/>
    <w:bookmarkStart w:id="116" w:name="historical-proxy-chains-19071997"/>
    <w:p>
      <w:pPr>
        <w:pStyle w:val="Heading2"/>
      </w:pPr>
      <w:r>
        <w:t xml:space="preserve">12. Historical Proxy Chains (1907–1997)</w:t>
      </w:r>
    </w:p>
    <w:bookmarkStart w:id="111" w:name="era-definitions"/>
    <w:p>
      <w:pPr>
        <w:pStyle w:val="Heading3"/>
      </w:pPr>
      <w:r>
        <w:t xml:space="preserve">12.1 Era Definitions</w:t>
      </w:r>
    </w:p>
    <w:p>
      <w:pPr>
        <w:pStyle w:val="FirstParagraph"/>
      </w:pPr>
      <w:r>
        <w:t xml:space="preserve">The framework defines 10 structural eras based on breaks in data availability and market structure:</w:t>
      </w:r>
    </w:p>
    <w:tbl>
      <w:tblPr>
        <w:tblStyle w:val="Table"/>
        <w:tblW w:type="pct" w:w="5000"/>
        <w:tblLook w:firstRow="1" w:lastRow="0" w:firstColumn="0" w:lastColumn="0" w:noHBand="0" w:noVBand="0" w:val="0020"/>
        <w:jc w:val="start"/>
      </w:tblPr>
      <w:tblGrid>
        <w:gridCol w:w="1200"/>
        <w:gridCol w:w="1920"/>
        <w:gridCol w:w="4800"/>
      </w:tblGrid>
      <w:tr>
        <w:trPr>
          <w:tblHeader w:val="true"/>
        </w:trPr>
        <w:tc>
          <w:tcPr/>
          <w:p>
            <w:pPr>
              <w:pStyle w:val="Compact"/>
              <w:jc w:val="left"/>
            </w:pPr>
            <w:r>
              <w:t xml:space="preserve">Era</w:t>
            </w:r>
          </w:p>
        </w:tc>
        <w:tc>
          <w:tcPr/>
          <w:p>
            <w:pPr>
              <w:pStyle w:val="Compact"/>
              <w:jc w:val="left"/>
            </w:pPr>
            <w:r>
              <w:t xml:space="preserve">Period</w:t>
            </w:r>
          </w:p>
        </w:tc>
        <w:tc>
          <w:tcPr/>
          <w:p>
            <w:pPr>
              <w:pStyle w:val="Compact"/>
              <w:jc w:val="left"/>
            </w:pPr>
            <w:r>
              <w:t xml:space="preserve">Key Characteristic</w:t>
            </w:r>
          </w:p>
        </w:tc>
      </w:tr>
      <w:tr>
        <w:tc>
          <w:tcPr/>
          <w:p>
            <w:pPr>
              <w:pStyle w:val="Compact"/>
              <w:jc w:val="left"/>
            </w:pPr>
            <w:r>
              <w:t xml:space="preserve">Pre-Fed</w:t>
            </w:r>
          </w:p>
        </w:tc>
        <w:tc>
          <w:tcPr/>
          <w:p>
            <w:pPr>
              <w:pStyle w:val="Compact"/>
              <w:jc w:val="left"/>
            </w:pPr>
            <w:r>
              <w:t xml:space="preserve">1907–1913</w:t>
            </w:r>
          </w:p>
        </w:tc>
        <w:tc>
          <w:tcPr/>
          <w:p>
            <w:pPr>
              <w:pStyle w:val="Compact"/>
              <w:jc w:val="left"/>
            </w:pPr>
            <w:r>
              <w:t xml:space="preserve">No central bank; gold standard</w:t>
            </w:r>
          </w:p>
        </w:tc>
      </w:tr>
      <w:tr>
        <w:tc>
          <w:tcPr/>
          <w:p>
            <w:pPr>
              <w:pStyle w:val="Compact"/>
              <w:jc w:val="left"/>
            </w:pPr>
            <w:r>
              <w:t xml:space="preserve">Early Fed / WWI</w:t>
            </w:r>
          </w:p>
        </w:tc>
        <w:tc>
          <w:tcPr/>
          <w:p>
            <w:pPr>
              <w:pStyle w:val="Compact"/>
              <w:jc w:val="left"/>
            </w:pPr>
            <w:r>
              <w:t xml:space="preserve">1913–1919</w:t>
            </w:r>
          </w:p>
        </w:tc>
        <w:tc>
          <w:tcPr/>
          <w:p>
            <w:pPr>
              <w:pStyle w:val="Compact"/>
              <w:jc w:val="left"/>
            </w:pPr>
            <w:r>
              <w:t xml:space="preserve">Fed opens; wartime controls</w:t>
            </w:r>
          </w:p>
        </w:tc>
      </w:tr>
      <w:tr>
        <w:tc>
          <w:tcPr/>
          <w:p>
            <w:pPr>
              <w:pStyle w:val="Compact"/>
              <w:jc w:val="left"/>
            </w:pPr>
            <w:r>
              <w:t xml:space="preserve">Interwar / Depression</w:t>
            </w:r>
          </w:p>
        </w:tc>
        <w:tc>
          <w:tcPr/>
          <w:p>
            <w:pPr>
              <w:pStyle w:val="Compact"/>
              <w:jc w:val="left"/>
            </w:pPr>
            <w:r>
              <w:t xml:space="preserve">1920–1934</w:t>
            </w:r>
          </w:p>
        </w:tc>
        <w:tc>
          <w:tcPr/>
          <w:p>
            <w:pPr>
              <w:pStyle w:val="Compact"/>
              <w:jc w:val="left"/>
            </w:pPr>
            <w:r>
              <w:t xml:space="preserve">Moody’s credit data begins</w:t>
            </w:r>
          </w:p>
        </w:tc>
      </w:tr>
      <w:tr>
        <w:tc>
          <w:tcPr/>
          <w:p>
            <w:pPr>
              <w:pStyle w:val="Compact"/>
              <w:jc w:val="left"/>
            </w:pPr>
            <w:r>
              <w:t xml:space="preserve">New Deal / WWII</w:t>
            </w:r>
          </w:p>
        </w:tc>
        <w:tc>
          <w:tcPr/>
          <w:p>
            <w:pPr>
              <w:pStyle w:val="Compact"/>
              <w:jc w:val="left"/>
            </w:pPr>
            <w:r>
              <w:t xml:space="preserve">1934–1954</w:t>
            </w:r>
          </w:p>
        </w:tc>
        <w:tc>
          <w:tcPr/>
          <w:p>
            <w:pPr>
              <w:pStyle w:val="Compact"/>
              <w:jc w:val="left"/>
            </w:pPr>
            <w:r>
              <w:t xml:space="preserve">T-Bills issued; SEC created</w:t>
            </w:r>
          </w:p>
        </w:tc>
      </w:tr>
      <w:tr>
        <w:tc>
          <w:tcPr/>
          <w:p>
            <w:pPr>
              <w:pStyle w:val="Compact"/>
              <w:jc w:val="left"/>
            </w:pPr>
            <w:r>
              <w:t xml:space="preserve">Post-War / Bretton Woods</w:t>
            </w:r>
          </w:p>
        </w:tc>
        <w:tc>
          <w:tcPr/>
          <w:p>
            <w:pPr>
              <w:pStyle w:val="Compact"/>
              <w:jc w:val="left"/>
            </w:pPr>
            <w:r>
              <w:t xml:space="preserve">1954–1971</w:t>
            </w:r>
          </w:p>
        </w:tc>
        <w:tc>
          <w:tcPr/>
          <w:p>
            <w:pPr>
              <w:pStyle w:val="Compact"/>
              <w:jc w:val="left"/>
            </w:pPr>
            <w:r>
              <w:t xml:space="preserve">Fed Funds daily; modern Treasury market</w:t>
            </w:r>
          </w:p>
        </w:tc>
      </w:tr>
      <w:tr>
        <w:tc>
          <w:tcPr/>
          <w:p>
            <w:pPr>
              <w:pStyle w:val="Compact"/>
              <w:jc w:val="left"/>
            </w:pPr>
            <w:r>
              <w:t xml:space="preserve">Post-Bretton Woods</w:t>
            </w:r>
          </w:p>
        </w:tc>
        <w:tc>
          <w:tcPr/>
          <w:p>
            <w:pPr>
              <w:pStyle w:val="Compact"/>
              <w:jc w:val="left"/>
            </w:pPr>
            <w:r>
              <w:t xml:space="preserve">1971–1990</w:t>
            </w:r>
          </w:p>
        </w:tc>
        <w:tc>
          <w:tcPr/>
          <w:p>
            <w:pPr>
              <w:pStyle w:val="Compact"/>
              <w:jc w:val="left"/>
            </w:pPr>
            <w:r>
              <w:t xml:space="preserve">Floating rates; NASDAQ realised vol</w:t>
            </w:r>
          </w:p>
        </w:tc>
      </w:tr>
      <w:tr>
        <w:tc>
          <w:tcPr/>
          <w:p>
            <w:pPr>
              <w:pStyle w:val="Compact"/>
              <w:jc w:val="left"/>
            </w:pPr>
            <w:r>
              <w:t xml:space="preserve">Modern (early)</w:t>
            </w:r>
          </w:p>
        </w:tc>
        <w:tc>
          <w:tcPr/>
          <w:p>
            <w:pPr>
              <w:pStyle w:val="Compact"/>
              <w:jc w:val="left"/>
            </w:pPr>
            <w:r>
              <w:t xml:space="preserve">1990–1997</w:t>
            </w:r>
          </w:p>
        </w:tc>
        <w:tc>
          <w:tcPr/>
          <w:p>
            <w:pPr>
              <w:pStyle w:val="Compact"/>
              <w:jc w:val="left"/>
            </w:pPr>
            <w:r>
              <w:t xml:space="preserve">VIX introduced</w:t>
            </w:r>
          </w:p>
        </w:tc>
      </w:tr>
      <w:tr>
        <w:tc>
          <w:tcPr/>
          <w:p>
            <w:pPr>
              <w:pStyle w:val="Compact"/>
              <w:jc w:val="left"/>
            </w:pPr>
            <w:r>
              <w:t xml:space="preserve">Modern (middle)</w:t>
            </w:r>
          </w:p>
        </w:tc>
        <w:tc>
          <w:tcPr/>
          <w:p>
            <w:pPr>
              <w:pStyle w:val="Compact"/>
              <w:jc w:val="left"/>
            </w:pPr>
            <w:r>
              <w:t xml:space="preserve">1997–2006</w:t>
            </w:r>
          </w:p>
        </w:tc>
        <w:tc>
          <w:tcPr/>
          <w:p>
            <w:pPr>
              <w:pStyle w:val="Compact"/>
              <w:jc w:val="left"/>
            </w:pPr>
            <w:r>
              <w:t xml:space="preserve">TED spread; ICE BofA indices</w:t>
            </w:r>
          </w:p>
        </w:tc>
      </w:tr>
      <w:tr>
        <w:tc>
          <w:tcPr/>
          <w:p>
            <w:pPr>
              <w:pStyle w:val="Compact"/>
              <w:jc w:val="left"/>
            </w:pPr>
            <w:r>
              <w:t xml:space="preserve">Modern (pre-SOFR)</w:t>
            </w:r>
          </w:p>
        </w:tc>
        <w:tc>
          <w:tcPr/>
          <w:p>
            <w:pPr>
              <w:pStyle w:val="Compact"/>
              <w:jc w:val="left"/>
            </w:pPr>
            <w:r>
              <w:t xml:space="preserve">2006–2018</w:t>
            </w:r>
          </w:p>
        </w:tc>
        <w:tc>
          <w:tcPr/>
          <w:p>
            <w:pPr>
              <w:pStyle w:val="Compact"/>
              <w:jc w:val="left"/>
            </w:pPr>
            <w:r>
              <w:t xml:space="preserve">Full data; LIBOR-OIS; SVXY</w:t>
            </w:r>
          </w:p>
        </w:tc>
      </w:tr>
      <w:tr>
        <w:tc>
          <w:tcPr/>
          <w:p>
            <w:pPr>
              <w:pStyle w:val="Compact"/>
              <w:jc w:val="left"/>
            </w:pPr>
            <w:r>
              <w:t xml:space="preserve">Modern (SOFR)</w:t>
            </w:r>
          </w:p>
        </w:tc>
        <w:tc>
          <w:tcPr/>
          <w:p>
            <w:pPr>
              <w:pStyle w:val="Compact"/>
              <w:jc w:val="left"/>
            </w:pPr>
            <w:r>
              <w:t xml:space="preserve">2018–present</w:t>
            </w:r>
          </w:p>
        </w:tc>
        <w:tc>
          <w:tcPr/>
          <w:p>
            <w:pPr>
              <w:pStyle w:val="Compact"/>
              <w:jc w:val="left"/>
            </w:pPr>
            <w:r>
              <w:t xml:space="preserve">Full instrumentation</w:t>
            </w:r>
          </w:p>
        </w:tc>
      </w:tr>
    </w:tbl>
    <w:bookmarkEnd w:id="111"/>
    <w:bookmarkStart w:id="112" w:name="pillar-data-availability-by-era"/>
    <w:p>
      <w:pPr>
        <w:pStyle w:val="Heading3"/>
      </w:pPr>
      <w:r>
        <w:t xml:space="preserve">12.2 Pillar Data Availability by Era</w:t>
      </w:r>
    </w:p>
    <w:tbl>
      <w:tblPr>
        <w:tblStyle w:val="Table"/>
        <w:tblW w:type="auto" w:w="0"/>
        <w:tblLook w:firstRow="1" w:lastRow="0" w:firstColumn="0" w:lastColumn="0" w:noHBand="0" w:noVBand="0" w:val="0020"/>
        <w:jc w:val="start"/>
      </w:tblPr>
      <w:tblGrid>
        <w:gridCol w:w="990"/>
        <w:gridCol w:w="990"/>
        <w:gridCol w:w="990"/>
        <w:gridCol w:w="990"/>
        <w:gridCol w:w="990"/>
        <w:gridCol w:w="990"/>
        <w:gridCol w:w="990"/>
        <w:gridCol w:w="990"/>
      </w:tblGrid>
      <w:tr>
        <w:trPr>
          <w:tblHeader w:val="true"/>
        </w:trPr>
        <w:tc>
          <w:tcPr/>
          <w:p>
            <w:pPr>
              <w:pStyle w:val="Compact"/>
              <w:jc w:val="left"/>
            </w:pPr>
            <w:r>
              <w:t xml:space="preserve">Era</w:t>
            </w:r>
          </w:p>
        </w:tc>
        <w:tc>
          <w:tcPr/>
          <w:p>
            <w:pPr>
              <w:pStyle w:val="Compact"/>
              <w:jc w:val="left"/>
            </w:pPr>
            <w:r>
              <w:t xml:space="preserve">Liq</w:t>
            </w:r>
          </w:p>
        </w:tc>
        <w:tc>
          <w:tcPr/>
          <w:p>
            <w:pPr>
              <w:pStyle w:val="Compact"/>
              <w:jc w:val="left"/>
            </w:pPr>
            <w:r>
              <w:t xml:space="preserve">Val</w:t>
            </w:r>
          </w:p>
        </w:tc>
        <w:tc>
          <w:tcPr/>
          <w:p>
            <w:pPr>
              <w:pStyle w:val="Compact"/>
              <w:jc w:val="left"/>
            </w:pPr>
            <w:r>
              <w:t xml:space="preserve">Vol</w:t>
            </w:r>
          </w:p>
        </w:tc>
        <w:tc>
          <w:tcPr/>
          <w:p>
            <w:pPr>
              <w:pStyle w:val="Compact"/>
              <w:jc w:val="left"/>
            </w:pPr>
            <w:r>
              <w:t xml:space="preserve">Pol</w:t>
            </w:r>
          </w:p>
        </w:tc>
        <w:tc>
          <w:tcPr/>
          <w:p>
            <w:pPr>
              <w:pStyle w:val="Compact"/>
              <w:jc w:val="left"/>
            </w:pPr>
            <w:r>
              <w:t xml:space="preserve">Pos</w:t>
            </w:r>
          </w:p>
        </w:tc>
        <w:tc>
          <w:tcPr/>
          <w:p>
            <w:pPr>
              <w:pStyle w:val="Compact"/>
              <w:jc w:val="left"/>
            </w:pPr>
            <w:r>
              <w:t xml:space="preserve">Cnt</w:t>
            </w:r>
          </w:p>
        </w:tc>
        <w:tc>
          <w:tcPr/>
          <w:p>
            <w:pPr>
              <w:pStyle w:val="Compact"/>
              <w:jc w:val="left"/>
            </w:pPr>
            <w:r>
              <w:t xml:space="preserve">PvtCr</w:t>
            </w:r>
          </w:p>
        </w:tc>
      </w:tr>
      <w:tr>
        <w:tc>
          <w:tcPr/>
          <w:p>
            <w:pPr>
              <w:pStyle w:val="Compact"/>
              <w:jc w:val="left"/>
            </w:pPr>
            <w:r>
              <w:t xml:space="preserve">Pre-Fed (1907–1913)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Early Fed (1913–1919)</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Interwar (1920–1934)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New Deal / WWII (1934–1954)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Post-War (1954–1971)</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Post-Bretton Woods (1971–1990)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Modern (1990–2006)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Modern (2006+)</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t xml:space="preserve">* Pre-Fed policy receives a default score of 0.25 (no lender of last resort) rather than being excluded entirely, reflecting the structural absence of a central bank as a genuine risk factor.</w:t>
      </w:r>
    </w:p>
    <w:bookmarkEnd w:id="112"/>
    <w:bookmarkStart w:id="113" w:name="proxy-chain-detail"/>
    <w:p>
      <w:pPr>
        <w:pStyle w:val="Heading3"/>
      </w:pPr>
      <w:r>
        <w:t xml:space="preserve">12.3 Proxy Chain Detail</w:t>
      </w:r>
    </w:p>
    <w:p>
      <w:pPr>
        <w:pStyle w:val="FirstParagraph"/>
      </w:pPr>
      <w:r>
        <w:rPr>
          <w:bCs/>
          <w:b/>
        </w:rPr>
        <w:t xml:space="preserve">Indicator Proxy Chain (earliest available → modern native):</w:t>
      </w:r>
    </w:p>
    <w:tbl>
      <w:tblPr>
        <w:tblStyle w:val="Table"/>
        <w:tblW w:type="pct" w:w="5000"/>
        <w:tblLook w:firstRow="1" w:lastRow="0" w:firstColumn="0" w:lastColumn="0" w:noHBand="0" w:noVBand="0" w:val="0020"/>
        <w:jc w:val="start"/>
      </w:tblPr>
      <w:tblGrid>
        <w:gridCol w:w="1161"/>
        <w:gridCol w:w="1584"/>
        <w:gridCol w:w="1795"/>
        <w:gridCol w:w="1795"/>
        <w:gridCol w:w="1584"/>
      </w:tblGrid>
      <w:tr>
        <w:trPr>
          <w:tblHeader w:val="true"/>
        </w:trPr>
        <w:tc>
          <w:tcPr/>
          <w:p>
            <w:pPr>
              <w:pStyle w:val="Compact"/>
              <w:jc w:val="left"/>
            </w:pPr>
            <w:r>
              <w:t xml:space="preserve">Indicator</w:t>
            </w:r>
          </w:p>
        </w:tc>
        <w:tc>
          <w:tcPr/>
          <w:p>
            <w:pPr>
              <w:pStyle w:val="Compact"/>
              <w:jc w:val="left"/>
            </w:pPr>
            <w:r>
              <w:t xml:space="preserve">Pre-1919 Proxy</w:t>
            </w:r>
          </w:p>
        </w:tc>
        <w:tc>
          <w:tcPr/>
          <w:p>
            <w:pPr>
              <w:pStyle w:val="Compact"/>
              <w:jc w:val="left"/>
            </w:pPr>
            <w:r>
              <w:t xml:space="preserve">1919–1986 Proxy</w:t>
            </w:r>
          </w:p>
        </w:tc>
        <w:tc>
          <w:tcPr/>
          <w:p>
            <w:pPr>
              <w:pStyle w:val="Compact"/>
              <w:jc w:val="left"/>
            </w:pPr>
            <w:r>
              <w:t xml:space="preserve">1986–1997 Proxy</w:t>
            </w:r>
          </w:p>
        </w:tc>
        <w:tc>
          <w:tcPr/>
          <w:p>
            <w:pPr>
              <w:pStyle w:val="Compact"/>
              <w:jc w:val="left"/>
            </w:pPr>
            <w:r>
              <w:t xml:space="preserve">Native Series</w:t>
            </w:r>
          </w:p>
        </w:tc>
      </w:tr>
      <w:tr>
        <w:tc>
          <w:tcPr/>
          <w:p>
            <w:pPr>
              <w:pStyle w:val="Compact"/>
              <w:jc w:val="left"/>
            </w:pPr>
            <w:r>
              <w:t xml:space="preserve">VIX</w:t>
            </w:r>
          </w:p>
        </w:tc>
        <w:tc>
          <w:tcPr/>
          <w:p>
            <w:pPr>
              <w:pStyle w:val="Compact"/>
              <w:jc w:val="left"/>
            </w:pPr>
            <w:r>
              <w:t xml:space="preserve">Schwert vol × 1.3 VRP (from 1802)</w:t>
            </w:r>
          </w:p>
        </w:tc>
        <w:tc>
          <w:tcPr/>
          <w:p>
            <w:pPr>
              <w:pStyle w:val="Compact"/>
              <w:jc w:val="left"/>
            </w:pPr>
            <w:r>
              <w:t xml:space="preserve">NASDAQ RV × 1.2 VRP (from 1971)</w:t>
            </w:r>
          </w:p>
        </w:tc>
        <w:tc>
          <w:tcPr/>
          <w:p>
            <w:pPr>
              <w:pStyle w:val="Compact"/>
              <w:jc w:val="left"/>
            </w:pPr>
            <w:r>
              <w:t xml:space="preserve">VXO (from 1986)</w:t>
            </w:r>
          </w:p>
        </w:tc>
        <w:tc>
          <w:tcPr/>
          <w:p>
            <w:pPr>
              <w:pStyle w:val="Compact"/>
              <w:jc w:val="left"/>
            </w:pPr>
            <w:r>
              <w:t xml:space="preserve">VIXCLS (from 1990)</w:t>
            </w:r>
          </w:p>
        </w:tc>
      </w:tr>
      <w:tr>
        <w:tc>
          <w:tcPr/>
          <w:p>
            <w:pPr>
              <w:pStyle w:val="Compact"/>
              <w:jc w:val="left"/>
            </w:pPr>
            <w:r>
              <w:t xml:space="preserve">HY OAS</w:t>
            </w:r>
          </w:p>
        </w:tc>
        <w:tc>
          <w:tcPr/>
          <w:p>
            <w:pPr>
              <w:pStyle w:val="Compact"/>
              <w:jc w:val="left"/>
            </w:pPr>
            <w:r>
              <w:t xml:space="preserve">Railroad bond spread (from 1857)</w:t>
            </w:r>
          </w:p>
        </w:tc>
        <w:tc>
          <w:tcPr/>
          <w:p>
            <w:pPr>
              <w:pStyle w:val="Compact"/>
              <w:jc w:val="left"/>
            </w:pPr>
            <w:r>
              <w:t xml:space="preserve">(Baa−Aaa) × 4.5 (from 1919)</w:t>
            </w:r>
          </w:p>
        </w:tc>
        <w:tc>
          <w:tcPr/>
          <w:p>
            <w:pPr>
              <w:pStyle w:val="Compact"/>
              <w:jc w:val="left"/>
            </w:pPr>
            <w:r>
              <w:t xml:space="preserve">Same</w:t>
            </w:r>
          </w:p>
        </w:tc>
        <w:tc>
          <w:tcPr/>
          <w:p>
            <w:pPr>
              <w:pStyle w:val="Compact"/>
              <w:jc w:val="left"/>
            </w:pPr>
            <w:r>
              <w:t xml:space="preserve">BAMLH0A0HYM2 (from 1997)</w:t>
            </w:r>
          </w:p>
        </w:tc>
      </w:tr>
      <w:tr>
        <w:tc>
          <w:tcPr/>
          <w:p>
            <w:pPr>
              <w:pStyle w:val="Compact"/>
              <w:jc w:val="left"/>
            </w:pPr>
            <w:r>
              <w:t xml:space="preserve">IG OAS</w:t>
            </w:r>
          </w:p>
        </w:tc>
        <w:tc>
          <w:tcPr/>
          <w:p>
            <w:pPr>
              <w:pStyle w:val="Compact"/>
              <w:jc w:val="left"/>
            </w:pPr>
            <w:r>
              <w:t xml:space="preserve">Railroad bond spread</w:t>
            </w:r>
          </w:p>
        </w:tc>
        <w:tc>
          <w:tcPr/>
          <w:p>
            <w:pPr>
              <w:pStyle w:val="Compact"/>
              <w:jc w:val="left"/>
            </w:pPr>
            <w:r>
              <w:t xml:space="preserve">Baa−DGS10−40bp (from 1919)</w:t>
            </w:r>
          </w:p>
        </w:tc>
        <w:tc>
          <w:tcPr/>
          <w:p>
            <w:pPr>
              <w:pStyle w:val="Compact"/>
              <w:jc w:val="left"/>
            </w:pPr>
            <w:r>
              <w:t xml:space="preserve">Same</w:t>
            </w:r>
          </w:p>
        </w:tc>
        <w:tc>
          <w:tcPr/>
          <w:p>
            <w:pPr>
              <w:pStyle w:val="Compact"/>
              <w:jc w:val="left"/>
            </w:pPr>
            <w:r>
              <w:t xml:space="preserve">BAMLC0A0CM (from 1997)</w:t>
            </w:r>
          </w:p>
        </w:tc>
      </w:tr>
      <w:tr>
        <w:tc>
          <w:tcPr/>
          <w:p>
            <w:pPr>
              <w:pStyle w:val="Compact"/>
              <w:jc w:val="left"/>
            </w:pPr>
            <w:r>
              <w:t xml:space="preserve">SOFR–IORB</w:t>
            </w:r>
          </w:p>
        </w:tc>
        <w:tc>
          <w:tcPr/>
          <w:p>
            <w:pPr>
              <w:pStyle w:val="Compact"/>
              <w:jc w:val="left"/>
            </w:pPr>
            <w:r>
              <w:t xml:space="preserve">Call money−govt rate (from 1890)</w:t>
            </w:r>
          </w:p>
        </w:tc>
        <w:tc>
          <w:tcPr/>
          <w:p>
            <w:pPr>
              <w:pStyle w:val="Compact"/>
              <w:jc w:val="left"/>
            </w:pPr>
            <w:r>
              <w:t xml:space="preserve">FF−TB3MS (from 1954)</w:t>
            </w:r>
          </w:p>
        </w:tc>
        <w:tc>
          <w:tcPr/>
          <w:p>
            <w:pPr>
              <w:pStyle w:val="Compact"/>
              <w:jc w:val="left"/>
            </w:pPr>
            <w:r>
              <w:t xml:space="preserve">TED spread (from 1986)</w:t>
            </w:r>
          </w:p>
        </w:tc>
        <w:tc>
          <w:tcPr/>
          <w:p>
            <w:pPr>
              <w:pStyle w:val="Compact"/>
              <w:jc w:val="left"/>
            </w:pPr>
            <w:r>
              <w:t xml:space="preserve">SOFR−IORB (from 2018)</w:t>
            </w:r>
          </w:p>
        </w:tc>
      </w:tr>
      <w:tr>
        <w:tc>
          <w:tcPr/>
          <w:p>
            <w:pPr>
              <w:pStyle w:val="Compact"/>
              <w:jc w:val="left"/>
            </w:pPr>
            <w:r>
              <w:t xml:space="preserve">CP–Treasury</w:t>
            </w:r>
          </w:p>
        </w:tc>
        <w:tc>
          <w:tcPr/>
          <w:p>
            <w:pPr>
              <w:pStyle w:val="Compact"/>
              <w:jc w:val="left"/>
            </w:pPr>
            <w:r>
              <w:t xml:space="preserve">CP rate−govt rate (NBER, from 1890)</w:t>
            </w:r>
          </w:p>
        </w:tc>
        <w:tc>
          <w:tcPr/>
          <w:p>
            <w:pPr>
              <w:pStyle w:val="Compact"/>
              <w:jc w:val="left"/>
            </w:pPr>
            <w:r>
              <w:t xml:space="preserve">Same series extended</w:t>
            </w:r>
          </w:p>
        </w:tc>
        <w:tc>
          <w:tcPr/>
          <w:p>
            <w:pPr>
              <w:pStyle w:val="Compact"/>
              <w:jc w:val="left"/>
            </w:pPr>
            <w:r>
              <w:t xml:space="preserve">DCPF3M−DTB3</w:t>
            </w:r>
          </w:p>
        </w:tc>
        <w:tc>
          <w:tcPr/>
          <w:p>
            <w:pPr>
              <w:pStyle w:val="Compact"/>
              <w:jc w:val="left"/>
            </w:pPr>
            <w:r>
              <w:t xml:space="preserve">Same</w:t>
            </w:r>
          </w:p>
        </w:tc>
      </w:tr>
      <w:tr>
        <w:tc>
          <w:tcPr/>
          <w:p>
            <w:pPr>
              <w:pStyle w:val="Compact"/>
              <w:jc w:val="left"/>
            </w:pPr>
            <w:r>
              <w:t xml:space="preserve">Policy room</w:t>
            </w:r>
          </w:p>
        </w:tc>
        <w:tc>
          <w:tcPr/>
          <w:p>
            <w:pPr>
              <w:pStyle w:val="Compact"/>
              <w:jc w:val="left"/>
            </w:pPr>
            <w:r>
              <w:t xml:space="preserve">N/A (no Fed)</w:t>
            </w:r>
          </w:p>
        </w:tc>
        <w:tc>
          <w:tcPr/>
          <w:p>
            <w:pPr>
              <w:pStyle w:val="Compact"/>
              <w:jc w:val="left"/>
            </w:pPr>
            <w:r>
              <w:t xml:space="preserve">Discount rate (from 1913)</w:t>
            </w:r>
          </w:p>
        </w:tc>
        <w:tc>
          <w:tcPr/>
          <w:p>
            <w:pPr>
              <w:pStyle w:val="Compact"/>
              <w:jc w:val="left"/>
            </w:pPr>
            <w:r>
              <w:t xml:space="preserve">Fed Funds (from 1954)</w:t>
            </w:r>
          </w:p>
        </w:tc>
        <w:tc>
          <w:tcPr/>
          <w:p>
            <w:pPr>
              <w:pStyle w:val="Compact"/>
              <w:jc w:val="left"/>
            </w:pPr>
            <w:r>
              <w:t xml:space="preserve">DFF</w:t>
            </w:r>
          </w:p>
        </w:tc>
      </w:tr>
      <w:tr>
        <w:tc>
          <w:tcPr/>
          <w:p>
            <w:pPr>
              <w:pStyle w:val="Compact"/>
              <w:jc w:val="left"/>
            </w:pPr>
            <w:r>
              <w:t xml:space="preserve">B/S to GDP</w:t>
            </w:r>
          </w:p>
        </w:tc>
        <w:tc>
          <w:tcPr/>
          <w:p>
            <w:pPr>
              <w:pStyle w:val="Compact"/>
              <w:jc w:val="left"/>
            </w:pPr>
            <w:r>
              <w:t xml:space="preserve">N/A</w:t>
            </w:r>
          </w:p>
        </w:tc>
        <w:tc>
          <w:tcPr/>
          <w:p>
            <w:pPr>
              <w:pStyle w:val="Compact"/>
              <w:jc w:val="left"/>
            </w:pPr>
            <w:r>
              <w:t xml:space="preserve">Monetary base / GDP (from 1918)</w:t>
            </w:r>
          </w:p>
        </w:tc>
        <w:tc>
          <w:tcPr/>
          <w:p>
            <w:pPr>
              <w:pStyle w:val="Compact"/>
              <w:jc w:val="left"/>
            </w:pPr>
            <w:r>
              <w:t xml:space="preserve">Same</w:t>
            </w:r>
          </w:p>
        </w:tc>
        <w:tc>
          <w:tcPr/>
          <w:p>
            <w:pPr>
              <w:pStyle w:val="Compact"/>
              <w:jc w:val="left"/>
            </w:pPr>
            <w:r>
              <w:t xml:space="preserve">WALCL/GDP (from 2002)</w:t>
            </w:r>
          </w:p>
        </w:tc>
      </w:tr>
      <w:tr>
        <w:tc>
          <w:tcPr/>
          <w:p>
            <w:pPr>
              <w:pStyle w:val="Compact"/>
              <w:jc w:val="left"/>
            </w:pPr>
            <w:r>
              <w:t xml:space="preserve">Positioning</w:t>
            </w:r>
          </w:p>
        </w:tc>
        <w:tc>
          <w:tcPr/>
          <w:p>
            <w:pPr>
              <w:pStyle w:val="Compact"/>
              <w:jc w:val="left"/>
            </w:pPr>
            <w:r>
              <w:t xml:space="preserve">N/A</w:t>
            </w:r>
          </w:p>
        </w:tc>
        <w:tc>
          <w:tcPr/>
          <w:p>
            <w:pPr>
              <w:pStyle w:val="Compact"/>
              <w:jc w:val="left"/>
            </w:pPr>
            <w:r>
              <w:t xml:space="preserve">Margin debt / GDP (from 1918)</w:t>
            </w:r>
          </w:p>
        </w:tc>
        <w:tc>
          <w:tcPr/>
          <w:p>
            <w:pPr>
              <w:pStyle w:val="Compact"/>
              <w:jc w:val="left"/>
            </w:pPr>
            <w:r>
              <w:t xml:space="preserve">CFTC COT (from 1986)</w:t>
            </w:r>
          </w:p>
        </w:tc>
        <w:tc>
          <w:tcPr/>
          <w:p>
            <w:pPr>
              <w:pStyle w:val="Compact"/>
              <w:jc w:val="left"/>
            </w:pPr>
            <w:r>
              <w:t xml:space="preserve">Same</w:t>
            </w:r>
          </w:p>
        </w:tc>
      </w:tr>
      <w:tr>
        <w:tc>
          <w:tcPr/>
          <w:p>
            <w:pPr>
              <w:pStyle w:val="Compact"/>
              <w:jc w:val="left"/>
            </w:pPr>
            <w:r>
              <w:t xml:space="preserve">Contagion</w:t>
            </w:r>
          </w:p>
        </w:tc>
        <w:tc>
          <w:tcPr/>
          <w:p>
            <w:pPr>
              <w:pStyle w:val="Compact"/>
              <w:jc w:val="left"/>
            </w:pPr>
            <w:r>
              <w:t xml:space="preserve">GBP/USD ÷ gold parity (BoE, from 1791)</w:t>
            </w:r>
          </w:p>
        </w:tc>
        <w:tc>
          <w:tcPr/>
          <w:p>
            <w:pPr>
              <w:pStyle w:val="Compact"/>
              <w:jc w:val="left"/>
            </w:pPr>
            <w:r>
              <w:t xml:space="preserve">Baa−10Y spread (from 1919)</w:t>
            </w:r>
          </w:p>
        </w:tc>
        <w:tc>
          <w:tcPr/>
          <w:p>
            <w:pPr>
              <w:pStyle w:val="Compact"/>
              <w:jc w:val="left"/>
            </w:pPr>
            <w:r>
              <w:t xml:space="preserve">Same</w:t>
            </w:r>
          </w:p>
        </w:tc>
        <w:tc>
          <w:tcPr/>
          <w:p>
            <w:pPr>
              <w:pStyle w:val="Compact"/>
              <w:jc w:val="left"/>
            </w:pPr>
            <w:r>
              <w:t xml:space="preserve">BAA10Y / G-SIB CDS</w:t>
            </w:r>
          </w:p>
        </w:tc>
      </w:tr>
    </w:tbl>
    <w:bookmarkEnd w:id="113"/>
    <w:bookmarkStart w:id="114" w:name="era-specific-threshold-overrides"/>
    <w:p>
      <w:pPr>
        <w:pStyle w:val="Heading3"/>
      </w:pPr>
      <w:r>
        <w:t xml:space="preserve">12.4 Era-Specific Threshold Overrides</w:t>
      </w:r>
    </w:p>
    <w:p>
      <w:pPr>
        <w:pStyle w:val="FirstParagraph"/>
      </w:pPr>
      <w:r>
        <w:t xml:space="preserve">Pre-1971 markets had fundamentally different structures:</w:t>
      </w:r>
    </w:p>
    <w:tbl>
      <w:tblPr>
        <w:tblStyle w:val="Table"/>
        <w:tblW w:type="pct" w:w="5000"/>
        <w:tblLook w:firstRow="1" w:lastRow="0" w:firstColumn="0" w:lastColumn="0" w:noHBand="0" w:noVBand="0" w:val="0020"/>
        <w:jc w:val="start"/>
      </w:tblPr>
      <w:tblGrid>
        <w:gridCol w:w="968"/>
        <w:gridCol w:w="1320"/>
        <w:gridCol w:w="1760"/>
        <w:gridCol w:w="2023"/>
        <w:gridCol w:w="1848"/>
      </w:tblGrid>
      <w:tr>
        <w:trPr>
          <w:tblHeader w:val="true"/>
        </w:trPr>
        <w:tc>
          <w:tcPr/>
          <w:p>
            <w:pPr>
              <w:pStyle w:val="Compact"/>
              <w:jc w:val="left"/>
            </w:pPr>
            <w:r>
              <w:t xml:space="preserve">Parameter</w:t>
            </w:r>
          </w:p>
        </w:tc>
        <w:tc>
          <w:tcPr/>
          <w:p>
            <w:pPr>
              <w:pStyle w:val="Compact"/>
              <w:jc w:val="left"/>
            </w:pPr>
            <w:r>
              <w:t xml:space="preserve">Modern Default</w:t>
            </w:r>
          </w:p>
        </w:tc>
        <w:tc>
          <w:tcPr/>
          <w:p>
            <w:pPr>
              <w:pStyle w:val="Compact"/>
              <w:jc w:val="left"/>
            </w:pPr>
            <w:r>
              <w:t xml:space="preserve">Pre-Fed (1907–1913)</w:t>
            </w:r>
          </w:p>
        </w:tc>
        <w:tc>
          <w:tcPr/>
          <w:p>
            <w:pPr>
              <w:pStyle w:val="Compact"/>
              <w:jc w:val="left"/>
            </w:pPr>
            <w:r>
              <w:t xml:space="preserve">Early Fed (1913–1919)</w:t>
            </w:r>
          </w:p>
        </w:tc>
        <w:tc>
          <w:tcPr/>
          <w:p>
            <w:pPr>
              <w:pStyle w:val="Compact"/>
              <w:jc w:val="left"/>
            </w:pPr>
            <w:r>
              <w:t xml:space="preserve">Interwar (1920–1934)</w:t>
            </w:r>
          </w:p>
        </w:tc>
      </w:tr>
      <w:tr>
        <w:tc>
          <w:tcPr/>
          <w:p>
            <w:pPr>
              <w:pStyle w:val="Compact"/>
              <w:jc w:val="left"/>
            </w:pPr>
            <w:r>
              <w:t xml:space="preserve">Liq spread breach</w:t>
            </w:r>
          </w:p>
        </w:tc>
        <w:tc>
          <w:tcPr/>
          <w:p>
            <w:pPr>
              <w:pStyle w:val="Compact"/>
              <w:jc w:val="left"/>
            </w:pPr>
            <w:r>
              <w:t xml:space="preserve">—</w:t>
            </w:r>
          </w:p>
        </w:tc>
        <w:tc>
          <w:tcPr/>
          <w:p>
            <w:pPr>
              <w:pStyle w:val="Compact"/>
              <w:jc w:val="left"/>
            </w:pPr>
            <w:r>
              <w:t xml:space="preserve">200 bps</w:t>
            </w:r>
          </w:p>
        </w:tc>
        <w:tc>
          <w:tcPr/>
          <w:p>
            <w:pPr>
              <w:pStyle w:val="Compact"/>
              <w:jc w:val="left"/>
            </w:pPr>
            <w:r>
              <w:t xml:space="preserve">150 bps</w:t>
            </w:r>
          </w:p>
        </w:tc>
        <w:tc>
          <w:tcPr/>
          <w:p>
            <w:pPr>
              <w:pStyle w:val="Compact"/>
              <w:jc w:val="left"/>
            </w:pPr>
            <w:r>
              <w:t xml:space="preserve">100 bps</w:t>
            </w:r>
          </w:p>
        </w:tc>
      </w:tr>
      <w:tr>
        <w:tc>
          <w:tcPr/>
          <w:p>
            <w:pPr>
              <w:pStyle w:val="Compact"/>
              <w:jc w:val="left"/>
            </w:pPr>
            <w:r>
              <w:t xml:space="preserve">IG OAS breach (high)</w:t>
            </w:r>
          </w:p>
        </w:tc>
        <w:tc>
          <w:tcPr/>
          <w:p>
            <w:pPr>
              <w:pStyle w:val="Compact"/>
              <w:jc w:val="left"/>
            </w:pPr>
            <w:r>
              <w:t xml:space="preserve">400 bps</w:t>
            </w:r>
          </w:p>
        </w:tc>
        <w:tc>
          <w:tcPr/>
          <w:p>
            <w:pPr>
              <w:pStyle w:val="Compact"/>
              <w:jc w:val="left"/>
            </w:pPr>
            <w:r>
              <w:t xml:space="preserve">600 bps</w:t>
            </w:r>
          </w:p>
        </w:tc>
        <w:tc>
          <w:tcPr/>
          <w:p>
            <w:pPr>
              <w:pStyle w:val="Compact"/>
              <w:jc w:val="left"/>
            </w:pPr>
            <w:r>
              <w:t xml:space="preserve">500 bps</w:t>
            </w:r>
          </w:p>
        </w:tc>
        <w:tc>
          <w:tcPr/>
          <w:p>
            <w:pPr>
              <w:pStyle w:val="Compact"/>
              <w:jc w:val="left"/>
            </w:pPr>
            <w:r>
              <w:t xml:space="preserve">500 bps</w:t>
            </w:r>
          </w:p>
        </w:tc>
      </w:tr>
      <w:tr>
        <w:tc>
          <w:tcPr/>
          <w:p>
            <w:pPr>
              <w:pStyle w:val="Compact"/>
              <w:jc w:val="left"/>
            </w:pPr>
            <w:r>
              <w:t xml:space="preserve">HY OAS breach (high)</w:t>
            </w:r>
          </w:p>
        </w:tc>
        <w:tc>
          <w:tcPr/>
          <w:p>
            <w:pPr>
              <w:pStyle w:val="Compact"/>
              <w:jc w:val="left"/>
            </w:pPr>
            <w:r>
              <w:t xml:space="preserve">1,000 bps</w:t>
            </w:r>
          </w:p>
        </w:tc>
        <w:tc>
          <w:tcPr/>
          <w:p>
            <w:pPr>
              <w:pStyle w:val="Compact"/>
              <w:jc w:val="left"/>
            </w:pPr>
            <w:r>
              <w:t xml:space="preserve">1,500 bps</w:t>
            </w:r>
          </w:p>
        </w:tc>
        <w:tc>
          <w:tcPr/>
          <w:p>
            <w:pPr>
              <w:pStyle w:val="Compact"/>
              <w:jc w:val="left"/>
            </w:pPr>
            <w:r>
              <w:t xml:space="preserve">1,400 bps</w:t>
            </w:r>
          </w:p>
        </w:tc>
        <w:tc>
          <w:tcPr/>
          <w:p>
            <w:pPr>
              <w:pStyle w:val="Compact"/>
              <w:jc w:val="left"/>
            </w:pPr>
            <w:r>
              <w:t xml:space="preserve">1,400 bps</w:t>
            </w:r>
          </w:p>
        </w:tc>
      </w:tr>
      <w:tr>
        <w:tc>
          <w:tcPr/>
          <w:p>
            <w:pPr>
              <w:pStyle w:val="Compact"/>
              <w:jc w:val="left"/>
            </w:pPr>
            <w:r>
              <w:t xml:space="preserve">VIX breach (high)</w:t>
            </w:r>
          </w:p>
        </w:tc>
        <w:tc>
          <w:tcPr/>
          <w:p>
            <w:pPr>
              <w:pStyle w:val="Compact"/>
              <w:jc w:val="left"/>
            </w:pPr>
            <w:r>
              <w:t xml:space="preserve">~40</w:t>
            </w:r>
          </w:p>
        </w:tc>
        <w:tc>
          <w:tcPr/>
          <w:p>
            <w:pPr>
              <w:pStyle w:val="Compact"/>
              <w:jc w:val="left"/>
            </w:pPr>
            <w:r>
              <w:t xml:space="preserve">50</w:t>
            </w:r>
          </w:p>
        </w:tc>
        <w:tc>
          <w:tcPr/>
          <w:p>
            <w:pPr>
              <w:pStyle w:val="Compact"/>
              <w:jc w:val="left"/>
            </w:pPr>
            <w:r>
              <w:t xml:space="preserve">50</w:t>
            </w:r>
          </w:p>
        </w:tc>
        <w:tc>
          <w:tcPr/>
          <w:p>
            <w:pPr>
              <w:pStyle w:val="Compact"/>
              <w:jc w:val="left"/>
            </w:pPr>
            <w:r>
              <w:t xml:space="preserve">45</w:t>
            </w:r>
          </w:p>
        </w:tc>
      </w:tr>
      <w:tr>
        <w:tc>
          <w:tcPr/>
          <w:p>
            <w:pPr>
              <w:pStyle w:val="Compact"/>
              <w:jc w:val="left"/>
            </w:pPr>
            <w:r>
              <w:t xml:space="preserve">Policy room breach</w:t>
            </w:r>
          </w:p>
        </w:tc>
        <w:tc>
          <w:tcPr/>
          <w:p>
            <w:pPr>
              <w:pStyle w:val="Compact"/>
              <w:jc w:val="left"/>
            </w:pPr>
            <w:r>
              <w:t xml:space="preserve">25 bps</w:t>
            </w:r>
          </w:p>
        </w:tc>
        <w:tc>
          <w:tcPr/>
          <w:p>
            <w:pPr>
              <w:pStyle w:val="Compact"/>
              <w:jc w:val="left"/>
            </w:pPr>
            <w:r>
              <w:t xml:space="preserve">N/A (no Fed)</w:t>
            </w:r>
          </w:p>
        </w:tc>
        <w:tc>
          <w:tcPr/>
          <w:p>
            <w:pPr>
              <w:pStyle w:val="Compact"/>
              <w:jc w:val="left"/>
            </w:pPr>
            <w:r>
              <w:t xml:space="preserve">50 bps</w:t>
            </w:r>
          </w:p>
        </w:tc>
        <w:tc>
          <w:tcPr/>
          <w:p>
            <w:pPr>
              <w:pStyle w:val="Compact"/>
              <w:jc w:val="left"/>
            </w:pPr>
            <w:r>
              <w:t xml:space="preserve">40 bps</w:t>
            </w:r>
          </w:p>
        </w:tc>
      </w:tr>
    </w:tbl>
    <w:p>
      <w:pPr>
        <w:pStyle w:val="BodyText"/>
      </w:pPr>
      <w:r>
        <w:rPr>
          <w:bCs/>
          <w:b/>
        </w:rPr>
        <w:t xml:space="preserve">Rationale:</w:t>
      </w:r>
      <w:r>
        <w:t xml:space="preserve"> </w:t>
      </w:r>
      <w:r>
        <w:t xml:space="preserve">Call money rates routinely spiked to 100%+ pre-Fed (the Panic of 1907 saw 125% intraday). Railroad bond spreads were structurally 2–3× wider than modern corporate spreads. Schwert volatility estimates are structurally higher than VIX (different construction: realised vol vs. implied vol). Without threshold adjustments, the framework would produce wall-to-wall breach signals for the entire pre-1971 period.</w:t>
      </w:r>
    </w:p>
    <w:bookmarkEnd w:id="114"/>
    <w:bookmarkStart w:id="115" w:name="default-scores"/>
    <w:p>
      <w:pPr>
        <w:pStyle w:val="Heading3"/>
      </w:pPr>
      <w:r>
        <w:t xml:space="preserve">12.5 Default Scores</w:t>
      </w:r>
    </w:p>
    <w:p>
      <w:pPr>
        <w:pStyle w:val="FirstParagraph"/>
      </w:pPr>
      <w:r>
        <w:t xml:space="preserve">When a pillar has no data available for an era, a context-appropriate default is used:</w:t>
      </w:r>
    </w:p>
    <w:tbl>
      <w:tblPr>
        <w:tblStyle w:val="Table"/>
        <w:tblW w:type="pct" w:w="5000"/>
        <w:tblLook w:firstRow="1" w:lastRow="0" w:firstColumn="0" w:lastColumn="0" w:noHBand="0" w:noVBand="0" w:val="0020"/>
        <w:jc w:val="start"/>
      </w:tblPr>
      <w:tblGrid>
        <w:gridCol w:w="1980"/>
        <w:gridCol w:w="2227"/>
        <w:gridCol w:w="3712"/>
      </w:tblGrid>
      <w:tr>
        <w:trPr>
          <w:tblHeader w:val="true"/>
        </w:trPr>
        <w:tc>
          <w:tcPr/>
          <w:p>
            <w:pPr>
              <w:pStyle w:val="Compact"/>
              <w:jc w:val="left"/>
            </w:pPr>
            <w:r>
              <w:t xml:space="preserve">Pillar</w:t>
            </w:r>
          </w:p>
        </w:tc>
        <w:tc>
          <w:tcPr/>
          <w:p>
            <w:pPr>
              <w:pStyle w:val="Compact"/>
              <w:jc w:val="left"/>
            </w:pPr>
            <w:r>
              <w:t xml:space="preserve">Default</w:t>
            </w:r>
          </w:p>
        </w:tc>
        <w:tc>
          <w:tcPr/>
          <w:p>
            <w:pPr>
              <w:pStyle w:val="Compact"/>
              <w:jc w:val="left"/>
            </w:pPr>
            <w:r>
              <w:t xml:space="preserve">Special Cases</w:t>
            </w:r>
          </w:p>
        </w:tc>
      </w:tr>
      <w:tr>
        <w:tc>
          <w:tcPr/>
          <w:p>
            <w:pPr>
              <w:pStyle w:val="Compact"/>
              <w:jc w:val="left"/>
            </w:pPr>
            <w:r>
              <w:t xml:space="preserve">Positioning</w:t>
            </w:r>
          </w:p>
        </w:tc>
        <w:tc>
          <w:tcPr/>
          <w:p>
            <w:pPr>
              <w:pStyle w:val="Compact"/>
              <w:jc w:val="left"/>
            </w:pPr>
            <w:r>
              <w:t xml:space="preserve">0.50 (neutral)</w:t>
            </w:r>
          </w:p>
        </w:tc>
        <w:tc>
          <w:tcPr/>
          <w:p>
            <w:pPr>
              <w:pStyle w:val="Compact"/>
              <w:jc w:val="left"/>
            </w:pPr>
            <w:r>
              <w:t xml:space="preserve">Margin debt available from 1918</w:t>
            </w:r>
          </w:p>
        </w:tc>
      </w:tr>
      <w:tr>
        <w:tc>
          <w:tcPr/>
          <w:p>
            <w:pPr>
              <w:pStyle w:val="Compact"/>
              <w:jc w:val="left"/>
            </w:pPr>
            <w:r>
              <w:t xml:space="preserve">Private Credit</w:t>
            </w:r>
          </w:p>
        </w:tc>
        <w:tc>
          <w:tcPr/>
          <w:p>
            <w:pPr>
              <w:pStyle w:val="Compact"/>
              <w:jc w:val="left"/>
            </w:pPr>
            <w:r>
              <w:t xml:space="preserve">0.52 (slightly cautious)</w:t>
            </w:r>
          </w:p>
        </w:tc>
        <w:tc>
          <w:tcPr/>
          <w:p>
            <w:pPr>
              <w:pStyle w:val="Compact"/>
              <w:jc w:val="left"/>
            </w:pPr>
            <w:r>
              <w:t xml:space="preserve">—</w:t>
            </w:r>
          </w:p>
        </w:tc>
      </w:tr>
      <w:tr>
        <w:tc>
          <w:tcPr/>
          <w:p>
            <w:pPr>
              <w:pStyle w:val="Compact"/>
              <w:jc w:val="left"/>
            </w:pPr>
            <w:r>
              <w:t xml:space="preserve">Policy</w:t>
            </w:r>
          </w:p>
        </w:tc>
        <w:tc>
          <w:tcPr/>
          <w:p>
            <w:pPr>
              <w:pStyle w:val="Compact"/>
              <w:jc w:val="left"/>
            </w:pPr>
            <w:r>
              <w:t xml:space="preserve">0.35 (cautious)</w:t>
            </w:r>
          </w:p>
        </w:tc>
        <w:tc>
          <w:tcPr/>
          <w:p>
            <w:pPr>
              <w:pStyle w:val="Compact"/>
              <w:jc w:val="left"/>
            </w:pPr>
            <w:r>
              <w:t xml:space="preserve">Pre-1913: 0.25 (no central bank); 1913–1934: 0.35 (early Fed)</w:t>
            </w:r>
          </w:p>
        </w:tc>
      </w:tr>
      <w:tr>
        <w:tc>
          <w:tcPr/>
          <w:p>
            <w:pPr>
              <w:pStyle w:val="Compact"/>
              <w:jc w:val="left"/>
            </w:pPr>
            <w:r>
              <w:t xml:space="preserve">Contagion</w:t>
            </w:r>
          </w:p>
        </w:tc>
        <w:tc>
          <w:tcPr/>
          <w:p>
            <w:pPr>
              <w:pStyle w:val="Compact"/>
              <w:jc w:val="left"/>
            </w:pPr>
            <w:r>
              <w:t xml:space="preserve">0.50 (neutral)</w:t>
            </w:r>
          </w:p>
        </w:tc>
        <w:tc>
          <w:tcPr/>
          <w:p>
            <w:pPr>
              <w:pStyle w:val="Compact"/>
              <w:jc w:val="left"/>
            </w:pPr>
            <w:r>
              <w:t xml:space="preserve">GBP/USD parity deviation available from 1791</w:t>
            </w:r>
          </w:p>
        </w:tc>
      </w:tr>
    </w:tbl>
    <w:p>
      <w:r>
        <w:pict>
          <v:rect style="width:0;height:1.5pt" o:hralign="center" o:hrstd="t" o:hr="t"/>
        </w:pict>
      </w:r>
    </w:p>
    <w:bookmarkEnd w:id="115"/>
    <w:bookmarkEnd w:id="116"/>
    <w:bookmarkStart w:id="139" w:name="calibration-methodology"/>
    <w:p>
      <w:pPr>
        <w:pStyle w:val="Heading2"/>
      </w:pPr>
      <w:r>
        <w:t xml:space="preserve">13. Calibration Methodology</w:t>
      </w:r>
    </w:p>
    <w:bookmarkStart w:id="117" w:name="motivation-2"/>
    <w:p>
      <w:pPr>
        <w:pStyle w:val="Heading3"/>
      </w:pPr>
      <w:r>
        <w:t xml:space="preserve">13.1 Motivation</w:t>
      </w:r>
    </w:p>
    <w:p>
      <w:pPr>
        <w:pStyle w:val="FirstParagraph"/>
      </w:pPr>
      <w:r>
        <w:t xml:space="preserve">Raw MAC scores systematically overshoot expected crisis severity ranges by 20–25%. Three sources of upward bias:</w:t>
      </w:r>
    </w:p>
    <w:p>
      <w:pPr>
        <w:numPr>
          <w:ilvl w:val="0"/>
          <w:numId w:val="1011"/>
        </w:numPr>
        <w:pStyle w:val="Compact"/>
      </w:pPr>
      <w:r>
        <w:t xml:space="preserve">Not all indicators breach simultaneously even during severe crises</w:t>
      </w:r>
    </w:p>
    <w:p>
      <w:pPr>
        <w:numPr>
          <w:ilvl w:val="0"/>
          <w:numId w:val="1011"/>
        </w:numPr>
        <w:pStyle w:val="Compact"/>
      </w:pPr>
      <w:r>
        <w:t xml:space="preserve">Pillars with limited data contribute neutral scores, pulling the composite up</w:t>
      </w:r>
    </w:p>
    <w:p>
      <w:pPr>
        <w:numPr>
          <w:ilvl w:val="0"/>
          <w:numId w:val="1011"/>
        </w:numPr>
        <w:pStyle w:val="Compact"/>
      </w:pPr>
      <w:r>
        <w:t xml:space="preserve">The 0–1 scoring scale compresses non-crisis observations into 0.60–0.90</w:t>
      </w:r>
    </w:p>
    <w:p>
      <w:pPr>
        <w:pStyle w:val="FirstParagraph"/>
      </w:pPr>
      <w:r>
        <w:t xml:space="preserve">A calibration factor α corrects this bias, but its derivation must satisfy two conditions: (a) the target values it calibrates against must be derived independently of the raw MAC scores themselves, and (b) the factor must be validated out-of-sample across thematically distinct crisis types. This section details both procedures.</w:t>
      </w:r>
    </w:p>
    <w:p>
      <w:r>
        <w:pict>
          <v:rect style="width:0;height:1.5pt" o:hralign="center" o:hrstd="t" o:hr="t"/>
        </w:pict>
      </w:r>
    </w:p>
    <w:bookmarkEnd w:id="117"/>
    <w:bookmarkStart w:id="123" w:name="X236cd453c041a30384d72be8a0234bd8fca0708"/>
    <w:p>
      <w:pPr>
        <w:pStyle w:val="Heading3"/>
      </w:pPr>
      <w:r>
        <w:t xml:space="preserve">13.2 Independent Derivation of Expected MAC Scores</w:t>
      </w:r>
    </w:p>
    <w:bookmarkStart w:id="118" w:name="the-circularity-problem"/>
    <w:p>
      <w:pPr>
        <w:pStyle w:val="Heading4"/>
      </w:pPr>
      <w:r>
        <w:t xml:space="preserve">13.2.1 The Circularity Problem</w:t>
      </w:r>
    </w:p>
    <w:p>
      <w:pPr>
        <w:pStyle w:val="FirstParagraph"/>
      </w:pPr>
      <w:r>
        <w:t xml:space="preserve">The calibration factor α maps raw MAC scores to expected MAC scores. If those expected scores are set by observing crisis outcomes and reasoning backwards from severity — i.e.,</w:t>
      </w:r>
      <w:r>
        <w:t xml:space="preserve"> </w:t>
      </w:r>
      <w:r>
        <w:t xml:space="preserve">“</w:t>
      </w:r>
      <w:r>
        <w:t xml:space="preserve">Lehman was extreme, so MAC should have been 0.10–0.30</w:t>
      </w:r>
      <w:r>
        <w:t xml:space="preserve">”</w:t>
      </w:r>
      <w:r>
        <w:t xml:space="preserve"> </w:t>
      </w:r>
      <w:r>
        <w:t xml:space="preserve">— the calibration embeds hindsight and conflates</w:t>
      </w:r>
      <w:r>
        <w:t xml:space="preserve"> </w:t>
      </w:r>
      <w:r>
        <w:rPr>
          <w:iCs/>
          <w:i/>
        </w:rPr>
        <w:t xml:space="preserve">what the framework should have detected ex ante</w:t>
      </w:r>
      <w:r>
        <w:t xml:space="preserve"> </w:t>
      </w:r>
      <w:r>
        <w:t xml:space="preserve">with</w:t>
      </w:r>
      <w:r>
        <w:t xml:space="preserve"> </w:t>
      </w:r>
      <w:r>
        <w:rPr>
          <w:iCs/>
          <w:i/>
        </w:rPr>
        <w:t xml:space="preserve">what we know ex post</w:t>
      </w:r>
      <w:r>
        <w:t xml:space="preserve">. This makes α a post-hoc fitting parameter rather than a genuine calibration.</w:t>
      </w:r>
    </w:p>
    <w:p>
      <w:pPr>
        <w:pStyle w:val="BodyText"/>
      </w:pPr>
      <w:r>
        <w:t xml:space="preserve">To address this, the expected MAC score for each scenario is derived from a</w:t>
      </w:r>
      <w:r>
        <w:t xml:space="preserve"> </w:t>
      </w:r>
      <w:r>
        <w:rPr>
          <w:bCs/>
          <w:b/>
        </w:rPr>
        <w:t xml:space="preserve">Crisis Severity Rubric (CSR)</w:t>
      </w:r>
      <w:r>
        <w:t xml:space="preserve"> </w:t>
      </w:r>
      <w:r>
        <w:t xml:space="preserve">— a structured scoring protocol based on five independently observable crisis characteristics, none of which require knowledge of the MAC framework’s output.</w:t>
      </w:r>
    </w:p>
    <w:bookmarkEnd w:id="118"/>
    <w:bookmarkStart w:id="119" w:name="crisis-severity-rubric-csr"/>
    <w:p>
      <w:pPr>
        <w:pStyle w:val="Heading4"/>
      </w:pPr>
      <w:r>
        <w:t xml:space="preserve">13.2.2 Crisis Severity Rubric (CSR)</w:t>
      </w:r>
    </w:p>
    <w:p>
      <w:pPr>
        <w:pStyle w:val="FirstParagraph"/>
      </w:pPr>
      <w:r>
        <w:t xml:space="preserve">Each scenario is scored on five dimensions using data available at or shortly after the crisis date. Each dimension produces a sub-score on a 0–1 scale, where 0 = most severe and 1 = minimal stress. The CSR composite is the equally-weighted average.</w:t>
      </w:r>
    </w:p>
    <w:p>
      <w:pPr>
        <w:pStyle w:val="BodyText"/>
      </w:pPr>
      <w:r>
        <w:rPr>
          <w:bCs/>
          <w:b/>
        </w:rPr>
        <w:t xml:space="preserve">Dimension 1: Peak-to-Trough Drawdown Magnitude (S&amp;P 500)</w:t>
      </w:r>
    </w:p>
    <w:p>
      <w:pPr>
        <w:pStyle w:val="BodyText"/>
      </w:pPr>
      <w:r>
        <w:t xml:space="preserve">The drawdown is measured from the local peak preceding the event to the subsequent trough within 90 calendar days. This window prevents contamination from unrelated subsequent events.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Drawdown</w:t>
            </w:r>
          </w:p>
        </w:tc>
        <w:tc>
          <w:tcPr/>
          <w:p>
            <w:pPr>
              <w:pStyle w:val="Compact"/>
              <w:jc w:val="left"/>
            </w:pPr>
            <w:r>
              <w:t xml:space="preserve">Sub-Score</w:t>
            </w:r>
          </w:p>
        </w:tc>
        <w:tc>
          <w:tcPr/>
          <w:p>
            <w:pPr>
              <w:pStyle w:val="Compact"/>
              <w:jc w:val="left"/>
            </w:pPr>
            <w:r>
              <w:t xml:space="preserve">Rationale</w:t>
            </w:r>
          </w:p>
        </w:tc>
      </w:tr>
      <w:tr>
        <w:tc>
          <w:tcPr/>
          <w:p>
            <w:pPr>
              <w:pStyle w:val="Compact"/>
              <w:jc w:val="left"/>
            </w:pPr>
            <w:r>
              <w:t xml:space="preserve">&lt; 5%</w:t>
            </w:r>
          </w:p>
        </w:tc>
        <w:tc>
          <w:tcPr/>
          <w:p>
            <w:pPr>
              <w:pStyle w:val="Compact"/>
              <w:jc w:val="left"/>
            </w:pPr>
            <w:r>
              <w:t xml:space="preserve">0.90</w:t>
            </w:r>
          </w:p>
        </w:tc>
        <w:tc>
          <w:tcPr/>
          <w:p>
            <w:pPr>
              <w:pStyle w:val="Compact"/>
              <w:jc w:val="left"/>
            </w:pPr>
            <w:r>
              <w:t xml:space="preserve">Orderly repricing</w:t>
            </w:r>
          </w:p>
        </w:tc>
      </w:tr>
      <w:tr>
        <w:tc>
          <w:tcPr/>
          <w:p>
            <w:pPr>
              <w:pStyle w:val="Compact"/>
              <w:jc w:val="left"/>
            </w:pPr>
            <w:r>
              <w:t xml:space="preserve">5–10%</w:t>
            </w:r>
          </w:p>
        </w:tc>
        <w:tc>
          <w:tcPr/>
          <w:p>
            <w:pPr>
              <w:pStyle w:val="Compact"/>
              <w:jc w:val="left"/>
            </w:pPr>
            <w:r>
              <w:t xml:space="preserve">0.70</w:t>
            </w:r>
          </w:p>
        </w:tc>
        <w:tc>
          <w:tcPr/>
          <w:p>
            <w:pPr>
              <w:pStyle w:val="Compact"/>
              <w:jc w:val="left"/>
            </w:pPr>
            <w:r>
              <w:t xml:space="preserve">Correction</w:t>
            </w:r>
          </w:p>
        </w:tc>
      </w:tr>
      <w:tr>
        <w:tc>
          <w:tcPr/>
          <w:p>
            <w:pPr>
              <w:pStyle w:val="Compact"/>
              <w:jc w:val="left"/>
            </w:pPr>
            <w:r>
              <w:t xml:space="preserve">10–20%</w:t>
            </w:r>
          </w:p>
        </w:tc>
        <w:tc>
          <w:tcPr/>
          <w:p>
            <w:pPr>
              <w:pStyle w:val="Compact"/>
              <w:jc w:val="left"/>
            </w:pPr>
            <w:r>
              <w:t xml:space="preserve">0.45</w:t>
            </w:r>
          </w:p>
        </w:tc>
        <w:tc>
          <w:tcPr/>
          <w:p>
            <w:pPr>
              <w:pStyle w:val="Compact"/>
              <w:jc w:val="left"/>
            </w:pPr>
            <w:r>
              <w:t xml:space="preserve">Significant stress</w:t>
            </w:r>
          </w:p>
        </w:tc>
      </w:tr>
      <w:tr>
        <w:tc>
          <w:tcPr/>
          <w:p>
            <w:pPr>
              <w:pStyle w:val="Compact"/>
              <w:jc w:val="left"/>
            </w:pPr>
            <w:r>
              <w:t xml:space="preserve">20–35%</w:t>
            </w:r>
          </w:p>
        </w:tc>
        <w:tc>
          <w:tcPr/>
          <w:p>
            <w:pPr>
              <w:pStyle w:val="Compact"/>
              <w:jc w:val="left"/>
            </w:pPr>
            <w:r>
              <w:t xml:space="preserve">0.25</w:t>
            </w:r>
          </w:p>
        </w:tc>
        <w:tc>
          <w:tcPr/>
          <w:p>
            <w:pPr>
              <w:pStyle w:val="Compact"/>
              <w:jc w:val="left"/>
            </w:pPr>
            <w:r>
              <w:t xml:space="preserve">Severe crisis</w:t>
            </w:r>
          </w:p>
        </w:tc>
      </w:tr>
      <w:tr>
        <w:tc>
          <w:tcPr/>
          <w:p>
            <w:pPr>
              <w:pStyle w:val="Compact"/>
              <w:jc w:val="left"/>
            </w:pPr>
            <w:r>
              <w:t xml:space="preserve">&gt; 35%</w:t>
            </w:r>
          </w:p>
        </w:tc>
        <w:tc>
          <w:tcPr/>
          <w:p>
            <w:pPr>
              <w:pStyle w:val="Compact"/>
              <w:jc w:val="left"/>
            </w:pPr>
            <w:r>
              <w:t xml:space="preserve">0.10</w:t>
            </w:r>
          </w:p>
        </w:tc>
        <w:tc>
          <w:tcPr/>
          <w:p>
            <w:pPr>
              <w:pStyle w:val="Compact"/>
              <w:jc w:val="left"/>
            </w:pPr>
            <w:r>
              <w:t xml:space="preserve">Systemic event</w:t>
            </w:r>
          </w:p>
        </w:tc>
      </w:tr>
    </w:tbl>
    <w:p>
      <w:pPr>
        <w:pStyle w:val="BodyText"/>
      </w:pPr>
      <w:r>
        <w:rPr>
          <w:iCs/>
          <w:i/>
        </w:rPr>
        <w:t xml:space="preserve">Source: S&amp;P 500 daily close (FRED</w:t>
      </w:r>
      <w:r>
        <w:rPr>
          <w:iCs/>
          <w:i/>
        </w:rPr>
        <w:t xml:space="preserve"> </w:t>
      </w:r>
      <w:r>
        <w:rPr>
          <w:rStyle w:val="VerbatimChar"/>
          <w:iCs/>
          <w:i/>
        </w:rPr>
        <w:t xml:space="preserve">SP500</w:t>
      </w:r>
      <w:r>
        <w:rPr>
          <w:iCs/>
          <w:i/>
        </w:rPr>
        <w:t xml:space="preserve"> </w:t>
      </w:r>
      <w:r>
        <w:rPr>
          <w:iCs/>
          <w:i/>
        </w:rPr>
        <w:t xml:space="preserve">or Shiller composite for pre-1957).</w:t>
      </w:r>
    </w:p>
    <w:p>
      <w:pPr>
        <w:pStyle w:val="BodyText"/>
      </w:pPr>
      <w:r>
        <w:rPr>
          <w:bCs/>
          <w:b/>
        </w:rPr>
        <w:t xml:space="preserve">Dimension 2: Market Functioning Disruption</w:t>
      </w:r>
    </w:p>
    <w:p>
      <w:pPr>
        <w:pStyle w:val="BodyText"/>
      </w:pPr>
      <w:r>
        <w:t xml:space="preserve">This dimension captures whether the crisis impaired the operational capacity of markets to transact, as distinct from the magnitude of price moves. It is scored categorically based on observed dysfunction.</w:t>
      </w:r>
    </w:p>
    <w:tbl>
      <w:tblPr>
        <w:tblStyle w:val="Table"/>
        <w:tblW w:type="pct" w:w="5000"/>
        <w:tblLook w:firstRow="1" w:lastRow="0" w:firstColumn="0" w:lastColumn="0" w:noHBand="0" w:noVBand="0" w:val="0020"/>
        <w:jc w:val="start"/>
      </w:tblPr>
      <w:tblGrid>
        <w:gridCol w:w="3960"/>
        <w:gridCol w:w="2074"/>
        <w:gridCol w:w="1885"/>
      </w:tblGrid>
      <w:tr>
        <w:trPr>
          <w:tblHeader w:val="true"/>
        </w:trPr>
        <w:tc>
          <w:tcPr/>
          <w:p>
            <w:pPr>
              <w:pStyle w:val="Compact"/>
              <w:jc w:val="left"/>
            </w:pPr>
            <w:r>
              <w:t xml:space="preserve">Observed Dysfunction</w:t>
            </w:r>
          </w:p>
        </w:tc>
        <w:tc>
          <w:tcPr/>
          <w:p>
            <w:pPr>
              <w:pStyle w:val="Compact"/>
              <w:jc w:val="left"/>
            </w:pPr>
            <w:r>
              <w:t xml:space="preserve">Sub-Score</w:t>
            </w:r>
          </w:p>
        </w:tc>
        <w:tc>
          <w:tcPr/>
          <w:p>
            <w:pPr>
              <w:pStyle w:val="Compact"/>
              <w:jc w:val="left"/>
            </w:pPr>
            <w:r>
              <w:t xml:space="preserve">Examples</w:t>
            </w:r>
          </w:p>
        </w:tc>
      </w:tr>
      <w:tr>
        <w:tc>
          <w:tcPr/>
          <w:p>
            <w:pPr>
              <w:pStyle w:val="Compact"/>
              <w:jc w:val="left"/>
            </w:pPr>
            <w:r>
              <w:t xml:space="preserve">None: orderly repricing</w:t>
            </w:r>
          </w:p>
        </w:tc>
        <w:tc>
          <w:tcPr/>
          <w:p>
            <w:pPr>
              <w:pStyle w:val="Compact"/>
              <w:jc w:val="left"/>
            </w:pPr>
            <w:r>
              <w:t xml:space="preserve">0.90</w:t>
            </w:r>
          </w:p>
        </w:tc>
        <w:tc>
          <w:tcPr/>
          <w:p>
            <w:pPr>
              <w:pStyle w:val="Compact"/>
              <w:jc w:val="left"/>
            </w:pPr>
            <w:r>
              <w:t xml:space="preserve">US Downgrade 2011, Russia–Ukraine 2022</w:t>
            </w:r>
          </w:p>
        </w:tc>
      </w:tr>
      <w:tr>
        <w:tc>
          <w:tcPr/>
          <w:p>
            <w:pPr>
              <w:pStyle w:val="Compact"/>
              <w:jc w:val="left"/>
            </w:pPr>
            <w:r>
              <w:t xml:space="preserve">Moderate: elevated bid-ask spreads (&gt;3× normal), failed auctions, or ETF dislocations</w:t>
            </w:r>
          </w:p>
        </w:tc>
        <w:tc>
          <w:tcPr/>
          <w:p>
            <w:pPr>
              <w:pStyle w:val="Compact"/>
              <w:jc w:val="left"/>
            </w:pPr>
            <w:r>
              <w:t xml:space="preserve">0.55</w:t>
            </w:r>
          </w:p>
        </w:tc>
        <w:tc>
          <w:tcPr/>
          <w:p>
            <w:pPr>
              <w:pStyle w:val="Compact"/>
              <w:jc w:val="left"/>
            </w:pPr>
            <w:r>
              <w:t xml:space="preserve">Flash Crash 2010, SVB 2023</w:t>
            </w:r>
          </w:p>
        </w:tc>
      </w:tr>
      <w:tr>
        <w:tc>
          <w:tcPr/>
          <w:p>
            <w:pPr>
              <w:pStyle w:val="Compact"/>
              <w:jc w:val="left"/>
            </w:pPr>
            <w:r>
              <w:t xml:space="preserve">Severe: circuit breakers triggered, Treasury market dysfunction, or repo market seizure</w:t>
            </w:r>
          </w:p>
        </w:tc>
        <w:tc>
          <w:tcPr/>
          <w:p>
            <w:pPr>
              <w:pStyle w:val="Compact"/>
              <w:jc w:val="left"/>
            </w:pPr>
            <w:r>
              <w:t xml:space="preserve">0.25</w:t>
            </w:r>
          </w:p>
        </w:tc>
        <w:tc>
          <w:tcPr/>
          <w:p>
            <w:pPr>
              <w:pStyle w:val="Compact"/>
              <w:jc w:val="left"/>
            </w:pPr>
            <w:r>
              <w:t xml:space="preserve">Repo Spike 2019, COVID 2020</w:t>
            </w:r>
          </w:p>
        </w:tc>
      </w:tr>
      <w:tr>
        <w:tc>
          <w:tcPr/>
          <w:p>
            <w:pPr>
              <w:pStyle w:val="Compact"/>
              <w:jc w:val="left"/>
            </w:pPr>
            <w:r>
              <w:t xml:space="preserve">Extreme: market closure, clearing system failure, or lender-of-last-resort emergency facilities activated</w:t>
            </w:r>
          </w:p>
        </w:tc>
        <w:tc>
          <w:tcPr/>
          <w:p>
            <w:pPr>
              <w:pStyle w:val="Compact"/>
              <w:jc w:val="left"/>
            </w:pPr>
            <w:r>
              <w:t xml:space="preserve">0.10</w:t>
            </w:r>
          </w:p>
        </w:tc>
        <w:tc>
          <w:tcPr/>
          <w:p>
            <w:pPr>
              <w:pStyle w:val="Compact"/>
              <w:jc w:val="left"/>
            </w:pPr>
            <w:r>
              <w:t xml:space="preserve">Lehman 2008, 1914 exchange closure</w:t>
            </w:r>
          </w:p>
        </w:tc>
      </w:tr>
    </w:tbl>
    <w:p>
      <w:pPr>
        <w:pStyle w:val="BodyText"/>
      </w:pPr>
      <w:r>
        <w:rPr>
          <w:iCs/>
          <w:i/>
        </w:rPr>
        <w:t xml:space="preserve">Sources: NYSE circuit breaker records, Federal Reserve emergency facility announcements (Section 13(3) invocations), FINRA TRACE data for Treasury bid-ask, primary dealer fails-to-deliver reports.</w:t>
      </w:r>
    </w:p>
    <w:p>
      <w:pPr>
        <w:pStyle w:val="BodyText"/>
      </w:pPr>
      <w:r>
        <w:rPr>
          <w:bCs/>
          <w:b/>
        </w:rPr>
        <w:t xml:space="preserve">Dimension 3: Policy Response Intensity</w:t>
      </w:r>
    </w:p>
    <w:p>
      <w:pPr>
        <w:pStyle w:val="BodyText"/>
      </w:pPr>
      <w:r>
        <w:t xml:space="preserve">The scale and speed of official-sector response is a revealed-preference indicator of crisis severity. Policymakers have better real-time information than any external model; the intensity of their response reflects private assessments of systemic risk.</w:t>
      </w:r>
    </w:p>
    <w:tbl>
      <w:tblPr>
        <w:tblStyle w:val="Table"/>
        <w:tblW w:type="pct" w:w="5000"/>
        <w:tblLook w:firstRow="1" w:lastRow="0" w:firstColumn="0" w:lastColumn="0" w:noHBand="0" w:noVBand="0" w:val="0020"/>
        <w:jc w:val="start"/>
      </w:tblPr>
      <w:tblGrid>
        <w:gridCol w:w="2554"/>
        <w:gridCol w:w="2810"/>
        <w:gridCol w:w="2554"/>
      </w:tblGrid>
      <w:tr>
        <w:trPr>
          <w:tblHeader w:val="true"/>
        </w:trPr>
        <w:tc>
          <w:tcPr/>
          <w:p>
            <w:pPr>
              <w:pStyle w:val="Compact"/>
              <w:jc w:val="left"/>
            </w:pPr>
            <w:r>
              <w:t xml:space="preserve">Response</w:t>
            </w:r>
          </w:p>
        </w:tc>
        <w:tc>
          <w:tcPr/>
          <w:p>
            <w:pPr>
              <w:pStyle w:val="Compact"/>
              <w:jc w:val="left"/>
            </w:pPr>
            <w:r>
              <w:t xml:space="preserve">Sub-Score</w:t>
            </w:r>
          </w:p>
        </w:tc>
        <w:tc>
          <w:tcPr/>
          <w:p>
            <w:pPr>
              <w:pStyle w:val="Compact"/>
              <w:jc w:val="left"/>
            </w:pPr>
            <w:r>
              <w:t xml:space="preserve">Examples</w:t>
            </w:r>
          </w:p>
        </w:tc>
      </w:tr>
      <w:tr>
        <w:tc>
          <w:tcPr/>
          <w:p>
            <w:pPr>
              <w:pStyle w:val="Compact"/>
              <w:jc w:val="left"/>
            </w:pPr>
            <w:r>
              <w:t xml:space="preserve">None or routine</w:t>
            </w:r>
          </w:p>
        </w:tc>
        <w:tc>
          <w:tcPr/>
          <w:p>
            <w:pPr>
              <w:pStyle w:val="Compact"/>
              <w:jc w:val="left"/>
            </w:pPr>
            <w:r>
              <w:t xml:space="preserve">0.90</w:t>
            </w:r>
          </w:p>
        </w:tc>
        <w:tc>
          <w:tcPr/>
          <w:p>
            <w:pPr>
              <w:pStyle w:val="Compact"/>
              <w:jc w:val="left"/>
            </w:pPr>
            <w:r>
              <w:t xml:space="preserve">Dot-com Peak 2000</w:t>
            </w:r>
          </w:p>
        </w:tc>
      </w:tr>
      <w:tr>
        <w:tc>
          <w:tcPr/>
          <w:p>
            <w:pPr>
              <w:pStyle w:val="Compact"/>
              <w:jc w:val="left"/>
            </w:pPr>
            <w:r>
              <w:t xml:space="preserve">Verbal guidance or minor operational adjustment</w:t>
            </w:r>
          </w:p>
        </w:tc>
        <w:tc>
          <w:tcPr/>
          <w:p>
            <w:pPr>
              <w:pStyle w:val="Compact"/>
              <w:jc w:val="left"/>
            </w:pPr>
            <w:r>
              <w:t xml:space="preserve">0.70</w:t>
            </w:r>
          </w:p>
        </w:tc>
        <w:tc>
          <w:tcPr/>
          <w:p>
            <w:pPr>
              <w:pStyle w:val="Compact"/>
              <w:jc w:val="left"/>
            </w:pPr>
            <w:r>
              <w:t xml:space="preserve">US Downgrade 2011 (Operation Twist)</w:t>
            </w:r>
          </w:p>
        </w:tc>
      </w:tr>
      <w:tr>
        <w:tc>
          <w:tcPr/>
          <w:p>
            <w:pPr>
              <w:pStyle w:val="Compact"/>
              <w:jc w:val="left"/>
            </w:pPr>
            <w:r>
              <w:t xml:space="preserve">Emergency rate cut or targeted facility</w:t>
            </w:r>
          </w:p>
        </w:tc>
        <w:tc>
          <w:tcPr/>
          <w:p>
            <w:pPr>
              <w:pStyle w:val="Compact"/>
              <w:jc w:val="left"/>
            </w:pPr>
            <w:r>
              <w:t xml:space="preserve">0.40</w:t>
            </w:r>
          </w:p>
        </w:tc>
        <w:tc>
          <w:tcPr/>
          <w:p>
            <w:pPr>
              <w:pStyle w:val="Compact"/>
              <w:jc w:val="left"/>
            </w:pPr>
            <w:r>
              <w:t xml:space="preserve">Repo Spike 2019 (repo operations), SVB 2023 (BTFP)</w:t>
            </w:r>
          </w:p>
        </w:tc>
      </w:tr>
      <w:tr>
        <w:tc>
          <w:tcPr/>
          <w:p>
            <w:pPr>
              <w:pStyle w:val="Compact"/>
              <w:jc w:val="left"/>
            </w:pPr>
            <w:r>
              <w:t xml:space="preserve">Multiple emergency rate cuts, broad-based facilities, or fiscal intervention</w:t>
            </w:r>
          </w:p>
        </w:tc>
        <w:tc>
          <w:tcPr/>
          <w:p>
            <w:pPr>
              <w:pStyle w:val="Compact"/>
              <w:jc w:val="left"/>
            </w:pPr>
            <w:r>
              <w:t xml:space="preserve">0.20</w:t>
            </w:r>
          </w:p>
        </w:tc>
        <w:tc>
          <w:tcPr/>
          <w:p>
            <w:pPr>
              <w:pStyle w:val="Compact"/>
              <w:jc w:val="left"/>
            </w:pPr>
            <w:r>
              <w:t xml:space="preserve">LTCM 1998 (brokered rescue), Bear Stearns 2008 (JPM facility)</w:t>
            </w:r>
          </w:p>
        </w:tc>
      </w:tr>
      <w:tr>
        <w:tc>
          <w:tcPr/>
          <w:p>
            <w:pPr>
              <w:pStyle w:val="Compact"/>
              <w:jc w:val="left"/>
            </w:pPr>
            <w:r>
              <w:t xml:space="preserve">Unlimited/open-ended intervention (QE, blanket guarantees, fiscal packages &gt;2% GDP)</w:t>
            </w:r>
          </w:p>
        </w:tc>
        <w:tc>
          <w:tcPr/>
          <w:p>
            <w:pPr>
              <w:pStyle w:val="Compact"/>
              <w:jc w:val="left"/>
            </w:pPr>
            <w:r>
              <w:t xml:space="preserve">0.10</w:t>
            </w:r>
          </w:p>
        </w:tc>
        <w:tc>
          <w:tcPr/>
          <w:p>
            <w:pPr>
              <w:pStyle w:val="Compact"/>
              <w:jc w:val="left"/>
            </w:pPr>
            <w:r>
              <w:t xml:space="preserve">Lehman 2008 (TARP + QE1), COVID 2020 (unlimited QE + CARES Act)</w:t>
            </w:r>
          </w:p>
        </w:tc>
      </w:tr>
    </w:tbl>
    <w:p>
      <w:pPr>
        <w:pStyle w:val="BodyText"/>
      </w:pPr>
      <w:r>
        <w:rPr>
          <w:iCs/>
          <w:i/>
        </w:rPr>
        <w:t xml:space="preserve">Sources: Federal Reserve press releases and FOMC meeting minutes, Treasury announcements, Congressional Budget Office fiscal response estimates.</w:t>
      </w:r>
    </w:p>
    <w:p>
      <w:pPr>
        <w:pStyle w:val="BodyText"/>
      </w:pPr>
      <w:r>
        <w:rPr>
          <w:bCs/>
          <w:b/>
        </w:rPr>
        <w:t xml:space="preserve">Dimension 4: Contagion Breadth</w:t>
      </w:r>
    </w:p>
    <w:p>
      <w:pPr>
        <w:pStyle w:val="BodyText"/>
      </w:pPr>
      <w:r>
        <w:t xml:space="preserve">This measures whether the crisis remained contained within a single market segment or propagated across asset classes and geographies. Broader contagion implies lower absorption capacity.</w:t>
      </w:r>
    </w:p>
    <w:tbl>
      <w:tblPr>
        <w:tblStyle w:val="Table"/>
        <w:tblW w:type="pct" w:w="5000"/>
        <w:tblLook w:firstRow="1" w:lastRow="0" w:firstColumn="0" w:lastColumn="0" w:noHBand="0" w:noVBand="0" w:val="0020"/>
        <w:jc w:val="start"/>
      </w:tblPr>
      <w:tblGrid>
        <w:gridCol w:w="2376"/>
        <w:gridCol w:w="2904"/>
        <w:gridCol w:w="2640"/>
      </w:tblGrid>
      <w:tr>
        <w:trPr>
          <w:tblHeader w:val="true"/>
        </w:trPr>
        <w:tc>
          <w:tcPr/>
          <w:p>
            <w:pPr>
              <w:pStyle w:val="Compact"/>
              <w:jc w:val="left"/>
            </w:pPr>
            <w:r>
              <w:t xml:space="preserve">Breadth</w:t>
            </w:r>
          </w:p>
        </w:tc>
        <w:tc>
          <w:tcPr/>
          <w:p>
            <w:pPr>
              <w:pStyle w:val="Compact"/>
              <w:jc w:val="left"/>
            </w:pPr>
            <w:r>
              <w:t xml:space="preserve">Sub-Score</w:t>
            </w:r>
          </w:p>
        </w:tc>
        <w:tc>
          <w:tcPr/>
          <w:p>
            <w:pPr>
              <w:pStyle w:val="Compact"/>
              <w:jc w:val="left"/>
            </w:pPr>
            <w:r>
              <w:t xml:space="preserve">Criteria</w:t>
            </w:r>
          </w:p>
        </w:tc>
      </w:tr>
      <w:tr>
        <w:tc>
          <w:tcPr/>
          <w:p>
            <w:pPr>
              <w:pStyle w:val="Compact"/>
              <w:jc w:val="left"/>
            </w:pPr>
            <w:r>
              <w:t xml:space="preserve">Single segment</w:t>
            </w:r>
          </w:p>
        </w:tc>
        <w:tc>
          <w:tcPr/>
          <w:p>
            <w:pPr>
              <w:pStyle w:val="Compact"/>
              <w:jc w:val="left"/>
            </w:pPr>
            <w:r>
              <w:t xml:space="preserve">0.85</w:t>
            </w:r>
          </w:p>
        </w:tc>
        <w:tc>
          <w:tcPr/>
          <w:p>
            <w:pPr>
              <w:pStyle w:val="Compact"/>
              <w:jc w:val="left"/>
            </w:pPr>
            <w:r>
              <w:t xml:space="preserve">Stress confined to one asset class or sector (e.g., equities only, crypto only)</w:t>
            </w:r>
          </w:p>
        </w:tc>
      </w:tr>
      <w:tr>
        <w:tc>
          <w:tcPr/>
          <w:p>
            <w:pPr>
              <w:pStyle w:val="Compact"/>
              <w:jc w:val="left"/>
            </w:pPr>
            <w:r>
              <w:t xml:space="preserve">Two–three segments</w:t>
            </w:r>
          </w:p>
        </w:tc>
        <w:tc>
          <w:tcPr/>
          <w:p>
            <w:pPr>
              <w:pStyle w:val="Compact"/>
              <w:jc w:val="left"/>
            </w:pPr>
            <w:r>
              <w:t xml:space="preserve">0.55</w:t>
            </w:r>
          </w:p>
        </w:tc>
        <w:tc>
          <w:tcPr/>
          <w:p>
            <w:pPr>
              <w:pStyle w:val="Compact"/>
              <w:jc w:val="left"/>
            </w:pPr>
            <w:r>
              <w:t xml:space="preserve">Cross-asset stress (e.g., equities + credit, or equities + FX)</w:t>
            </w:r>
          </w:p>
        </w:tc>
      </w:tr>
      <w:tr>
        <w:tc>
          <w:tcPr/>
          <w:p>
            <w:pPr>
              <w:pStyle w:val="Compact"/>
              <w:jc w:val="left"/>
            </w:pPr>
            <w:r>
              <w:t xml:space="preserve">Broad domestic</w:t>
            </w:r>
          </w:p>
        </w:tc>
        <w:tc>
          <w:tcPr/>
          <w:p>
            <w:pPr>
              <w:pStyle w:val="Compact"/>
              <w:jc w:val="left"/>
            </w:pPr>
            <w:r>
              <w:t xml:space="preserve">0.30</w:t>
            </w:r>
          </w:p>
        </w:tc>
        <w:tc>
          <w:tcPr/>
          <w:p>
            <w:pPr>
              <w:pStyle w:val="Compact"/>
              <w:jc w:val="left"/>
            </w:pPr>
            <w:r>
              <w:t xml:space="preserve">Stress across most domestic asset classes (equities, credit, rates, funding)</w:t>
            </w:r>
          </w:p>
        </w:tc>
      </w:tr>
      <w:tr>
        <w:tc>
          <w:tcPr/>
          <w:p>
            <w:pPr>
              <w:pStyle w:val="Compact"/>
              <w:jc w:val="left"/>
            </w:pPr>
            <w:r>
              <w:t xml:space="preserve">Global systemic</w:t>
            </w:r>
          </w:p>
        </w:tc>
        <w:tc>
          <w:tcPr/>
          <w:p>
            <w:pPr>
              <w:pStyle w:val="Compact"/>
              <w:jc w:val="left"/>
            </w:pPr>
            <w:r>
              <w:t xml:space="preserve">0.10</w:t>
            </w:r>
          </w:p>
        </w:tc>
        <w:tc>
          <w:tcPr/>
          <w:p>
            <w:pPr>
              <w:pStyle w:val="Compact"/>
              <w:jc w:val="left"/>
            </w:pPr>
            <w:r>
              <w:t xml:space="preserve">Stress propagates internationally with correlated drawdowns across &gt;3 major markets</w:t>
            </w:r>
          </w:p>
        </w:tc>
      </w:tr>
    </w:tbl>
    <w:p>
      <w:pPr>
        <w:pStyle w:val="BodyText"/>
      </w:pPr>
      <w:r>
        <w:rPr>
          <w:iCs/>
          <w:i/>
        </w:rPr>
        <w:t xml:space="preserve">Sources: Bloomberg cross-asset correlation matrices, BIS cross-border banking flows, EMBI spreads for EM contagion, cross-currency basis for dollar funding stress.</w:t>
      </w:r>
    </w:p>
    <w:p>
      <w:pPr>
        <w:pStyle w:val="BodyText"/>
      </w:pPr>
      <w:r>
        <w:rPr>
          <w:bCs/>
          <w:b/>
        </w:rPr>
        <w:t xml:space="preserve">Dimension 5: Duration of Acute Stress Phase</w:t>
      </w:r>
    </w:p>
    <w:p>
      <w:pPr>
        <w:pStyle w:val="BodyText"/>
      </w:pPr>
      <w:r>
        <w:t xml:space="preserve">Brief, sharp shocks that resolve within days indicate higher absorption capacity than protracted stress that persists for weeks or months. Duration is measured as the number of trading days between the event date and the point at which VIX (or its historical proxy) returns to within 1.5 standard deviations of its 6-month pre-event mean.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Duration</w:t>
            </w:r>
          </w:p>
        </w:tc>
        <w:tc>
          <w:tcPr/>
          <w:p>
            <w:pPr>
              <w:pStyle w:val="Compact"/>
              <w:jc w:val="left"/>
            </w:pPr>
            <w:r>
              <w:t xml:space="preserve">Sub-Score</w:t>
            </w:r>
          </w:p>
        </w:tc>
        <w:tc>
          <w:tcPr/>
          <w:p>
            <w:pPr>
              <w:pStyle w:val="Compact"/>
              <w:jc w:val="left"/>
            </w:pPr>
            <w:r>
              <w:t xml:space="preserve">Rationale</w:t>
            </w:r>
          </w:p>
        </w:tc>
      </w:tr>
      <w:tr>
        <w:tc>
          <w:tcPr/>
          <w:p>
            <w:pPr>
              <w:pStyle w:val="Compact"/>
              <w:jc w:val="left"/>
            </w:pPr>
            <w:r>
              <w:t xml:space="preserve">&lt; 5 trading days</w:t>
            </w:r>
          </w:p>
        </w:tc>
        <w:tc>
          <w:tcPr/>
          <w:p>
            <w:pPr>
              <w:pStyle w:val="Compact"/>
              <w:jc w:val="left"/>
            </w:pPr>
            <w:r>
              <w:t xml:space="preserve">0.85</w:t>
            </w:r>
          </w:p>
        </w:tc>
        <w:tc>
          <w:tcPr/>
          <w:p>
            <w:pPr>
              <w:pStyle w:val="Compact"/>
              <w:jc w:val="left"/>
            </w:pPr>
            <w:r>
              <w:t xml:space="preserve">Flash event, rapidly absorbed</w:t>
            </w:r>
          </w:p>
        </w:tc>
      </w:tr>
      <w:tr>
        <w:tc>
          <w:tcPr/>
          <w:p>
            <w:pPr>
              <w:pStyle w:val="Compact"/>
              <w:jc w:val="left"/>
            </w:pPr>
            <w:r>
              <w:t xml:space="preserve">5–15 trading days</w:t>
            </w:r>
          </w:p>
        </w:tc>
        <w:tc>
          <w:tcPr/>
          <w:p>
            <w:pPr>
              <w:pStyle w:val="Compact"/>
              <w:jc w:val="left"/>
            </w:pPr>
            <w:r>
              <w:t xml:space="preserve">0.60</w:t>
            </w:r>
          </w:p>
        </w:tc>
        <w:tc>
          <w:tcPr/>
          <w:p>
            <w:pPr>
              <w:pStyle w:val="Compact"/>
              <w:jc w:val="left"/>
            </w:pPr>
            <w:r>
              <w:t xml:space="preserve">Short-duration stress</w:t>
            </w:r>
          </w:p>
        </w:tc>
      </w:tr>
      <w:tr>
        <w:tc>
          <w:tcPr/>
          <w:p>
            <w:pPr>
              <w:pStyle w:val="Compact"/>
              <w:jc w:val="left"/>
            </w:pPr>
            <w:r>
              <w:t xml:space="preserve">15–40 trading days</w:t>
            </w:r>
          </w:p>
        </w:tc>
        <w:tc>
          <w:tcPr/>
          <w:p>
            <w:pPr>
              <w:pStyle w:val="Compact"/>
              <w:jc w:val="left"/>
            </w:pPr>
            <w:r>
              <w:t xml:space="preserve">0.40</w:t>
            </w:r>
          </w:p>
        </w:tc>
        <w:tc>
          <w:tcPr/>
          <w:p>
            <w:pPr>
              <w:pStyle w:val="Compact"/>
              <w:jc w:val="left"/>
            </w:pPr>
            <w:r>
              <w:t xml:space="preserve">Extended stress</w:t>
            </w:r>
          </w:p>
        </w:tc>
      </w:tr>
      <w:tr>
        <w:tc>
          <w:tcPr/>
          <w:p>
            <w:pPr>
              <w:pStyle w:val="Compact"/>
              <w:jc w:val="left"/>
            </w:pPr>
            <w:r>
              <w:t xml:space="preserve">40–90 trading days</w:t>
            </w:r>
          </w:p>
        </w:tc>
        <w:tc>
          <w:tcPr/>
          <w:p>
            <w:pPr>
              <w:pStyle w:val="Compact"/>
              <w:jc w:val="left"/>
            </w:pPr>
            <w:r>
              <w:t xml:space="preserve">0.20</w:t>
            </w:r>
          </w:p>
        </w:tc>
        <w:tc>
          <w:tcPr/>
          <w:p>
            <w:pPr>
              <w:pStyle w:val="Compact"/>
              <w:jc w:val="left"/>
            </w:pPr>
            <w:r>
              <w:t xml:space="preserve">Prolonged crisis</w:t>
            </w:r>
          </w:p>
        </w:tc>
      </w:tr>
      <w:tr>
        <w:tc>
          <w:tcPr/>
          <w:p>
            <w:pPr>
              <w:pStyle w:val="Compact"/>
              <w:jc w:val="left"/>
            </w:pPr>
            <w:r>
              <w:t xml:space="preserve">&gt; 90 trading days</w:t>
            </w:r>
          </w:p>
        </w:tc>
        <w:tc>
          <w:tcPr/>
          <w:p>
            <w:pPr>
              <w:pStyle w:val="Compact"/>
              <w:jc w:val="left"/>
            </w:pPr>
            <w:r>
              <w:t xml:space="preserve">0.10</w:t>
            </w:r>
          </w:p>
        </w:tc>
        <w:tc>
          <w:tcPr/>
          <w:p>
            <w:pPr>
              <w:pStyle w:val="Compact"/>
              <w:jc w:val="left"/>
            </w:pPr>
            <w:r>
              <w:t xml:space="preserve">Structural/systemic event</w:t>
            </w:r>
          </w:p>
        </w:tc>
      </w:tr>
    </w:tbl>
    <w:p>
      <w:pPr>
        <w:pStyle w:val="BodyText"/>
      </w:pPr>
      <w:r>
        <w:rPr>
          <w:iCs/>
          <w:i/>
        </w:rPr>
        <w:t xml:space="preserve">Sources: VIXCLS daily (FRED), VXO daily (FRED), Schwert (1989) monthly estimates for pre-1990.</w:t>
      </w:r>
    </w:p>
    <w:bookmarkEnd w:id="119"/>
    <w:bookmarkStart w:id="120" w:name="csr-composite-calculation"/>
    <w:p>
      <w:pPr>
        <w:pStyle w:val="Heading4"/>
      </w:pPr>
      <w:r>
        <w:t xml:space="preserve">13.2.3 CSR Composite Calculation</w:t>
      </w:r>
    </w:p>
    <w:p>
      <w:pPr>
        <w:pStyle w:val="FirstParagraph"/>
      </w:pPr>
      <w:r>
        <w:t xml:space="preserve">The expected MAC score for scenario</w:t>
      </w:r>
      <w:r>
        <w:t xml:space="preserve"> </w:t>
      </w:r>
      <m:oMath>
        <m:r>
          <m:t>i</m:t>
        </m:r>
      </m:oMath>
      <w:r>
        <w:t xml:space="preserve"> </w:t>
      </w:r>
      <w:r>
        <w:t xml:space="preserve">is the equally-weighted average of its five CSR dimension sub-scores:</w:t>
      </w:r>
    </w:p>
    <w:p>
      <w:pPr>
        <w:pStyle w:val="BodyText"/>
      </w:pPr>
      <m:oMathPara>
        <m:oMathParaPr>
          <m:jc m:val="center"/>
        </m:oMathParaPr>
        <m:oMath>
          <m:sSubSup>
            <m:e>
              <m:r>
                <m:rPr>
                  <m:nor/>
                  <m:sty m:val="p"/>
                </m:rPr>
                <m:t>MAC</m:t>
              </m:r>
            </m:e>
            <m:sub>
              <m:r>
                <m:rPr>
                  <m:nor/>
                  <m:sty m:val="p"/>
                </m:rPr>
                <m:t>expected</m:t>
              </m:r>
            </m:sub>
            <m:sup>
              <m:d>
                <m:dPr>
                  <m:begChr m:val="("/>
                  <m:endChr m:val=")"/>
                  <m:sepChr m:val=""/>
                  <m:grow/>
                </m:dPr>
                <m:e>
                  <m:r>
                    <m:t>i</m:t>
                  </m:r>
                </m:e>
              </m:d>
            </m:sup>
          </m:sSubSup>
          <m:r>
            <m:rPr>
              <m:sty m:val="p"/>
            </m:rPr>
            <m:t>=</m:t>
          </m:r>
          <m:f>
            <m:fPr>
              <m:type m:val="bar"/>
            </m:fPr>
            <m:num>
              <m:r>
                <m:t>1</m:t>
              </m:r>
            </m:num>
            <m:den>
              <m:r>
                <m:t>5</m:t>
              </m:r>
            </m:den>
          </m:f>
          <m:nary>
            <m:naryPr>
              <m:chr m:val="∑"/>
              <m:limLoc m:val="undOvr"/>
              <m:subHide m:val="off"/>
              <m:supHide m:val="off"/>
            </m:naryPr>
            <m:sub>
              <m:r>
                <m:t>d</m:t>
              </m:r>
              <m:r>
                <m:rPr>
                  <m:sty m:val="p"/>
                </m:rPr>
                <m:t>=</m:t>
              </m:r>
              <m:r>
                <m:t>1</m:t>
              </m:r>
            </m:sub>
            <m:sup>
              <m:r>
                <m:t>5</m:t>
              </m:r>
            </m:sup>
            <m:e>
              <m:sSubSup>
                <m:e>
                  <m:r>
                    <m:rPr>
                      <m:nor/>
                      <m:sty m:val="p"/>
                    </m:rPr>
                    <m:t>CSR</m:t>
                  </m:r>
                </m:e>
                <m:sub>
                  <m:r>
                    <m:t>d</m:t>
                  </m:r>
                </m:sub>
                <m:sup>
                  <m:d>
                    <m:dPr>
                      <m:begChr m:val="("/>
                      <m:endChr m:val=")"/>
                      <m:sepChr m:val=""/>
                      <m:grow/>
                    </m:dPr>
                    <m:e>
                      <m:r>
                        <m:t>i</m:t>
                      </m:r>
                    </m:e>
                  </m:d>
                </m:sup>
              </m:sSubSup>
            </m:e>
          </m:nary>
        </m:oMath>
      </m:oMathPara>
    </w:p>
    <w:p>
      <w:pPr>
        <w:pStyle w:val="FirstParagraph"/>
      </w:pPr>
      <w:r>
        <w:t xml:space="preserve">This yields a point estimate. The expected range reported in results tables is</w:t>
      </w:r>
      <w:r>
        <w:t xml:space="preserve"> </w:t>
      </w:r>
      <m:oMath>
        <m:sSubSup>
          <m:e>
            <m:r>
              <m:rPr>
                <m:nor/>
                <m:sty m:val="p"/>
              </m:rPr>
              <m:t>MAC</m:t>
            </m:r>
          </m:e>
          <m:sub>
            <m:r>
              <m:rPr>
                <m:nor/>
                <m:sty m:val="p"/>
              </m:rPr>
              <m:t>expected</m:t>
            </m:r>
          </m:sub>
          <m:sup>
            <m:d>
              <m:dPr>
                <m:begChr m:val="("/>
                <m:endChr m:val=")"/>
                <m:sepChr m:val=""/>
                <m:grow/>
              </m:dPr>
              <m:e>
                <m:r>
                  <m:t>i</m:t>
                </m:r>
              </m:e>
            </m:d>
          </m:sup>
        </m:sSubSup>
        <m:r>
          <m:rPr>
            <m:sty m:val="p"/>
          </m:rPr>
          <m:t>±</m:t>
        </m:r>
        <m:r>
          <m:t>0.10</m:t>
        </m:r>
      </m:oMath>
      <w:r>
        <w:t xml:space="preserve">, reflecting inherent imprecision in categorical-to-continuous mapping.</w:t>
      </w:r>
    </w:p>
    <w:bookmarkEnd w:id="120"/>
    <w:bookmarkStart w:id="121" w:name="csr-scores-for-the-14-modern-scenarios"/>
    <w:p>
      <w:pPr>
        <w:pStyle w:val="Heading4"/>
      </w:pPr>
      <w:r>
        <w:t xml:space="preserve">13.2.4 CSR Scores for the 14 Modern Scenarios</w:t>
      </w:r>
    </w:p>
    <w:tbl>
      <w:tblPr>
        <w:tblStyle w:val="Table"/>
        <w:tblW w:type="pct" w:w="5000"/>
        <w:tblLook w:firstRow="1" w:lastRow="0" w:firstColumn="0" w:lastColumn="0" w:noHBand="0" w:noVBand="0" w:val="0020"/>
        <w:jc w:val="start"/>
      </w:tblPr>
      <w:tblGrid>
        <w:gridCol w:w="842"/>
        <w:gridCol w:w="842"/>
        <w:gridCol w:w="1348"/>
        <w:gridCol w:w="1432"/>
        <w:gridCol w:w="926"/>
        <w:gridCol w:w="842"/>
        <w:gridCol w:w="1685"/>
      </w:tblGrid>
      <w:tr>
        <w:trPr>
          <w:tblHeader w:val="true"/>
        </w:trPr>
        <w:tc>
          <w:tcPr/>
          <w:p>
            <w:pPr>
              <w:pStyle w:val="Compact"/>
              <w:jc w:val="left"/>
            </w:pPr>
            <w:r>
              <w:t xml:space="preserve">Scenario</w:t>
            </w:r>
          </w:p>
        </w:tc>
        <w:tc>
          <w:tcPr/>
          <w:p>
            <w:pPr>
              <w:pStyle w:val="Compact"/>
              <w:jc w:val="left"/>
            </w:pPr>
            <w:r>
              <w:t xml:space="preserve">Drawdown</w:t>
            </w:r>
          </w:p>
        </w:tc>
        <w:tc>
          <w:tcPr/>
          <w:p>
            <w:pPr>
              <w:pStyle w:val="Compact"/>
              <w:jc w:val="left"/>
            </w:pPr>
            <w:r>
              <w:t xml:space="preserve">Mkt Dysfunction</w:t>
            </w:r>
          </w:p>
        </w:tc>
        <w:tc>
          <w:tcPr/>
          <w:p>
            <w:pPr>
              <w:pStyle w:val="Compact"/>
              <w:jc w:val="left"/>
            </w:pPr>
            <w:r>
              <w:t xml:space="preserve">Policy Response</w:t>
            </w:r>
          </w:p>
        </w:tc>
        <w:tc>
          <w:tcPr/>
          <w:p>
            <w:pPr>
              <w:pStyle w:val="Compact"/>
              <w:jc w:val="left"/>
            </w:pPr>
            <w:r>
              <w:t xml:space="preserve">Contagion</w:t>
            </w:r>
          </w:p>
        </w:tc>
        <w:tc>
          <w:tcPr/>
          <w:p>
            <w:pPr>
              <w:pStyle w:val="Compact"/>
              <w:jc w:val="left"/>
            </w:pPr>
            <w:r>
              <w:t xml:space="preserve">Duration</w:t>
            </w:r>
          </w:p>
        </w:tc>
        <w:tc>
          <w:tcPr/>
          <w:p>
            <w:pPr>
              <w:pStyle w:val="Compact"/>
              <w:jc w:val="left"/>
            </w:pPr>
            <w:r>
              <w:rPr>
                <w:bCs/>
                <w:b/>
              </w:rPr>
              <w:t xml:space="preserve">CSR Composite</w:t>
            </w:r>
          </w:p>
        </w:tc>
      </w:tr>
      <w:tr>
        <w:tc>
          <w:tcPr/>
          <w:p>
            <w:pPr>
              <w:pStyle w:val="Compact"/>
              <w:jc w:val="left"/>
            </w:pPr>
            <w:r>
              <w:t xml:space="preserve">LTCM 1998</w:t>
            </w:r>
          </w:p>
        </w:tc>
        <w:tc>
          <w:tcPr/>
          <w:p>
            <w:pPr>
              <w:pStyle w:val="Compact"/>
              <w:jc w:val="left"/>
            </w:pPr>
            <w:r>
              <w:t xml:space="preserve">0.45</w:t>
            </w:r>
          </w:p>
        </w:tc>
        <w:tc>
          <w:tcPr/>
          <w:p>
            <w:pPr>
              <w:pStyle w:val="Compact"/>
              <w:jc w:val="left"/>
            </w:pPr>
            <w:r>
              <w:t xml:space="preserve">0.55</w:t>
            </w:r>
          </w:p>
        </w:tc>
        <w:tc>
          <w:tcPr/>
          <w:p>
            <w:pPr>
              <w:pStyle w:val="Compact"/>
              <w:jc w:val="left"/>
            </w:pPr>
            <w:r>
              <w:t xml:space="preserve">0.20</w:t>
            </w:r>
          </w:p>
        </w:tc>
        <w:tc>
          <w:tcPr/>
          <w:p>
            <w:pPr>
              <w:pStyle w:val="Compact"/>
              <w:jc w:val="left"/>
            </w:pPr>
            <w:r>
              <w:t xml:space="preserve">0.30</w:t>
            </w:r>
          </w:p>
        </w:tc>
        <w:tc>
          <w:tcPr/>
          <w:p>
            <w:pPr>
              <w:pStyle w:val="Compact"/>
              <w:jc w:val="left"/>
            </w:pPr>
            <w:r>
              <w:t xml:space="preserve">0.40</w:t>
            </w:r>
          </w:p>
        </w:tc>
        <w:tc>
          <w:tcPr/>
          <w:p>
            <w:pPr>
              <w:pStyle w:val="Compact"/>
              <w:jc w:val="left"/>
            </w:pPr>
            <w:r>
              <w:rPr>
                <w:bCs/>
                <w:b/>
              </w:rPr>
              <w:t xml:space="preserve">0.38</w:t>
            </w:r>
          </w:p>
        </w:tc>
      </w:tr>
      <w:tr>
        <w:tc>
          <w:tcPr/>
          <w:p>
            <w:pPr>
              <w:pStyle w:val="Compact"/>
              <w:jc w:val="left"/>
            </w:pPr>
            <w:r>
              <w:t xml:space="preserve">Dot-com Peak 2000</w:t>
            </w:r>
          </w:p>
        </w:tc>
        <w:tc>
          <w:tcPr/>
          <w:p>
            <w:pPr>
              <w:pStyle w:val="Compact"/>
              <w:jc w:val="left"/>
            </w:pPr>
            <w:r>
              <w:t xml:space="preserve">0.70</w:t>
            </w:r>
          </w:p>
        </w:tc>
        <w:tc>
          <w:tcPr/>
          <w:p>
            <w:pPr>
              <w:pStyle w:val="Compact"/>
              <w:jc w:val="left"/>
            </w:pPr>
            <w:r>
              <w:t xml:space="preserve">0.90</w:t>
            </w:r>
          </w:p>
        </w:tc>
        <w:tc>
          <w:tcPr/>
          <w:p>
            <w:pPr>
              <w:pStyle w:val="Compact"/>
              <w:jc w:val="left"/>
            </w:pPr>
            <w:r>
              <w:t xml:space="preserve">0.90</w:t>
            </w:r>
          </w:p>
        </w:tc>
        <w:tc>
          <w:tcPr/>
          <w:p>
            <w:pPr>
              <w:pStyle w:val="Compact"/>
              <w:jc w:val="left"/>
            </w:pPr>
            <w:r>
              <w:t xml:space="preserve">0.55</w:t>
            </w:r>
          </w:p>
        </w:tc>
        <w:tc>
          <w:tcPr/>
          <w:p>
            <w:pPr>
              <w:pStyle w:val="Compact"/>
              <w:jc w:val="left"/>
            </w:pPr>
            <w:r>
              <w:t xml:space="preserve">0.60</w:t>
            </w:r>
          </w:p>
        </w:tc>
        <w:tc>
          <w:tcPr/>
          <w:p>
            <w:pPr>
              <w:pStyle w:val="Compact"/>
              <w:jc w:val="left"/>
            </w:pPr>
            <w:r>
              <w:rPr>
                <w:bCs/>
                <w:b/>
              </w:rPr>
              <w:t xml:space="preserve">0.73</w:t>
            </w:r>
          </w:p>
        </w:tc>
      </w:tr>
      <w:tr>
        <w:tc>
          <w:tcPr/>
          <w:p>
            <w:pPr>
              <w:pStyle w:val="Compact"/>
              <w:jc w:val="left"/>
            </w:pPr>
            <w:r>
              <w:t xml:space="preserve">9/11 2001</w:t>
            </w:r>
          </w:p>
        </w:tc>
        <w:tc>
          <w:tcPr/>
          <w:p>
            <w:pPr>
              <w:pStyle w:val="Compact"/>
              <w:jc w:val="left"/>
            </w:pPr>
            <w:r>
              <w:t xml:space="preserve">0.55</w:t>
            </w:r>
          </w:p>
        </w:tc>
        <w:tc>
          <w:tcPr/>
          <w:p>
            <w:pPr>
              <w:pStyle w:val="Compact"/>
              <w:jc w:val="left"/>
            </w:pPr>
            <w:r>
              <w:t xml:space="preserve">0.25</w:t>
            </w:r>
          </w:p>
        </w:tc>
        <w:tc>
          <w:tcPr/>
          <w:p>
            <w:pPr>
              <w:pStyle w:val="Compact"/>
              <w:jc w:val="left"/>
            </w:pPr>
            <w:r>
              <w:t xml:space="preserve">0.40</w:t>
            </w:r>
          </w:p>
        </w:tc>
        <w:tc>
          <w:tcPr/>
          <w:p>
            <w:pPr>
              <w:pStyle w:val="Compact"/>
              <w:jc w:val="left"/>
            </w:pPr>
            <w:r>
              <w:t xml:space="preserve">0.55</w:t>
            </w:r>
          </w:p>
        </w:tc>
        <w:tc>
          <w:tcPr/>
          <w:p>
            <w:pPr>
              <w:pStyle w:val="Compact"/>
              <w:jc w:val="left"/>
            </w:pPr>
            <w:r>
              <w:t xml:space="preserve">0.60</w:t>
            </w:r>
          </w:p>
        </w:tc>
        <w:tc>
          <w:tcPr/>
          <w:p>
            <w:pPr>
              <w:pStyle w:val="Compact"/>
              <w:jc w:val="left"/>
            </w:pPr>
            <w:r>
              <w:rPr>
                <w:bCs/>
                <w:b/>
              </w:rPr>
              <w:t xml:space="preserve">0.47</w:t>
            </w:r>
          </w:p>
        </w:tc>
      </w:tr>
      <w:tr>
        <w:tc>
          <w:tcPr/>
          <w:p>
            <w:pPr>
              <w:pStyle w:val="Compact"/>
              <w:jc w:val="left"/>
            </w:pPr>
            <w:r>
              <w:t xml:space="preserve">Dot-com Bottom 2002</w:t>
            </w:r>
          </w:p>
        </w:tc>
        <w:tc>
          <w:tcPr/>
          <w:p>
            <w:pPr>
              <w:pStyle w:val="Compact"/>
              <w:jc w:val="left"/>
            </w:pPr>
            <w:r>
              <w:t xml:space="preserve">0.25</w:t>
            </w:r>
          </w:p>
        </w:tc>
        <w:tc>
          <w:tcPr/>
          <w:p>
            <w:pPr>
              <w:pStyle w:val="Compact"/>
              <w:jc w:val="left"/>
            </w:pPr>
            <w:r>
              <w:t xml:space="preserve">0.55</w:t>
            </w:r>
          </w:p>
        </w:tc>
        <w:tc>
          <w:tcPr/>
          <w:p>
            <w:pPr>
              <w:pStyle w:val="Compact"/>
              <w:jc w:val="left"/>
            </w:pPr>
            <w:r>
              <w:t xml:space="preserve">0.70</w:t>
            </w:r>
          </w:p>
        </w:tc>
        <w:tc>
          <w:tcPr/>
          <w:p>
            <w:pPr>
              <w:pStyle w:val="Compact"/>
              <w:jc w:val="left"/>
            </w:pPr>
            <w:r>
              <w:t xml:space="preserve">0.55</w:t>
            </w:r>
          </w:p>
        </w:tc>
        <w:tc>
          <w:tcPr/>
          <w:p>
            <w:pPr>
              <w:pStyle w:val="Compact"/>
              <w:jc w:val="left"/>
            </w:pPr>
            <w:r>
              <w:t xml:space="preserve">0.20</w:t>
            </w:r>
          </w:p>
        </w:tc>
        <w:tc>
          <w:tcPr/>
          <w:p>
            <w:pPr>
              <w:pStyle w:val="Compact"/>
              <w:jc w:val="left"/>
            </w:pPr>
            <w:r>
              <w:rPr>
                <w:bCs/>
                <w:b/>
              </w:rPr>
              <w:t xml:space="preserve">0.45</w:t>
            </w:r>
          </w:p>
        </w:tc>
      </w:tr>
      <w:tr>
        <w:tc>
          <w:tcPr/>
          <w:p>
            <w:pPr>
              <w:pStyle w:val="Compact"/>
              <w:jc w:val="left"/>
            </w:pPr>
            <w:r>
              <w:t xml:space="preserve">Bear Stearns 2008</w:t>
            </w:r>
          </w:p>
        </w:tc>
        <w:tc>
          <w:tcPr/>
          <w:p>
            <w:pPr>
              <w:pStyle w:val="Compact"/>
              <w:jc w:val="left"/>
            </w:pPr>
            <w:r>
              <w:t xml:space="preserve">0.45</w:t>
            </w:r>
          </w:p>
        </w:tc>
        <w:tc>
          <w:tcPr/>
          <w:p>
            <w:pPr>
              <w:pStyle w:val="Compact"/>
              <w:jc w:val="left"/>
            </w:pPr>
            <w:r>
              <w:t xml:space="preserve">0.55</w:t>
            </w:r>
          </w:p>
        </w:tc>
        <w:tc>
          <w:tcPr/>
          <w:p>
            <w:pPr>
              <w:pStyle w:val="Compact"/>
              <w:jc w:val="left"/>
            </w:pPr>
            <w:r>
              <w:t xml:space="preserve">0.20</w:t>
            </w:r>
          </w:p>
        </w:tc>
        <w:tc>
          <w:tcPr/>
          <w:p>
            <w:pPr>
              <w:pStyle w:val="Compact"/>
              <w:jc w:val="left"/>
            </w:pPr>
            <w:r>
              <w:t xml:space="preserve">0.55</w:t>
            </w:r>
          </w:p>
        </w:tc>
        <w:tc>
          <w:tcPr/>
          <w:p>
            <w:pPr>
              <w:pStyle w:val="Compact"/>
              <w:jc w:val="left"/>
            </w:pPr>
            <w:r>
              <w:t xml:space="preserve">0.40</w:t>
            </w:r>
          </w:p>
        </w:tc>
        <w:tc>
          <w:tcPr/>
          <w:p>
            <w:pPr>
              <w:pStyle w:val="Compact"/>
              <w:jc w:val="left"/>
            </w:pPr>
            <w:r>
              <w:rPr>
                <w:bCs/>
                <w:b/>
              </w:rPr>
              <w:t xml:space="preserve">0.43</w:t>
            </w:r>
          </w:p>
        </w:tc>
      </w:tr>
      <w:tr>
        <w:tc>
          <w:tcPr/>
          <w:p>
            <w:pPr>
              <w:pStyle w:val="Compact"/>
              <w:jc w:val="left"/>
            </w:pPr>
            <w:r>
              <w:t xml:space="preserve">Lehman 2008</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rPr>
                <w:bCs/>
                <w:b/>
              </w:rPr>
              <w:t xml:space="preserve">0.10</w:t>
            </w:r>
          </w:p>
        </w:tc>
      </w:tr>
      <w:tr>
        <w:tc>
          <w:tcPr/>
          <w:p>
            <w:pPr>
              <w:pStyle w:val="Compact"/>
              <w:jc w:val="left"/>
            </w:pPr>
            <w:r>
              <w:t xml:space="preserve">Flash Crash 2010</w:t>
            </w:r>
          </w:p>
        </w:tc>
        <w:tc>
          <w:tcPr/>
          <w:p>
            <w:pPr>
              <w:pStyle w:val="Compact"/>
              <w:jc w:val="left"/>
            </w:pPr>
            <w:r>
              <w:t xml:space="preserve">0.70</w:t>
            </w:r>
          </w:p>
        </w:tc>
        <w:tc>
          <w:tcPr/>
          <w:p>
            <w:pPr>
              <w:pStyle w:val="Compact"/>
              <w:jc w:val="left"/>
            </w:pPr>
            <w:r>
              <w:t xml:space="preserve">0.55</w:t>
            </w:r>
          </w:p>
        </w:tc>
        <w:tc>
          <w:tcPr/>
          <w:p>
            <w:pPr>
              <w:pStyle w:val="Compact"/>
              <w:jc w:val="left"/>
            </w:pPr>
            <w:r>
              <w:t xml:space="preserve">0.90</w:t>
            </w:r>
          </w:p>
        </w:tc>
        <w:tc>
          <w:tcPr/>
          <w:p>
            <w:pPr>
              <w:pStyle w:val="Compact"/>
              <w:jc w:val="left"/>
            </w:pPr>
            <w:r>
              <w:t xml:space="preserve">0.85</w:t>
            </w:r>
          </w:p>
        </w:tc>
        <w:tc>
          <w:tcPr/>
          <w:p>
            <w:pPr>
              <w:pStyle w:val="Compact"/>
              <w:jc w:val="left"/>
            </w:pPr>
            <w:r>
              <w:t xml:space="preserve">0.85</w:t>
            </w:r>
          </w:p>
        </w:tc>
        <w:tc>
          <w:tcPr/>
          <w:p>
            <w:pPr>
              <w:pStyle w:val="Compact"/>
              <w:jc w:val="left"/>
            </w:pPr>
            <w:r>
              <w:rPr>
                <w:bCs/>
                <w:b/>
              </w:rPr>
              <w:t xml:space="preserve">0.77</w:t>
            </w:r>
          </w:p>
        </w:tc>
      </w:tr>
      <w:tr>
        <w:tc>
          <w:tcPr/>
          <w:p>
            <w:pPr>
              <w:pStyle w:val="Compact"/>
              <w:jc w:val="left"/>
            </w:pPr>
            <w:r>
              <w:t xml:space="preserve">US Downgrade 2011</w:t>
            </w:r>
          </w:p>
        </w:tc>
        <w:tc>
          <w:tcPr/>
          <w:p>
            <w:pPr>
              <w:pStyle w:val="Compact"/>
              <w:jc w:val="left"/>
            </w:pPr>
            <w:r>
              <w:t xml:space="preserve">0.45</w:t>
            </w:r>
          </w:p>
        </w:tc>
        <w:tc>
          <w:tcPr/>
          <w:p>
            <w:pPr>
              <w:pStyle w:val="Compact"/>
              <w:jc w:val="left"/>
            </w:pPr>
            <w:r>
              <w:t xml:space="preserve">0.55</w:t>
            </w:r>
          </w:p>
        </w:tc>
        <w:tc>
          <w:tcPr/>
          <w:p>
            <w:pPr>
              <w:pStyle w:val="Compact"/>
              <w:jc w:val="left"/>
            </w:pPr>
            <w:r>
              <w:t xml:space="preserve">0.70</w:t>
            </w:r>
          </w:p>
        </w:tc>
        <w:tc>
          <w:tcPr/>
          <w:p>
            <w:pPr>
              <w:pStyle w:val="Compact"/>
              <w:jc w:val="left"/>
            </w:pPr>
            <w:r>
              <w:t xml:space="preserve">0.55</w:t>
            </w:r>
          </w:p>
        </w:tc>
        <w:tc>
          <w:tcPr/>
          <w:p>
            <w:pPr>
              <w:pStyle w:val="Compact"/>
              <w:jc w:val="left"/>
            </w:pPr>
            <w:r>
              <w:t xml:space="preserve">0.40</w:t>
            </w:r>
          </w:p>
        </w:tc>
        <w:tc>
          <w:tcPr/>
          <w:p>
            <w:pPr>
              <w:pStyle w:val="Compact"/>
              <w:jc w:val="left"/>
            </w:pPr>
            <w:r>
              <w:rPr>
                <w:bCs/>
                <w:b/>
              </w:rPr>
              <w:t xml:space="preserve">0.53</w:t>
            </w:r>
          </w:p>
        </w:tc>
      </w:tr>
      <w:tr>
        <w:tc>
          <w:tcPr/>
          <w:p>
            <w:pPr>
              <w:pStyle w:val="Compact"/>
              <w:jc w:val="left"/>
            </w:pPr>
            <w:r>
              <w:t xml:space="preserve">Volmageddon 2018</w:t>
            </w:r>
          </w:p>
        </w:tc>
        <w:tc>
          <w:tcPr/>
          <w:p>
            <w:pPr>
              <w:pStyle w:val="Compact"/>
              <w:jc w:val="left"/>
            </w:pPr>
            <w:r>
              <w:t xml:space="preserve">0.70</w:t>
            </w:r>
          </w:p>
        </w:tc>
        <w:tc>
          <w:tcPr/>
          <w:p>
            <w:pPr>
              <w:pStyle w:val="Compact"/>
              <w:jc w:val="left"/>
            </w:pPr>
            <w:r>
              <w:t xml:space="preserve">0.55</w:t>
            </w:r>
          </w:p>
        </w:tc>
        <w:tc>
          <w:tcPr/>
          <w:p>
            <w:pPr>
              <w:pStyle w:val="Compact"/>
              <w:jc w:val="left"/>
            </w:pPr>
            <w:r>
              <w:t xml:space="preserve">0.90</w:t>
            </w:r>
          </w:p>
        </w:tc>
        <w:tc>
          <w:tcPr/>
          <w:p>
            <w:pPr>
              <w:pStyle w:val="Compact"/>
              <w:jc w:val="left"/>
            </w:pPr>
            <w:r>
              <w:t xml:space="preserve">0.85</w:t>
            </w:r>
          </w:p>
        </w:tc>
        <w:tc>
          <w:tcPr/>
          <w:p>
            <w:pPr>
              <w:pStyle w:val="Compact"/>
              <w:jc w:val="left"/>
            </w:pPr>
            <w:r>
              <w:t xml:space="preserve">0.60</w:t>
            </w:r>
          </w:p>
        </w:tc>
        <w:tc>
          <w:tcPr/>
          <w:p>
            <w:pPr>
              <w:pStyle w:val="Compact"/>
              <w:jc w:val="left"/>
            </w:pPr>
            <w:r>
              <w:rPr>
                <w:bCs/>
                <w:b/>
              </w:rPr>
              <w:t xml:space="preserve">0.72</w:t>
            </w:r>
          </w:p>
        </w:tc>
      </w:tr>
      <w:tr>
        <w:tc>
          <w:tcPr/>
          <w:p>
            <w:pPr>
              <w:pStyle w:val="Compact"/>
              <w:jc w:val="left"/>
            </w:pPr>
            <w:r>
              <w:t xml:space="preserve">Repo Spike 2019</w:t>
            </w:r>
          </w:p>
        </w:tc>
        <w:tc>
          <w:tcPr/>
          <w:p>
            <w:pPr>
              <w:pStyle w:val="Compact"/>
              <w:jc w:val="left"/>
            </w:pPr>
            <w:r>
              <w:t xml:space="preserve">0.90</w:t>
            </w:r>
          </w:p>
        </w:tc>
        <w:tc>
          <w:tcPr/>
          <w:p>
            <w:pPr>
              <w:pStyle w:val="Compact"/>
              <w:jc w:val="left"/>
            </w:pPr>
            <w:r>
              <w:t xml:space="preserve">0.25</w:t>
            </w:r>
          </w:p>
        </w:tc>
        <w:tc>
          <w:tcPr/>
          <w:p>
            <w:pPr>
              <w:pStyle w:val="Compact"/>
              <w:jc w:val="left"/>
            </w:pPr>
            <w:r>
              <w:t xml:space="preserve">0.40</w:t>
            </w:r>
          </w:p>
        </w:tc>
        <w:tc>
          <w:tcPr/>
          <w:p>
            <w:pPr>
              <w:pStyle w:val="Compact"/>
              <w:jc w:val="left"/>
            </w:pPr>
            <w:r>
              <w:t xml:space="preserve">0.85</w:t>
            </w:r>
          </w:p>
        </w:tc>
        <w:tc>
          <w:tcPr/>
          <w:p>
            <w:pPr>
              <w:pStyle w:val="Compact"/>
              <w:jc w:val="left"/>
            </w:pPr>
            <w:r>
              <w:t xml:space="preserve">0.60</w:t>
            </w:r>
          </w:p>
        </w:tc>
        <w:tc>
          <w:tcPr/>
          <w:p>
            <w:pPr>
              <w:pStyle w:val="Compact"/>
              <w:jc w:val="left"/>
            </w:pPr>
            <w:r>
              <w:rPr>
                <w:bCs/>
                <w:b/>
              </w:rPr>
              <w:t xml:space="preserve">0.60</w:t>
            </w:r>
          </w:p>
        </w:tc>
      </w:tr>
      <w:tr>
        <w:tc>
          <w:tcPr/>
          <w:p>
            <w:pPr>
              <w:pStyle w:val="Compact"/>
              <w:jc w:val="left"/>
            </w:pPr>
            <w:r>
              <w:t xml:space="preserve">COVID 2020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0.10</w:t>
            </w:r>
          </w:p>
        </w:tc>
        <w:tc>
          <w:tcPr/>
          <w:p>
            <w:pPr>
              <w:pStyle w:val="Compact"/>
              <w:jc w:val="left"/>
            </w:pPr>
            <w:r>
              <w:t xml:space="preserve">0.20</w:t>
            </w:r>
          </w:p>
        </w:tc>
        <w:tc>
          <w:tcPr/>
          <w:p>
            <w:pPr>
              <w:pStyle w:val="Compact"/>
              <w:jc w:val="left"/>
            </w:pPr>
            <w:r>
              <w:rPr>
                <w:bCs/>
                <w:b/>
              </w:rPr>
              <w:t xml:space="preserve">0.12</w:t>
            </w:r>
          </w:p>
        </w:tc>
      </w:tr>
      <w:tr>
        <w:tc>
          <w:tcPr/>
          <w:p>
            <w:pPr>
              <w:pStyle w:val="Compact"/>
              <w:jc w:val="left"/>
            </w:pPr>
            <w:r>
              <w:t xml:space="preserve">Russia–Ukraine 2022</w:t>
            </w:r>
          </w:p>
        </w:tc>
        <w:tc>
          <w:tcPr/>
          <w:p>
            <w:pPr>
              <w:pStyle w:val="Compact"/>
              <w:jc w:val="left"/>
            </w:pPr>
            <w:r>
              <w:t xml:space="preserve">0.45</w:t>
            </w:r>
          </w:p>
        </w:tc>
        <w:tc>
          <w:tcPr/>
          <w:p>
            <w:pPr>
              <w:pStyle w:val="Compact"/>
              <w:jc w:val="left"/>
            </w:pPr>
            <w:r>
              <w:t xml:space="preserve">0.90</w:t>
            </w:r>
          </w:p>
        </w:tc>
        <w:tc>
          <w:tcPr/>
          <w:p>
            <w:pPr>
              <w:pStyle w:val="Compact"/>
              <w:jc w:val="left"/>
            </w:pPr>
            <w:r>
              <w:t xml:space="preserve">0.90</w:t>
            </w:r>
          </w:p>
        </w:tc>
        <w:tc>
          <w:tcPr/>
          <w:p>
            <w:pPr>
              <w:pStyle w:val="Compact"/>
              <w:jc w:val="left"/>
            </w:pPr>
            <w:r>
              <w:t xml:space="preserve">0.55</w:t>
            </w:r>
          </w:p>
        </w:tc>
        <w:tc>
          <w:tcPr/>
          <w:p>
            <w:pPr>
              <w:pStyle w:val="Compact"/>
              <w:jc w:val="left"/>
            </w:pPr>
            <w:r>
              <w:t xml:space="preserve">0.40</w:t>
            </w:r>
          </w:p>
        </w:tc>
        <w:tc>
          <w:tcPr/>
          <w:p>
            <w:pPr>
              <w:pStyle w:val="Compact"/>
              <w:jc w:val="left"/>
            </w:pPr>
            <w:r>
              <w:rPr>
                <w:bCs/>
                <w:b/>
              </w:rPr>
              <w:t xml:space="preserve">0.64</w:t>
            </w:r>
          </w:p>
        </w:tc>
      </w:tr>
      <w:tr>
        <w:tc>
          <w:tcPr/>
          <w:p>
            <w:pPr>
              <w:pStyle w:val="Compact"/>
              <w:jc w:val="left"/>
            </w:pPr>
            <w:r>
              <w:t xml:space="preserve">SVB 2023</w:t>
            </w:r>
          </w:p>
        </w:tc>
        <w:tc>
          <w:tcPr/>
          <w:p>
            <w:pPr>
              <w:pStyle w:val="Compact"/>
              <w:jc w:val="left"/>
            </w:pPr>
            <w:r>
              <w:t xml:space="preserve">0.70</w:t>
            </w:r>
          </w:p>
        </w:tc>
        <w:tc>
          <w:tcPr/>
          <w:p>
            <w:pPr>
              <w:pStyle w:val="Compact"/>
              <w:jc w:val="left"/>
            </w:pPr>
            <w:r>
              <w:t xml:space="preserve">0.55</w:t>
            </w:r>
          </w:p>
        </w:tc>
        <w:tc>
          <w:tcPr/>
          <w:p>
            <w:pPr>
              <w:pStyle w:val="Compact"/>
              <w:jc w:val="left"/>
            </w:pPr>
            <w:r>
              <w:t xml:space="preserve">0.40</w:t>
            </w:r>
          </w:p>
        </w:tc>
        <w:tc>
          <w:tcPr/>
          <w:p>
            <w:pPr>
              <w:pStyle w:val="Compact"/>
              <w:jc w:val="left"/>
            </w:pPr>
            <w:r>
              <w:t xml:space="preserve">0.55</w:t>
            </w:r>
          </w:p>
        </w:tc>
        <w:tc>
          <w:tcPr/>
          <w:p>
            <w:pPr>
              <w:pStyle w:val="Compact"/>
              <w:jc w:val="left"/>
            </w:pPr>
            <w:r>
              <w:t xml:space="preserve">0.60</w:t>
            </w:r>
          </w:p>
        </w:tc>
        <w:tc>
          <w:tcPr/>
          <w:p>
            <w:pPr>
              <w:pStyle w:val="Compact"/>
              <w:jc w:val="left"/>
            </w:pPr>
            <w:r>
              <w:rPr>
                <w:bCs/>
                <w:b/>
              </w:rPr>
              <w:t xml:space="preserve">0.56</w:t>
            </w:r>
          </w:p>
        </w:tc>
      </w:tr>
      <w:tr>
        <w:tc>
          <w:tcPr/>
          <w:p>
            <w:pPr>
              <w:pStyle w:val="Compact"/>
              <w:jc w:val="left"/>
            </w:pPr>
            <w:r>
              <w:t xml:space="preserve">April 2025 Tariffs</w:t>
            </w:r>
          </w:p>
        </w:tc>
        <w:tc>
          <w:tcPr/>
          <w:p>
            <w:pPr>
              <w:pStyle w:val="Compact"/>
              <w:jc w:val="left"/>
            </w:pPr>
            <w:r>
              <w:t xml:space="preserve">0.45</w:t>
            </w:r>
          </w:p>
        </w:tc>
        <w:tc>
          <w:tcPr/>
          <w:p>
            <w:pPr>
              <w:pStyle w:val="Compact"/>
              <w:jc w:val="left"/>
            </w:pPr>
            <w:r>
              <w:t xml:space="preserve">0.55</w:t>
            </w:r>
          </w:p>
        </w:tc>
        <w:tc>
          <w:tcPr/>
          <w:p>
            <w:pPr>
              <w:pStyle w:val="Compact"/>
              <w:jc w:val="left"/>
            </w:pPr>
            <w:r>
              <w:t xml:space="preserve">0.70</w:t>
            </w:r>
          </w:p>
        </w:tc>
        <w:tc>
          <w:tcPr/>
          <w:p>
            <w:pPr>
              <w:pStyle w:val="Compact"/>
              <w:jc w:val="left"/>
            </w:pPr>
            <w:r>
              <w:t xml:space="preserve">0.30</w:t>
            </w:r>
          </w:p>
        </w:tc>
        <w:tc>
          <w:tcPr/>
          <w:p>
            <w:pPr>
              <w:pStyle w:val="Compact"/>
              <w:jc w:val="left"/>
            </w:pPr>
            <w:r>
              <w:t xml:space="preserve">0.40</w:t>
            </w:r>
          </w:p>
        </w:tc>
        <w:tc>
          <w:tcPr/>
          <w:p>
            <w:pPr>
              <w:pStyle w:val="Compact"/>
              <w:jc w:val="left"/>
            </w:pPr>
            <w:r>
              <w:rPr>
                <w:bCs/>
                <w:b/>
              </w:rPr>
              <w:t xml:space="preserve">0.48</w:t>
            </w:r>
          </w:p>
        </w:tc>
      </w:tr>
    </w:tbl>
    <w:p>
      <w:pPr>
        <w:pStyle w:val="BodyText"/>
      </w:pPr>
      <w:r>
        <w:rPr>
          <w:bCs/>
          <w:b/>
        </w:rPr>
        <w:t xml:space="preserve">Independence verification.</w:t>
      </w:r>
      <w:r>
        <w:t xml:space="preserve"> </w:t>
      </w:r>
      <w:r>
        <w:t xml:space="preserve">The five CSR dimensions are derived entirely from market price data (drawdown, VIX duration), observable market microstructure events (dysfunction), public policy announcements (response intensity), and cross-asset correlation data (contagion breadth). None require computation of the MAC score, knowledge of pillar scores, or any output from the MAC framework. The CSR can be — and was — computed by a researcher with no access to the MAC codebase.</w:t>
      </w:r>
    </w:p>
    <w:bookmarkEnd w:id="121"/>
    <w:bookmarkStart w:id="122" w:name="X2d0290fea77c5b713d38d1c852e2caab602db76"/>
    <w:p>
      <w:pPr>
        <w:pStyle w:val="Heading4"/>
      </w:pPr>
      <w:r>
        <w:t xml:space="preserve">13.2.5 Relationship Between CSR and Legacy Severity Labels</w:t>
      </w:r>
    </w:p>
    <w:p>
      <w:pPr>
        <w:pStyle w:val="FirstParagraph"/>
      </w:pPr>
      <w:r>
        <w:t xml:space="preserve">The original severity labels (Moderate, High, Extreme) used in §7.2 map consistently to CSR ranges, confirming that the independent rubric captures the same underlying construct:</w:t>
      </w:r>
    </w:p>
    <w:tbl>
      <w:tblPr>
        <w:tblStyle w:val="Table"/>
        <w:tblW w:type="pct" w:w="5000"/>
        <w:tblLook w:firstRow="1" w:lastRow="0" w:firstColumn="0" w:lastColumn="0" w:noHBand="0" w:noVBand="0" w:val="0020"/>
        <w:jc w:val="start"/>
      </w:tblPr>
      <w:tblGrid>
        <w:gridCol w:w="2941"/>
        <w:gridCol w:w="2489"/>
        <w:gridCol w:w="2489"/>
      </w:tblGrid>
      <w:tr>
        <w:trPr>
          <w:tblHeader w:val="true"/>
        </w:trPr>
        <w:tc>
          <w:tcPr/>
          <w:p>
            <w:pPr>
              <w:pStyle w:val="Compact"/>
              <w:jc w:val="left"/>
            </w:pPr>
            <w:r>
              <w:t xml:space="preserve">Legacy Label</w:t>
            </w:r>
          </w:p>
        </w:tc>
        <w:tc>
          <w:tcPr/>
          <w:p>
            <w:pPr>
              <w:pStyle w:val="Compact"/>
              <w:jc w:val="left"/>
            </w:pPr>
            <w:r>
              <w:t xml:space="preserve">CSR Range</w:t>
            </w:r>
          </w:p>
        </w:tc>
        <w:tc>
          <w:tcPr/>
          <w:p>
            <w:pPr>
              <w:pStyle w:val="Compact"/>
              <w:jc w:val="left"/>
            </w:pPr>
            <w:r>
              <w:t xml:space="preserve">Scenarios</w:t>
            </w:r>
          </w:p>
        </w:tc>
      </w:tr>
      <w:tr>
        <w:tc>
          <w:tcPr/>
          <w:p>
            <w:pPr>
              <w:pStyle w:val="Compact"/>
              <w:jc w:val="left"/>
            </w:pPr>
            <w:r>
              <w:t xml:space="preserve">Moderate</w:t>
            </w:r>
          </w:p>
        </w:tc>
        <w:tc>
          <w:tcPr/>
          <w:p>
            <w:pPr>
              <w:pStyle w:val="Compact"/>
              <w:jc w:val="left"/>
            </w:pPr>
            <w:r>
              <w:t xml:space="preserve">0.55–0.80</w:t>
            </w:r>
          </w:p>
        </w:tc>
        <w:tc>
          <w:tcPr/>
          <w:p>
            <w:pPr>
              <w:pStyle w:val="Compact"/>
              <w:jc w:val="left"/>
            </w:pPr>
            <w:r>
              <w:t xml:space="preserve">Dot-com Peak, Flash Crash, Volmageddon, Repo Spike, Russia–Ukraine</w:t>
            </w:r>
          </w:p>
        </w:tc>
      </w:tr>
      <w:tr>
        <w:tc>
          <w:tcPr/>
          <w:p>
            <w:pPr>
              <w:pStyle w:val="Compact"/>
              <w:jc w:val="left"/>
            </w:pPr>
            <w:r>
              <w:t xml:space="preserve">High</w:t>
            </w:r>
          </w:p>
        </w:tc>
        <w:tc>
          <w:tcPr/>
          <w:p>
            <w:pPr>
              <w:pStyle w:val="Compact"/>
              <w:jc w:val="left"/>
            </w:pPr>
            <w:r>
              <w:t xml:space="preserve">0.40–0.57</w:t>
            </w:r>
          </w:p>
        </w:tc>
        <w:tc>
          <w:tcPr/>
          <w:p>
            <w:pPr>
              <w:pStyle w:val="Compact"/>
              <w:jc w:val="left"/>
            </w:pPr>
            <w:r>
              <w:t xml:space="preserve">9/11, Dot-com Bottom, Bear Stearns, US Downgrade, SVB, April 2025 Tariffs</w:t>
            </w:r>
          </w:p>
        </w:tc>
      </w:tr>
      <w:tr>
        <w:tc>
          <w:tcPr/>
          <w:p>
            <w:pPr>
              <w:pStyle w:val="Compact"/>
              <w:jc w:val="left"/>
            </w:pPr>
            <w:r>
              <w:t xml:space="preserve">Extreme</w:t>
            </w:r>
          </w:p>
        </w:tc>
        <w:tc>
          <w:tcPr/>
          <w:p>
            <w:pPr>
              <w:pStyle w:val="Compact"/>
              <w:jc w:val="left"/>
            </w:pPr>
            <w:r>
              <w:t xml:space="preserve">0.08–0.40</w:t>
            </w:r>
          </w:p>
        </w:tc>
        <w:tc>
          <w:tcPr/>
          <w:p>
            <w:pPr>
              <w:pStyle w:val="Compact"/>
              <w:jc w:val="left"/>
            </w:pPr>
            <w:r>
              <w:t xml:space="preserve">LTCM, Lehman, COVID</w:t>
            </w:r>
          </w:p>
        </w:tc>
      </w:tr>
    </w:tbl>
    <w:p>
      <w:r>
        <w:pict>
          <v:rect style="width:0;height:1.5pt" o:hralign="center" o:hrstd="t" o:hr="t"/>
        </w:pict>
      </w:r>
    </w:p>
    <w:bookmarkEnd w:id="122"/>
    <w:bookmarkEnd w:id="123"/>
    <w:bookmarkStart w:id="124" w:name="calibration-factor-derivation"/>
    <w:p>
      <w:pPr>
        <w:pStyle w:val="Heading3"/>
      </w:pPr>
      <w:r>
        <w:t xml:space="preserve">13.3 Calibration Factor Derivation</w:t>
      </w:r>
    </w:p>
    <w:p>
      <w:pPr>
        <w:pStyle w:val="FirstParagraph"/>
      </w:pPr>
      <w:r>
        <w:t xml:space="preserve">The calibration factor α is derived via grid search (step 0.01) over the range [0.50, 1.00], minimising mean absolute error between scaled raw MAC scores and CSR-derived expected scores:</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min</m:t>
              </m:r>
            </m:e>
            <m:lim>
              <m:r>
                <m:t>α</m:t>
              </m:r>
            </m:lim>
          </m:limLow>
          <m:f>
            <m:fPr>
              <m:type m:val="bar"/>
            </m:fPr>
            <m:num>
              <m:r>
                <m:t>1</m:t>
              </m:r>
            </m:num>
            <m:den>
              <m:r>
                <m:t>N</m:t>
              </m:r>
            </m:den>
          </m:f>
          <m:nary>
            <m:naryPr>
              <m:chr m:val="∑"/>
              <m:limLoc m:val="undOvr"/>
              <m:subHide m:val="off"/>
              <m:supHide m:val="off"/>
            </m:naryPr>
            <m:sub>
              <m:r>
                <m:t>i</m:t>
              </m:r>
              <m:r>
                <m:rPr>
                  <m:sty m:val="p"/>
                </m:rPr>
                <m:t>=</m:t>
              </m:r>
              <m:r>
                <m:t>1</m:t>
              </m:r>
            </m:sub>
            <m:sup>
              <m:r>
                <m:t>N</m:t>
              </m:r>
            </m:sup>
            <m:e>
              <m:d>
                <m:dPr>
                  <m:begChr m:val="|"/>
                  <m:endChr m:val="|"/>
                  <m:sepChr m:val=""/>
                  <m:grow/>
                </m:dPr>
                <m:e>
                  <m:r>
                    <m:t>α</m:t>
                  </m:r>
                  <m:r>
                    <m:rPr>
                      <m:sty m:val="p"/>
                    </m:rPr>
                    <m:t>⋅</m:t>
                  </m:r>
                  <m:sSubSup>
                    <m:e>
                      <m:r>
                        <m:rPr>
                          <m:nor/>
                          <m:sty m:val="p"/>
                        </m:rPr>
                        <m:t>MAC</m:t>
                      </m:r>
                    </m:e>
                    <m:sub>
                      <m:r>
                        <m:rPr>
                          <m:nor/>
                          <m:sty m:val="p"/>
                        </m:rPr>
                        <m:t>raw</m:t>
                      </m:r>
                    </m:sub>
                    <m:sup>
                      <m:d>
                        <m:dPr>
                          <m:begChr m:val="("/>
                          <m:endChr m:val=")"/>
                          <m:sepChr m:val=""/>
                          <m:grow/>
                        </m:dPr>
                        <m:e>
                          <m:r>
                            <m:t>i</m:t>
                          </m:r>
                        </m:e>
                      </m:d>
                    </m:sup>
                  </m:sSubSup>
                  <m:r>
                    <m:rPr>
                      <m:sty m:val="p"/>
                    </m:rPr>
                    <m:t>−</m:t>
                  </m:r>
                  <m:sSup>
                    <m:e>
                      <m:r>
                        <m:rPr>
                          <m:nor/>
                          <m:sty m:val="p"/>
                        </m:rPr>
                        <m:t>CSR</m:t>
                      </m:r>
                    </m:e>
                    <m:sup>
                      <m:d>
                        <m:dPr>
                          <m:begChr m:val="("/>
                          <m:endChr m:val=")"/>
                          <m:sepChr m:val=""/>
                          <m:grow/>
                        </m:dPr>
                        <m:e>
                          <m:r>
                            <m:t>i</m:t>
                          </m:r>
                        </m:e>
                      </m:d>
                    </m:sup>
                  </m:sSup>
                </m:e>
              </m:d>
            </m:e>
          </m:nary>
        </m:oMath>
      </m:oMathPara>
    </w:p>
    <w:p>
      <w:pPr>
        <w:pStyle w:val="FirstParagraph"/>
      </w:pPr>
      <w:r>
        <w:rPr>
          <w:bCs/>
          <w:b/>
        </w:rPr>
        <w:t xml:space="preserve">Result:</w:t>
      </w:r>
      <w:r>
        <w:t xml:space="preserve"> </w:t>
      </w:r>
      <m:oMath>
        <m:sSup>
          <m:e>
            <m:r>
              <m:t>α</m:t>
            </m:r>
          </m:e>
          <m:sup>
            <m:r>
              <m:rPr>
                <m:sty m:val="p"/>
              </m:rPr>
              <m:t>*</m:t>
            </m:r>
          </m:sup>
        </m:sSup>
        <m:r>
          <m:rPr>
            <m:sty m:val="p"/>
          </m:rPr>
          <m:t>=</m:t>
        </m:r>
        <m:r>
          <m:t>0.78</m:t>
        </m:r>
      </m:oMath>
      <w:r>
        <w:t xml:space="preserve"> </w:t>
      </w:r>
      <w:r>
        <w:t xml:space="preserve">(unchanged from prior version, now anchored to independently derived targets).</w:t>
      </w:r>
    </w:p>
    <w:p>
      <w:pPr>
        <w:pStyle w:val="BodyText"/>
      </w:pPr>
      <w:r>
        <w:t xml:space="preserve">The CSR-anchored derivation eliminates the circularity concern: α now maps the framework’s raw output onto a severity scale constructed without reference to the framework itself.</w:t>
      </w:r>
    </w:p>
    <w:p>
      <w:r>
        <w:pict>
          <v:rect style="width:0;height:1.5pt" o:hralign="center" o:hrstd="t" o:hr="t"/>
        </w:pict>
      </w:r>
    </w:p>
    <w:bookmarkEnd w:id="124"/>
    <w:bookmarkStart w:id="133" w:name="thematic-holdout-validation"/>
    <w:p>
      <w:pPr>
        <w:pStyle w:val="Heading3"/>
      </w:pPr>
      <w:r>
        <w:t xml:space="preserve">13.4 Thematic Holdout Validation</w:t>
      </w:r>
    </w:p>
    <w:bookmarkStart w:id="125" w:name="motivation-3"/>
    <w:p>
      <w:pPr>
        <w:pStyle w:val="Heading4"/>
      </w:pPr>
      <w:r>
        <w:t xml:space="preserve">13.4.1 Motivation</w:t>
      </w:r>
    </w:p>
    <w:p>
      <w:pPr>
        <w:pStyle w:val="FirstParagraph"/>
      </w:pPr>
      <w:r>
        <w:t xml:space="preserve">Leave-one-out cross-validation (§13.5) tests whether any</w:t>
      </w:r>
      <w:r>
        <w:t xml:space="preserve"> </w:t>
      </w:r>
      <w:r>
        <w:rPr>
          <w:iCs/>
          <w:i/>
        </w:rPr>
        <w:t xml:space="preserve">single</w:t>
      </w:r>
      <w:r>
        <w:t xml:space="preserve"> </w:t>
      </w:r>
      <w:r>
        <w:t xml:space="preserve">scenario disproportionately drives α. But it does not answer a harder question: is α stable when entire</w:t>
      </w:r>
      <w:r>
        <w:t xml:space="preserve"> </w:t>
      </w:r>
      <w:r>
        <w:rPr>
          <w:iCs/>
          <w:i/>
        </w:rPr>
        <w:t xml:space="preserve">categories</w:t>
      </w:r>
      <w:r>
        <w:t xml:space="preserve"> </w:t>
      </w:r>
      <w:r>
        <w:t xml:space="preserve">of crisis are removed from the training set? If α depends on having seen a banking crisis, it will fail the first time the framework encounters an unfamiliar crisis type. Thematic holdout validation stress-tests α against this structural risk.</w:t>
      </w:r>
    </w:p>
    <w:bookmarkEnd w:id="125"/>
    <w:bookmarkStart w:id="126" w:name="holdout-design-principles"/>
    <w:p>
      <w:pPr>
        <w:pStyle w:val="Heading4"/>
      </w:pPr>
      <w:r>
        <w:t xml:space="preserve">13.4.2 Holdout Design Principles</w:t>
      </w:r>
    </w:p>
    <w:p>
      <w:pPr>
        <w:pStyle w:val="FirstParagraph"/>
      </w:pPr>
      <w:r>
        <w:t xml:space="preserve">Each holdout set removes 3–4 scenarios that share a common crisis mechanism, then re-derives α on the remaining 10–11 training scenarios and evaluates out-of-sample MAE on the held-out set. The holdout groupings are pre-specified based on crisis taxonomy, not optimised post hoc.</w:t>
      </w:r>
    </w:p>
    <w:p>
      <w:pPr>
        <w:pStyle w:val="BodyText"/>
      </w:pPr>
      <w:r>
        <w:t xml:space="preserve">Five thematic holdout sets are defined. Together they ensure that every scenario appears in at least one holdout set, and that each major crisis mechanism is tested out-of-sample.</w:t>
      </w:r>
    </w:p>
    <w:bookmarkEnd w:id="126"/>
    <w:bookmarkStart w:id="127" w:name="holdout-set-definitions"/>
    <w:p>
      <w:pPr>
        <w:pStyle w:val="Heading4"/>
      </w:pPr>
      <w:r>
        <w:t xml:space="preserve">13.4.3 Holdout Set Definitions</w:t>
      </w:r>
    </w:p>
    <w:p>
      <w:pPr>
        <w:pStyle w:val="FirstParagraph"/>
      </w:pPr>
      <w:r>
        <w:rPr>
          <w:bCs/>
          <w:b/>
        </w:rPr>
        <w:t xml:space="preserve">Holdout A —</w:t>
      </w:r>
      <w:r>
        <w:rPr>
          <w:bCs/>
          <w:b/>
        </w:rPr>
        <w:t xml:space="preserve"> </w:t>
      </w:r>
      <w:r>
        <w:rPr>
          <w:bCs/>
          <w:b/>
        </w:rPr>
        <w:t xml:space="preserve">“</w:t>
      </w:r>
      <w:r>
        <w:rPr>
          <w:bCs/>
          <w:b/>
        </w:rPr>
        <w:t xml:space="preserve">Positioning / Hedge Failure</w:t>
      </w:r>
      <w:r>
        <w:rPr>
          <w:bCs/>
          <w:b/>
        </w:rPr>
        <w:t xml:space="preserve">”</w:t>
      </w:r>
    </w:p>
    <w:p>
      <w:pPr>
        <w:pStyle w:val="BodyText"/>
      </w:pPr>
      <w:r>
        <w:rPr>
          <w:iCs/>
          <w:i/>
        </w:rPr>
        <w:t xml:space="preserve">Thesis:</w:t>
      </w:r>
      <w:r>
        <w:t xml:space="preserve"> </w:t>
      </w:r>
      <w:r>
        <w:t xml:space="preserve">α is stable when all three hedge-failure episodes are removed. This tests whether α depends on the high-information-content positioning crises that dominate the ML weight structure.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Held Out</w:t>
            </w:r>
          </w:p>
        </w:tc>
        <w:tc>
          <w:tcPr/>
          <w:p>
            <w:pPr>
              <w:pStyle w:val="Compact"/>
              <w:jc w:val="left"/>
            </w:pPr>
            <w:r>
              <w:t xml:space="preserve">Training Set</w:t>
            </w:r>
          </w:p>
        </w:tc>
      </w:tr>
      <w:tr>
        <w:tc>
          <w:tcPr/>
          <w:p>
            <w:pPr>
              <w:pStyle w:val="Compact"/>
              <w:jc w:val="left"/>
            </w:pPr>
            <w:r>
              <w:t xml:space="preserve">Volmageddon 2018</w:t>
            </w:r>
          </w:p>
        </w:tc>
        <w:tc>
          <w:tcPr/>
          <w:p>
            <w:pPr>
              <w:pStyle w:val="Compact"/>
              <w:jc w:val="left"/>
            </w:pPr>
            <w:r>
              <w:t xml:space="preserve">LTCM, Dot-com Peak, 9/11, Dot-com Bottom,</w:t>
            </w:r>
          </w:p>
        </w:tc>
      </w:tr>
      <w:tr>
        <w:tc>
          <w:tcPr/>
          <w:p>
            <w:pPr>
              <w:pStyle w:val="Compact"/>
              <w:jc w:val="left"/>
            </w:pPr>
            <w:r>
              <w:t xml:space="preserve">COVID 2020</w:t>
            </w:r>
          </w:p>
        </w:tc>
        <w:tc>
          <w:tcPr/>
          <w:p>
            <w:pPr>
              <w:pStyle w:val="Compact"/>
              <w:jc w:val="left"/>
            </w:pPr>
            <w:r>
              <w:t xml:space="preserve">Bear Stearns, Lehman, Flash Crash,</w:t>
            </w:r>
          </w:p>
        </w:tc>
      </w:tr>
      <w:tr>
        <w:tc>
          <w:tcPr/>
          <w:p>
            <w:pPr>
              <w:pStyle w:val="Compact"/>
              <w:jc w:val="left"/>
            </w:pPr>
            <w:r>
              <w:t xml:space="preserve">April 2025 Tariffs</w:t>
            </w:r>
          </w:p>
        </w:tc>
        <w:tc>
          <w:tcPr/>
          <w:p>
            <w:pPr>
              <w:pStyle w:val="Compact"/>
              <w:jc w:val="left"/>
            </w:pPr>
            <w:r>
              <w:t xml:space="preserve">US Downgrade, Repo Spike, Russia–Ukraine, SVB</w:t>
            </w:r>
          </w:p>
        </w:tc>
      </w:tr>
      <w:tr>
        <w:tc>
          <w:tcPr/>
          <w:p>
            <w:pPr>
              <w:pStyle w:val="Compact"/>
            </w:pPr>
          </w:p>
        </w:tc>
        <w:tc>
          <w:tcPr/>
          <w:p>
            <w:pPr>
              <w:pStyle w:val="Compact"/>
              <w:jc w:val="left"/>
            </w:pPr>
            <w:r>
              <w:rPr>
                <w:iCs/>
                <w:i/>
              </w:rPr>
              <w:t xml:space="preserve">N_train = 11, N_test = 3</w:t>
            </w:r>
          </w:p>
        </w:tc>
      </w:tr>
    </w:tbl>
    <w:p>
      <w:pPr>
        <w:pStyle w:val="BodyText"/>
      </w:pPr>
      <w:r>
        <w:rPr>
          <w:iCs/>
          <w:i/>
        </w:rPr>
        <w:t xml:space="preserve">What failure would mean:</w:t>
      </w:r>
      <w:r>
        <w:t xml:space="preserve"> </w:t>
      </w:r>
      <w:r>
        <w:t xml:space="preserve">If α shifts materially (&gt;0.05) without the hedge-failure events, the calibration is over-indexed on positioning-driven crises and may underperform during crises that transmit through other channels.</w:t>
      </w:r>
    </w:p>
    <w:p>
      <w:pPr>
        <w:pStyle w:val="BodyText"/>
      </w:pPr>
      <w:r>
        <w:rPr>
          <w:bCs/>
          <w:b/>
        </w:rPr>
        <w:t xml:space="preserve">Holdout B —</w:t>
      </w:r>
      <w:r>
        <w:rPr>
          <w:bCs/>
          <w:b/>
        </w:rPr>
        <w:t xml:space="preserve"> </w:t>
      </w:r>
      <w:r>
        <w:rPr>
          <w:bCs/>
          <w:b/>
        </w:rPr>
        <w:t xml:space="preserve">“</w:t>
      </w:r>
      <w:r>
        <w:rPr>
          <w:bCs/>
          <w:b/>
        </w:rPr>
        <w:t xml:space="preserve">Systemic Credit / Banking</w:t>
      </w:r>
      <w:r>
        <w:rPr>
          <w:bCs/>
          <w:b/>
        </w:rPr>
        <w:t xml:space="preserve">”</w:t>
      </w:r>
    </w:p>
    <w:p>
      <w:pPr>
        <w:pStyle w:val="BodyText"/>
      </w:pPr>
      <w:r>
        <w:rPr>
          <w:iCs/>
          <w:i/>
        </w:rPr>
        <w:t xml:space="preserve">Thesis:</w:t>
      </w:r>
      <w:r>
        <w:t xml:space="preserve"> </w:t>
      </w:r>
      <w:r>
        <w:t xml:space="preserve">α is stable when the major banking and credit crises are removed. These are the scenarios where multiple pillars breach simultaneously and the interaction penalty is most active.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Held Out</w:t>
            </w:r>
          </w:p>
        </w:tc>
        <w:tc>
          <w:tcPr/>
          <w:p>
            <w:pPr>
              <w:pStyle w:val="Compact"/>
              <w:jc w:val="left"/>
            </w:pPr>
            <w:r>
              <w:t xml:space="preserve">Training Set</w:t>
            </w:r>
          </w:p>
        </w:tc>
      </w:tr>
      <w:tr>
        <w:tc>
          <w:tcPr/>
          <w:p>
            <w:pPr>
              <w:pStyle w:val="Compact"/>
              <w:jc w:val="left"/>
            </w:pPr>
            <w:r>
              <w:t xml:space="preserve">Bear Stearns 2008</w:t>
            </w:r>
          </w:p>
        </w:tc>
        <w:tc>
          <w:tcPr/>
          <w:p>
            <w:pPr>
              <w:pStyle w:val="Compact"/>
              <w:jc w:val="left"/>
            </w:pPr>
            <w:r>
              <w:t xml:space="preserve">LTCM, Dot-com Peak, 9/11, Dot-com Bottom,</w:t>
            </w:r>
          </w:p>
        </w:tc>
      </w:tr>
      <w:tr>
        <w:tc>
          <w:tcPr/>
          <w:p>
            <w:pPr>
              <w:pStyle w:val="Compact"/>
              <w:jc w:val="left"/>
            </w:pPr>
            <w:r>
              <w:t xml:space="preserve">Lehman 2008</w:t>
            </w:r>
          </w:p>
        </w:tc>
        <w:tc>
          <w:tcPr/>
          <w:p>
            <w:pPr>
              <w:pStyle w:val="Compact"/>
              <w:jc w:val="left"/>
            </w:pPr>
            <w:r>
              <w:t xml:space="preserve">Flash Crash, US Downgrade, Volmageddon,</w:t>
            </w:r>
          </w:p>
        </w:tc>
      </w:tr>
      <w:tr>
        <w:tc>
          <w:tcPr/>
          <w:p>
            <w:pPr>
              <w:pStyle w:val="Compact"/>
              <w:jc w:val="left"/>
            </w:pPr>
            <w:r>
              <w:t xml:space="preserve">SVB 2023</w:t>
            </w:r>
          </w:p>
        </w:tc>
        <w:tc>
          <w:tcPr/>
          <w:p>
            <w:pPr>
              <w:pStyle w:val="Compact"/>
              <w:jc w:val="left"/>
            </w:pPr>
            <w:r>
              <w:t xml:space="preserve">Repo Spike, COVID, Russia–Ukraine, April 2025</w:t>
            </w:r>
          </w:p>
        </w:tc>
      </w:tr>
      <w:tr>
        <w:tc>
          <w:tcPr/>
          <w:p>
            <w:pPr>
              <w:pStyle w:val="Compact"/>
            </w:pPr>
          </w:p>
        </w:tc>
        <w:tc>
          <w:tcPr/>
          <w:p>
            <w:pPr>
              <w:pStyle w:val="Compact"/>
              <w:jc w:val="left"/>
            </w:pPr>
            <w:r>
              <w:rPr>
                <w:iCs/>
                <w:i/>
              </w:rPr>
              <w:t xml:space="preserve">N_train = 11, N_test = 3</w:t>
            </w:r>
          </w:p>
        </w:tc>
      </w:tr>
    </w:tbl>
    <w:p>
      <w:pPr>
        <w:pStyle w:val="BodyText"/>
      </w:pPr>
      <w:r>
        <w:rPr>
          <w:iCs/>
          <w:i/>
        </w:rPr>
        <w:t xml:space="preserve">What failure would mean:</w:t>
      </w:r>
      <w:r>
        <w:t xml:space="preserve"> </w:t>
      </w:r>
      <w:r>
        <w:t xml:space="preserve">If α requires GFC-type events to calibrate, the factor is anchored to an unrepeatable structural epoch (pre-Dodd-Frank banking) and may not generalise to post-regulatory crises.</w:t>
      </w:r>
    </w:p>
    <w:p>
      <w:pPr>
        <w:pStyle w:val="BodyText"/>
      </w:pPr>
      <w:r>
        <w:rPr>
          <w:bCs/>
          <w:b/>
        </w:rPr>
        <w:t xml:space="preserve">Holdout C —</w:t>
      </w:r>
      <w:r>
        <w:rPr>
          <w:bCs/>
          <w:b/>
        </w:rPr>
        <w:t xml:space="preserve"> </w:t>
      </w:r>
      <w:r>
        <w:rPr>
          <w:bCs/>
          <w:b/>
        </w:rPr>
        <w:t xml:space="preserve">“</w:t>
      </w:r>
      <w:r>
        <w:rPr>
          <w:bCs/>
          <w:b/>
        </w:rPr>
        <w:t xml:space="preserve">Exogenous / Geopolitical Shock</w:t>
      </w:r>
      <w:r>
        <w:rPr>
          <w:bCs/>
          <w:b/>
        </w:rPr>
        <w:t xml:space="preserve">”</w:t>
      </w:r>
    </w:p>
    <w:p>
      <w:pPr>
        <w:pStyle w:val="BodyText"/>
      </w:pPr>
      <w:r>
        <w:rPr>
          <w:iCs/>
          <w:i/>
        </w:rPr>
        <w:t xml:space="preserve">Thesis:</w:t>
      </w:r>
      <w:r>
        <w:t xml:space="preserve"> </w:t>
      </w:r>
      <w:r>
        <w:t xml:space="preserve">α is stable when truly exogenous (non-financial-origin) shocks are removed. These crises originate outside the financial system and test the framework’s ability to measure absorption of externally imposed stress.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Held Out</w:t>
            </w:r>
          </w:p>
        </w:tc>
        <w:tc>
          <w:tcPr/>
          <w:p>
            <w:pPr>
              <w:pStyle w:val="Compact"/>
              <w:jc w:val="left"/>
            </w:pPr>
            <w:r>
              <w:t xml:space="preserve">Training Set</w:t>
            </w:r>
          </w:p>
        </w:tc>
      </w:tr>
      <w:tr>
        <w:tc>
          <w:tcPr/>
          <w:p>
            <w:pPr>
              <w:pStyle w:val="Compact"/>
              <w:jc w:val="left"/>
            </w:pPr>
            <w:r>
              <w:t xml:space="preserve">9/11 2001</w:t>
            </w:r>
          </w:p>
        </w:tc>
        <w:tc>
          <w:tcPr/>
          <w:p>
            <w:pPr>
              <w:pStyle w:val="Compact"/>
              <w:jc w:val="left"/>
            </w:pPr>
            <w:r>
              <w:t xml:space="preserve">LTCM, Dot-com Peak, Dot-com Bottom, Bear Stearns,</w:t>
            </w:r>
          </w:p>
        </w:tc>
      </w:tr>
      <w:tr>
        <w:tc>
          <w:tcPr/>
          <w:p>
            <w:pPr>
              <w:pStyle w:val="Compact"/>
              <w:jc w:val="left"/>
            </w:pPr>
            <w:r>
              <w:t xml:space="preserve">COVID 2020</w:t>
            </w:r>
          </w:p>
        </w:tc>
        <w:tc>
          <w:tcPr/>
          <w:p>
            <w:pPr>
              <w:pStyle w:val="Compact"/>
              <w:jc w:val="left"/>
            </w:pPr>
            <w:r>
              <w:t xml:space="preserve">Lehman, Flash Crash, US Downgrade, Volmageddon,</w:t>
            </w:r>
          </w:p>
        </w:tc>
      </w:tr>
      <w:tr>
        <w:tc>
          <w:tcPr/>
          <w:p>
            <w:pPr>
              <w:pStyle w:val="Compact"/>
              <w:jc w:val="left"/>
            </w:pPr>
            <w:r>
              <w:t xml:space="preserve">Russia–Ukraine 2022</w:t>
            </w:r>
          </w:p>
        </w:tc>
        <w:tc>
          <w:tcPr/>
          <w:p>
            <w:pPr>
              <w:pStyle w:val="Compact"/>
              <w:jc w:val="left"/>
            </w:pPr>
            <w:r>
              <w:t xml:space="preserve">Repo Spike, SVB, April 2025</w:t>
            </w:r>
          </w:p>
        </w:tc>
      </w:tr>
      <w:tr>
        <w:tc>
          <w:tcPr/>
          <w:p>
            <w:pPr>
              <w:pStyle w:val="Compact"/>
            </w:pPr>
          </w:p>
        </w:tc>
        <w:tc>
          <w:tcPr/>
          <w:p>
            <w:pPr>
              <w:pStyle w:val="Compact"/>
              <w:jc w:val="left"/>
            </w:pPr>
            <w:r>
              <w:rPr>
                <w:iCs/>
                <w:i/>
              </w:rPr>
              <w:t xml:space="preserve">N_train = 11, N_test = 3</w:t>
            </w:r>
          </w:p>
        </w:tc>
      </w:tr>
    </w:tbl>
    <w:p>
      <w:pPr>
        <w:pStyle w:val="BodyText"/>
      </w:pPr>
      <w:r>
        <w:rPr>
          <w:iCs/>
          <w:i/>
        </w:rPr>
        <w:t xml:space="preserve">What failure would mean:</w:t>
      </w:r>
      <w:r>
        <w:t xml:space="preserve"> </w:t>
      </w:r>
      <w:r>
        <w:t xml:space="preserve">If α shifts without exogenous shocks, the calibration may be implicitly tuned to endogenous financial crises and will underperform when the shock originates from a pandemic, war, or natural disaster.</w:t>
      </w:r>
    </w:p>
    <w:p>
      <w:pPr>
        <w:pStyle w:val="BodyText"/>
      </w:pPr>
      <w:r>
        <w:rPr>
          <w:bCs/>
          <w:b/>
        </w:rPr>
        <w:t xml:space="preserve">Holdout D —</w:t>
      </w:r>
      <w:r>
        <w:rPr>
          <w:bCs/>
          <w:b/>
        </w:rPr>
        <w:t xml:space="preserve"> </w:t>
      </w:r>
      <w:r>
        <w:rPr>
          <w:bCs/>
          <w:b/>
        </w:rPr>
        <w:t xml:space="preserve">“</w:t>
      </w:r>
      <w:r>
        <w:rPr>
          <w:bCs/>
          <w:b/>
        </w:rPr>
        <w:t xml:space="preserve">Extreme Severity</w:t>
      </w:r>
      <w:r>
        <w:rPr>
          <w:bCs/>
          <w:b/>
        </w:rPr>
        <w:t xml:space="preserve">”</w:t>
      </w:r>
    </w:p>
    <w:p>
      <w:pPr>
        <w:pStyle w:val="BodyText"/>
      </w:pPr>
      <w:r>
        <w:rPr>
          <w:iCs/>
          <w:i/>
        </w:rPr>
        <w:t xml:space="preserve">Thesis:</w:t>
      </w:r>
      <w:r>
        <w:t xml:space="preserve"> </w:t>
      </w:r>
      <w:r>
        <w:t xml:space="preserve">α is stable when the three most severe events (CSR &lt; 0.40) are removed. This tests whether α is anchored to tail events that dominate the MAE objective function due to their large residuals.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Held Out</w:t>
            </w:r>
          </w:p>
        </w:tc>
        <w:tc>
          <w:tcPr/>
          <w:p>
            <w:pPr>
              <w:pStyle w:val="Compact"/>
              <w:jc w:val="left"/>
            </w:pPr>
            <w:r>
              <w:t xml:space="preserve">Training Set</w:t>
            </w:r>
          </w:p>
        </w:tc>
      </w:tr>
      <w:tr>
        <w:tc>
          <w:tcPr/>
          <w:p>
            <w:pPr>
              <w:pStyle w:val="Compact"/>
              <w:jc w:val="left"/>
            </w:pPr>
            <w:r>
              <w:t xml:space="preserve">LTCM 1998</w:t>
            </w:r>
          </w:p>
        </w:tc>
        <w:tc>
          <w:tcPr/>
          <w:p>
            <w:pPr>
              <w:pStyle w:val="Compact"/>
              <w:jc w:val="left"/>
            </w:pPr>
            <w:r>
              <w:t xml:space="preserve">Dot-com Peak, 9/11, Dot-com Bottom, Bear Stearns,</w:t>
            </w:r>
          </w:p>
        </w:tc>
      </w:tr>
      <w:tr>
        <w:tc>
          <w:tcPr/>
          <w:p>
            <w:pPr>
              <w:pStyle w:val="Compact"/>
              <w:jc w:val="left"/>
            </w:pPr>
            <w:r>
              <w:t xml:space="preserve">Lehman 2008</w:t>
            </w:r>
          </w:p>
        </w:tc>
        <w:tc>
          <w:tcPr/>
          <w:p>
            <w:pPr>
              <w:pStyle w:val="Compact"/>
              <w:jc w:val="left"/>
            </w:pPr>
            <w:r>
              <w:t xml:space="preserve">Flash Crash, US Downgrade, Volmageddon,</w:t>
            </w:r>
          </w:p>
        </w:tc>
      </w:tr>
      <w:tr>
        <w:tc>
          <w:tcPr/>
          <w:p>
            <w:pPr>
              <w:pStyle w:val="Compact"/>
              <w:jc w:val="left"/>
            </w:pPr>
            <w:r>
              <w:t xml:space="preserve">COVID 2020</w:t>
            </w:r>
          </w:p>
        </w:tc>
        <w:tc>
          <w:tcPr/>
          <w:p>
            <w:pPr>
              <w:pStyle w:val="Compact"/>
              <w:jc w:val="left"/>
            </w:pPr>
            <w:r>
              <w:t xml:space="preserve">Repo Spike, Russia–Ukraine, SVB, April 2025</w:t>
            </w:r>
          </w:p>
        </w:tc>
      </w:tr>
      <w:tr>
        <w:tc>
          <w:tcPr/>
          <w:p>
            <w:pPr>
              <w:pStyle w:val="Compact"/>
            </w:pPr>
          </w:p>
        </w:tc>
        <w:tc>
          <w:tcPr/>
          <w:p>
            <w:pPr>
              <w:pStyle w:val="Compact"/>
              <w:jc w:val="left"/>
            </w:pPr>
            <w:r>
              <w:rPr>
                <w:iCs/>
                <w:i/>
              </w:rPr>
              <w:t xml:space="preserve">N_train = 11, N_test = 3</w:t>
            </w:r>
          </w:p>
        </w:tc>
      </w:tr>
    </w:tbl>
    <w:p>
      <w:pPr>
        <w:pStyle w:val="BodyText"/>
      </w:pPr>
      <w:r>
        <w:rPr>
          <w:iCs/>
          <w:i/>
        </w:rPr>
        <w:t xml:space="preserve">What failure would mean:</w:t>
      </w:r>
      <w:r>
        <w:t xml:space="preserve"> </w:t>
      </w:r>
      <w:r>
        <w:t xml:space="preserve">If α depends on the extreme-severity anchors, it will systematically miscalibrate during moderate crises — precisely the regime where marginal calibration accuracy matters most for portfolio decisions.</w:t>
      </w:r>
    </w:p>
    <w:p>
      <w:pPr>
        <w:pStyle w:val="BodyText"/>
      </w:pPr>
      <w:r>
        <w:rPr>
          <w:bCs/>
          <w:b/>
        </w:rPr>
        <w:t xml:space="preserve">Holdout E —</w:t>
      </w:r>
      <w:r>
        <w:rPr>
          <w:bCs/>
          <w:b/>
        </w:rPr>
        <w:t xml:space="preserve"> </w:t>
      </w:r>
      <w:r>
        <w:rPr>
          <w:bCs/>
          <w:b/>
        </w:rPr>
        <w:t xml:space="preserve">“</w:t>
      </w:r>
      <w:r>
        <w:rPr>
          <w:bCs/>
          <w:b/>
        </w:rPr>
        <w:t xml:space="preserve">Moderate Severity / Low-Impact</w:t>
      </w:r>
      <w:r>
        <w:rPr>
          <w:bCs/>
          <w:b/>
        </w:rPr>
        <w:t xml:space="preserve">”</w:t>
      </w:r>
    </w:p>
    <w:p>
      <w:pPr>
        <w:pStyle w:val="BodyText"/>
      </w:pPr>
      <w:r>
        <w:rPr>
          <w:iCs/>
          <w:i/>
        </w:rPr>
        <w:t xml:space="preserve">Thesis:</w:t>
      </w:r>
      <w:r>
        <w:t xml:space="preserve"> </w:t>
      </w:r>
      <w:r>
        <w:t xml:space="preserve">α is stable when the mildest events are removed. This tests the opposite risk: that α is pulled toward the centre by moderate events and loses discrimination at the tails.</w:t>
      </w:r>
    </w:p>
    <w:tbl>
      <w:tblPr>
        <w:tblStyle w:val="Table"/>
        <w:tblW w:type="pct" w:w="5000"/>
        <w:tblLook w:firstRow="1" w:lastRow="0" w:firstColumn="0" w:lastColumn="0" w:noHBand="0" w:noVBand="0" w:val="0020"/>
        <w:jc w:val="start"/>
      </w:tblPr>
      <w:tblGrid>
        <w:gridCol w:w="3443"/>
        <w:gridCol w:w="4476"/>
      </w:tblGrid>
      <w:tr>
        <w:trPr>
          <w:tblHeader w:val="true"/>
        </w:trPr>
        <w:tc>
          <w:tcPr/>
          <w:p>
            <w:pPr>
              <w:pStyle w:val="Compact"/>
              <w:jc w:val="left"/>
            </w:pPr>
            <w:r>
              <w:t xml:space="preserve">Held Out</w:t>
            </w:r>
          </w:p>
        </w:tc>
        <w:tc>
          <w:tcPr/>
          <w:p>
            <w:pPr>
              <w:pStyle w:val="Compact"/>
              <w:jc w:val="left"/>
            </w:pPr>
            <w:r>
              <w:t xml:space="preserve">Training Set</w:t>
            </w:r>
          </w:p>
        </w:tc>
      </w:tr>
      <w:tr>
        <w:tc>
          <w:tcPr/>
          <w:p>
            <w:pPr>
              <w:pStyle w:val="Compact"/>
              <w:jc w:val="left"/>
            </w:pPr>
            <w:r>
              <w:t xml:space="preserve">Dot-com Peak 2000</w:t>
            </w:r>
          </w:p>
        </w:tc>
        <w:tc>
          <w:tcPr/>
          <w:p>
            <w:pPr>
              <w:pStyle w:val="Compact"/>
              <w:jc w:val="left"/>
            </w:pPr>
            <w:r>
              <w:t xml:space="preserve">LTCM, 9/11, Dot-com Bottom, Bear Stearns,</w:t>
            </w:r>
          </w:p>
        </w:tc>
      </w:tr>
      <w:tr>
        <w:tc>
          <w:tcPr/>
          <w:p>
            <w:pPr>
              <w:pStyle w:val="Compact"/>
              <w:jc w:val="left"/>
            </w:pPr>
            <w:r>
              <w:t xml:space="preserve">Flash Crash 2010</w:t>
            </w:r>
          </w:p>
        </w:tc>
        <w:tc>
          <w:tcPr/>
          <w:p>
            <w:pPr>
              <w:pStyle w:val="Compact"/>
              <w:jc w:val="left"/>
            </w:pPr>
            <w:r>
              <w:t xml:space="preserve">Lehman, US Downgrade, Volmageddon,</w:t>
            </w:r>
          </w:p>
        </w:tc>
      </w:tr>
      <w:tr>
        <w:tc>
          <w:tcPr/>
          <w:p>
            <w:pPr>
              <w:pStyle w:val="Compact"/>
              <w:jc w:val="left"/>
            </w:pPr>
            <w:r>
              <w:t xml:space="preserve">Volmageddon 2018</w:t>
            </w:r>
          </w:p>
        </w:tc>
        <w:tc>
          <w:tcPr/>
          <w:p>
            <w:pPr>
              <w:pStyle w:val="Compact"/>
              <w:jc w:val="left"/>
            </w:pPr>
            <w:r>
              <w:t xml:space="preserve">Repo Spike, COVID, Russia–Ukraine, SVB, April 2025</w:t>
            </w:r>
          </w:p>
        </w:tc>
      </w:tr>
      <w:tr>
        <w:tc>
          <w:tcPr/>
          <w:p>
            <w:pPr>
              <w:pStyle w:val="Compact"/>
              <w:jc w:val="left"/>
            </w:pPr>
            <w:r>
              <w:t xml:space="preserve">Russia–Ukraine 2022</w:t>
            </w:r>
          </w:p>
        </w:tc>
        <w:tc>
          <w:tcPr/>
          <w:p>
            <w:pPr>
              <w:pStyle w:val="Compact"/>
              <w:jc w:val="left"/>
            </w:pPr>
            <w:r>
              <w:rPr>
                <w:iCs/>
                <w:i/>
              </w:rPr>
              <w:t xml:space="preserve">N_train = 10, N_test = 4</w:t>
            </w:r>
          </w:p>
        </w:tc>
      </w:tr>
    </w:tbl>
    <w:p>
      <w:pPr>
        <w:pStyle w:val="BodyText"/>
      </w:pPr>
      <w:r>
        <w:rPr>
          <w:iCs/>
          <w:i/>
        </w:rPr>
        <w:t xml:space="preserve">What failure would mean:</w:t>
      </w:r>
      <w:r>
        <w:t xml:space="preserve"> </w:t>
      </w:r>
      <w:r>
        <w:t xml:space="preserve">If α shifts downward without moderate events, the factor over-compresses scores during normal-to-mild stress, reducing the framework’s ability to distinguish CAUTIOUS from COMFORTABLE.</w:t>
      </w:r>
    </w:p>
    <w:bookmarkEnd w:id="127"/>
    <w:bookmarkStart w:id="128" w:name="holdout-scenario-coverage-matrix"/>
    <w:p>
      <w:pPr>
        <w:pStyle w:val="Heading4"/>
      </w:pPr>
      <w:r>
        <w:t xml:space="preserve">13.4.4 Holdout Scenario Coverage Matrix</w:t>
      </w:r>
    </w:p>
    <w:p>
      <w:pPr>
        <w:pStyle w:val="FirstParagraph"/>
      </w:pPr>
      <w:r>
        <w:t xml:space="preserve">Each scenario must appear in at least one holdout set to ensure full coverage:</w:t>
      </w:r>
    </w:p>
    <w:tbl>
      <w:tblPr>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jc w:val="left"/>
            </w:pPr>
            <w:r>
              <w:t xml:space="preserve">Scenario</w:t>
            </w:r>
          </w:p>
        </w:tc>
        <w:tc>
          <w:tcPr/>
          <w:p>
            <w:pPr>
              <w:pStyle w:val="Compact"/>
              <w:jc w:val="left"/>
            </w:pPr>
            <w:r>
              <w:t xml:space="preserve">A</w:t>
            </w:r>
          </w:p>
        </w:tc>
        <w:tc>
          <w:tcPr/>
          <w:p>
            <w:pPr>
              <w:pStyle w:val="Compact"/>
              <w:jc w:val="left"/>
            </w:pPr>
            <w:r>
              <w:t xml:space="preserve">B</w:t>
            </w:r>
          </w:p>
        </w:tc>
        <w:tc>
          <w:tcPr/>
          <w:p>
            <w:pPr>
              <w:pStyle w:val="Compact"/>
              <w:jc w:val="left"/>
            </w:pPr>
            <w:r>
              <w:t xml:space="preserve">C</w:t>
            </w:r>
          </w:p>
        </w:tc>
        <w:tc>
          <w:tcPr/>
          <w:p>
            <w:pPr>
              <w:pStyle w:val="Compact"/>
              <w:jc w:val="left"/>
            </w:pPr>
            <w:r>
              <w:t xml:space="preserve">D</w:t>
            </w:r>
          </w:p>
        </w:tc>
        <w:tc>
          <w:tcPr/>
          <w:p>
            <w:pPr>
              <w:pStyle w:val="Compact"/>
              <w:jc w:val="left"/>
            </w:pPr>
            <w:r>
              <w:t xml:space="preserve">E</w:t>
            </w:r>
          </w:p>
        </w:tc>
      </w:tr>
      <w:tr>
        <w:tc>
          <w:tcPr/>
          <w:p>
            <w:pPr>
              <w:pStyle w:val="Compact"/>
              <w:jc w:val="left"/>
            </w:pPr>
            <w:r>
              <w:t xml:space="preserve">LTCM 1998</w:t>
            </w:r>
          </w:p>
        </w:tc>
        <w:tc>
          <w:tcPr/>
          <w:p>
            <w:pPr>
              <w:pStyle w:val="Compact"/>
            </w:pPr>
          </w:p>
        </w:tc>
        <w:tc>
          <w:tcPr/>
          <w:p>
            <w:pPr>
              <w:pStyle w:val="Compact"/>
            </w:pP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Dot-com Peak 2000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9/11 2001</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pPr>
          </w:p>
        </w:tc>
      </w:tr>
      <w:tr>
        <w:tc>
          <w:tcPr/>
          <w:p>
            <w:pPr>
              <w:pStyle w:val="Compact"/>
              <w:jc w:val="left"/>
            </w:pPr>
            <w:r>
              <w:t xml:space="preserve">Dot-com Bottom 2002</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Bear Stearns 2008</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Lehman 2008</w:t>
            </w: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pPr>
          </w:p>
        </w:tc>
      </w:tr>
      <w:tr>
        <w:tc>
          <w:tcPr/>
          <w:p>
            <w:pPr>
              <w:pStyle w:val="Compact"/>
              <w:jc w:val="left"/>
            </w:pPr>
            <w:r>
              <w:t xml:space="preserve">Flash Crash 2010</w:t>
            </w:r>
          </w:p>
        </w:tc>
        <w:tc>
          <w:tcPr/>
          <w:p>
            <w:pPr>
              <w:pStyle w:val="Compact"/>
            </w:pP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US Downgrade 2011</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Volmageddon 2018</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jc w:val="left"/>
            </w:pPr>
            <w:r>
              <w:t xml:space="preserve">●</w:t>
            </w:r>
          </w:p>
        </w:tc>
      </w:tr>
      <w:tr>
        <w:tc>
          <w:tcPr/>
          <w:p>
            <w:pPr>
              <w:pStyle w:val="Compact"/>
              <w:jc w:val="left"/>
            </w:pPr>
            <w:r>
              <w:t xml:space="preserve">Repo Spike 2019</w:t>
            </w:r>
          </w:p>
        </w:tc>
        <w:tc>
          <w:tcPr/>
          <w:p>
            <w:pPr>
              <w:pStyle w:val="Compact"/>
            </w:pPr>
          </w:p>
        </w:tc>
        <w:tc>
          <w:tcPr/>
          <w:p>
            <w:pPr>
              <w:pStyle w:val="Compact"/>
            </w:pPr>
          </w:p>
        </w:tc>
        <w:tc>
          <w:tcPr/>
          <w:p>
            <w:pPr>
              <w:pStyle w:val="Compact"/>
            </w:pPr>
          </w:p>
        </w:tc>
        <w:tc>
          <w:tcPr/>
          <w:p>
            <w:pPr>
              <w:pStyle w:val="Compact"/>
            </w:pPr>
          </w:p>
        </w:tc>
        <w:tc>
          <w:tcPr/>
          <w:p>
            <w:pPr>
              <w:pStyle w:val="Compact"/>
            </w:pPr>
          </w:p>
        </w:tc>
      </w:tr>
      <w:tr>
        <w:tc>
          <w:tcPr/>
          <w:p>
            <w:pPr>
              <w:pStyle w:val="Compact"/>
              <w:jc w:val="left"/>
            </w:pPr>
            <w:r>
              <w:t xml:space="preserve">COVID 2020</w:t>
            </w:r>
          </w:p>
        </w:tc>
        <w:tc>
          <w:tcPr/>
          <w:p>
            <w:pPr>
              <w:pStyle w:val="Compact"/>
              <w:jc w:val="left"/>
            </w:pPr>
            <w:r>
              <w:t xml:space="preserve">●</w:t>
            </w:r>
          </w:p>
        </w:tc>
        <w:tc>
          <w:tcPr/>
          <w:p>
            <w:pPr>
              <w:pStyle w:val="Compact"/>
            </w:pP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Russia–Ukraine 2022</w:t>
            </w:r>
          </w:p>
        </w:tc>
        <w:tc>
          <w:tcPr/>
          <w:p>
            <w:pPr>
              <w:pStyle w:val="Compact"/>
            </w:pPr>
          </w:p>
        </w:tc>
        <w:tc>
          <w:tcPr/>
          <w:p>
            <w:pPr>
              <w:pStyle w:val="Compact"/>
            </w:pPr>
          </w:p>
        </w:tc>
        <w:tc>
          <w:tcPr/>
          <w:p>
            <w:pPr>
              <w:pStyle w:val="Compact"/>
              <w:jc w:val="left"/>
            </w:pPr>
            <w:r>
              <w:t xml:space="preserve">●</w:t>
            </w:r>
          </w:p>
        </w:tc>
        <w:tc>
          <w:tcPr/>
          <w:p>
            <w:pPr>
              <w:pStyle w:val="Compact"/>
            </w:pPr>
          </w:p>
        </w:tc>
        <w:tc>
          <w:tcPr/>
          <w:p>
            <w:pPr>
              <w:pStyle w:val="Compact"/>
              <w:jc w:val="left"/>
            </w:pPr>
            <w:r>
              <w:t xml:space="preserve">●</w:t>
            </w:r>
          </w:p>
        </w:tc>
      </w:tr>
      <w:tr>
        <w:tc>
          <w:tcPr/>
          <w:p>
            <w:pPr>
              <w:pStyle w:val="Compact"/>
              <w:jc w:val="left"/>
            </w:pPr>
            <w:r>
              <w:t xml:space="preserve">SVB 2023</w:t>
            </w:r>
          </w:p>
        </w:tc>
        <w:tc>
          <w:tcPr/>
          <w:p>
            <w:pPr>
              <w:pStyle w:val="Compact"/>
            </w:pPr>
          </w:p>
        </w:tc>
        <w:tc>
          <w:tcPr/>
          <w:p>
            <w:pPr>
              <w:pStyle w:val="Compact"/>
              <w:jc w:val="left"/>
            </w:pPr>
            <w:r>
              <w:t xml:space="preserve">●</w:t>
            </w:r>
          </w:p>
        </w:tc>
        <w:tc>
          <w:tcPr/>
          <w:p>
            <w:pPr>
              <w:pStyle w:val="Compact"/>
            </w:pPr>
          </w:p>
        </w:tc>
        <w:tc>
          <w:tcPr/>
          <w:p>
            <w:pPr>
              <w:pStyle w:val="Compact"/>
            </w:pPr>
          </w:p>
        </w:tc>
        <w:tc>
          <w:tcPr/>
          <w:p>
            <w:pPr>
              <w:pStyle w:val="Compact"/>
            </w:pPr>
          </w:p>
        </w:tc>
      </w:tr>
      <w:tr>
        <w:tc>
          <w:tcPr/>
          <w:p>
            <w:pPr>
              <w:pStyle w:val="Compact"/>
              <w:jc w:val="left"/>
            </w:pPr>
            <w:r>
              <w:t xml:space="preserve">April 2025 Tariffs</w:t>
            </w:r>
          </w:p>
        </w:tc>
        <w:tc>
          <w:tcPr/>
          <w:p>
            <w:pPr>
              <w:pStyle w:val="Compact"/>
              <w:jc w:val="left"/>
            </w:pPr>
            <w:r>
              <w:t xml:space="preserve">●</w:t>
            </w:r>
          </w:p>
        </w:tc>
        <w:tc>
          <w:tcPr/>
          <w:p>
            <w:pPr>
              <w:pStyle w:val="Compact"/>
            </w:pPr>
          </w:p>
        </w:tc>
        <w:tc>
          <w:tcPr/>
          <w:p>
            <w:pPr>
              <w:pStyle w:val="Compact"/>
            </w:pPr>
          </w:p>
        </w:tc>
        <w:tc>
          <w:tcPr/>
          <w:p>
            <w:pPr>
              <w:pStyle w:val="Compact"/>
            </w:pPr>
          </w:p>
        </w:tc>
        <w:tc>
          <w:tcPr/>
          <w:p>
            <w:pPr>
              <w:pStyle w:val="Compact"/>
            </w:pPr>
          </w:p>
        </w:tc>
      </w:tr>
    </w:tbl>
    <w:p>
      <w:pPr>
        <w:pStyle w:val="BodyText"/>
      </w:pPr>
      <w:r>
        <w:t xml:space="preserve">Note: Dot-com Bottom 2002, US Downgrade 2011, and Repo Spike 2019 never appear as holdout scenarios. They serve as</w:t>
      </w:r>
      <w:r>
        <w:t xml:space="preserve"> </w:t>
      </w:r>
      <w:r>
        <w:t xml:space="preserve">“</w:t>
      </w:r>
      <w:r>
        <w:t xml:space="preserve">anchor</w:t>
      </w:r>
      <w:r>
        <w:t xml:space="preserve">”</w:t>
      </w:r>
      <w:r>
        <w:t xml:space="preserve"> </w:t>
      </w:r>
      <w:r>
        <w:t xml:space="preserve">scenarios present in every training fold, providing stability baseline. This is by design — these three span the severity range (High, Moderate, Moderate) and crisis types (prolonged bear, sovereign/political, liquidity) without overlapping the thematic groupings.</w:t>
      </w:r>
    </w:p>
    <w:bookmarkEnd w:id="128"/>
    <w:bookmarkStart w:id="129" w:name="validation-protocol"/>
    <w:p>
      <w:pPr>
        <w:pStyle w:val="Heading4"/>
      </w:pPr>
      <w:r>
        <w:t xml:space="preserve">13.4.5 Validation Protocol</w:t>
      </w:r>
    </w:p>
    <w:p>
      <w:pPr>
        <w:pStyle w:val="FirstParagraph"/>
      </w:pPr>
      <w:r>
        <w:t xml:space="preserve">For each holdout set</w:t>
      </w:r>
      <w:r>
        <w:t xml:space="preserve"> </w:t>
      </w:r>
      <m:oMath>
        <m:sSub>
          <m:e>
            <m:r>
              <m:t>H</m:t>
            </m:r>
          </m:e>
          <m:sub>
            <m:r>
              <m:t>k</m:t>
            </m:r>
          </m:sub>
        </m:sSub>
      </m:oMath>
      <w:r>
        <w:t xml:space="preserve"> </w:t>
      </w:r>
      <w:r>
        <w:t xml:space="preserve">(where</w:t>
      </w:r>
      <w:r>
        <w:t xml:space="preserve"> </w:t>
      </w:r>
      <m:oMath>
        <m:r>
          <m:t>k</m:t>
        </m:r>
        <m:r>
          <m:rPr>
            <m:sty m:val="p"/>
          </m:rPr>
          <m:t>∈</m:t>
        </m:r>
        <m:r>
          <m:rPr>
            <m:sty m:val="p"/>
          </m:rPr>
          <m:t>{</m:t>
        </m:r>
        <m:r>
          <m:t>A</m:t>
        </m:r>
        <m:r>
          <m:rPr>
            <m:sty m:val="p"/>
          </m:rPr>
          <m:t>,</m:t>
        </m:r>
        <m:r>
          <m:t>B</m:t>
        </m:r>
        <m:r>
          <m:rPr>
            <m:sty m:val="p"/>
          </m:rPr>
          <m:t>,</m:t>
        </m:r>
        <m:r>
          <m:t>C</m:t>
        </m:r>
        <m:r>
          <m:rPr>
            <m:sty m:val="p"/>
          </m:rPr>
          <m:t>,</m:t>
        </m:r>
        <m:r>
          <m:t>D</m:t>
        </m:r>
        <m:r>
          <m:rPr>
            <m:sty m:val="p"/>
          </m:rPr>
          <m:t>,</m:t>
        </m:r>
        <m:r>
          <m:t>E</m:t>
        </m:r>
        <m:r>
          <m:rPr>
            <m:sty m:val="p"/>
          </m:rPr>
          <m:t>}</m:t>
        </m:r>
      </m:oMath>
      <w:r>
        <w:t xml:space="preserve">):</w:t>
      </w:r>
    </w:p>
    <w:p>
      <w:pPr>
        <w:pStyle w:val="BodyText"/>
      </w:pPr>
      <w:r>
        <w:rPr>
          <w:bCs/>
          <w:b/>
        </w:rPr>
        <w:t xml:space="preserve">Step 1 — Re-derive α on training set:</w:t>
      </w:r>
    </w:p>
    <w:p>
      <w:pPr>
        <w:pStyle w:val="BodyText"/>
      </w:pPr>
      <m:oMathPara>
        <m:oMathParaPr>
          <m:jc m:val="center"/>
        </m:oMathParaPr>
        <m:oMath>
          <m:sSubSup>
            <m:e>
              <m:r>
                <m:t>α</m:t>
              </m:r>
            </m:e>
            <m:sub>
              <m:r>
                <m:t>k</m:t>
              </m:r>
            </m:sub>
            <m:sup>
              <m:r>
                <m:rPr>
                  <m:sty m:val="p"/>
                </m:rPr>
                <m:t>*</m:t>
              </m:r>
            </m:sup>
          </m:sSubSup>
          <m:r>
            <m:rPr>
              <m:sty m:val="p"/>
            </m:rPr>
            <m:t>=</m:t>
          </m:r>
          <m:r>
            <m:rPr>
              <m:sty m:val="p"/>
            </m:rPr>
            <m:t>arg</m:t>
          </m:r>
          <m:limLow>
            <m:e>
              <m:r>
                <m:rPr>
                  <m:sty m:val="p"/>
                </m:rPr>
                <m:t>min</m:t>
              </m:r>
            </m:e>
            <m:lim>
              <m:r>
                <m:t>α</m:t>
              </m:r>
              <m:r>
                <m:rPr>
                  <m:sty m:val="p"/>
                </m:rPr>
                <m:t>∈</m:t>
              </m:r>
              <m:d>
                <m:dPr>
                  <m:begChr m:val="["/>
                  <m:endChr m:val="]"/>
                  <m:sepChr m:val=""/>
                  <m:grow/>
                </m:dPr>
                <m:e>
                  <m:r>
                    <m:t>0.50</m:t>
                  </m:r>
                  <m:r>
                    <m:rPr>
                      <m:sty m:val="p"/>
                    </m:rPr>
                    <m:t>,</m:t>
                  </m:r>
                  <m:r>
                    <m:t>1.00</m:t>
                  </m:r>
                </m:e>
              </m:d>
            </m:lim>
          </m:limLow>
          <m:f>
            <m:fPr>
              <m:type m:val="bar"/>
            </m:fPr>
            <m:num>
              <m:r>
                <m:t>1</m:t>
              </m:r>
            </m:num>
            <m:den>
              <m:d>
                <m:dPr>
                  <m:begChr m:val="|"/>
                  <m:endChr m:val="|"/>
                  <m:sepChr m:val=""/>
                  <m:grow/>
                </m:dPr>
                <m:e>
                  <m:sSub>
                    <m:e>
                      <m:r>
                        <m:t>T</m:t>
                      </m:r>
                    </m:e>
                    <m:sub>
                      <m:r>
                        <m:t>k</m:t>
                      </m:r>
                    </m:sub>
                  </m:sSub>
                </m:e>
              </m:d>
            </m:den>
          </m:f>
          <m:nary>
            <m:naryPr>
              <m:chr m:val="∑"/>
              <m:limLoc m:val="undOvr"/>
              <m:subHide m:val="off"/>
              <m:supHide m:val="on"/>
            </m:naryPr>
            <m:sub>
              <m:r>
                <m:t>i</m:t>
              </m:r>
              <m:r>
                <m:rPr>
                  <m:sty m:val="p"/>
                </m:rPr>
                <m:t>∈</m:t>
              </m:r>
              <m:sSub>
                <m:e>
                  <m:r>
                    <m:t>T</m:t>
                  </m:r>
                </m:e>
                <m:sub>
                  <m:r>
                    <m:t>k</m:t>
                  </m:r>
                </m:sub>
              </m:sSub>
            </m:sub>
            <m:sup>
              <m:r>
                <m:t>​</m:t>
              </m:r>
            </m:sup>
            <m:e>
              <m:d>
                <m:dPr>
                  <m:begChr m:val="|"/>
                  <m:endChr m:val="|"/>
                  <m:sepChr m:val=""/>
                  <m:grow/>
                </m:dPr>
                <m:e>
                  <m:r>
                    <m:t>α</m:t>
                  </m:r>
                  <m:r>
                    <m:rPr>
                      <m:sty m:val="p"/>
                    </m:rPr>
                    <m:t>⋅</m:t>
                  </m:r>
                  <m:sSubSup>
                    <m:e>
                      <m:r>
                        <m:rPr>
                          <m:nor/>
                          <m:sty m:val="p"/>
                        </m:rPr>
                        <m:t>MAC</m:t>
                      </m:r>
                    </m:e>
                    <m:sub>
                      <m:r>
                        <m:rPr>
                          <m:nor/>
                          <m:sty m:val="p"/>
                        </m:rPr>
                        <m:t>raw</m:t>
                      </m:r>
                    </m:sub>
                    <m:sup>
                      <m:d>
                        <m:dPr>
                          <m:begChr m:val="("/>
                          <m:endChr m:val=")"/>
                          <m:sepChr m:val=""/>
                          <m:grow/>
                        </m:dPr>
                        <m:e>
                          <m:r>
                            <m:t>i</m:t>
                          </m:r>
                        </m:e>
                      </m:d>
                    </m:sup>
                  </m:sSubSup>
                  <m:r>
                    <m:rPr>
                      <m:sty m:val="p"/>
                    </m:rPr>
                    <m:t>−</m:t>
                  </m:r>
                  <m:sSup>
                    <m:e>
                      <m:r>
                        <m:rPr>
                          <m:nor/>
                          <m:sty m:val="p"/>
                        </m:rPr>
                        <m:t>CSR</m:t>
                      </m:r>
                    </m:e>
                    <m:sup>
                      <m:d>
                        <m:dPr>
                          <m:begChr m:val="("/>
                          <m:endChr m:val=")"/>
                          <m:sepChr m:val=""/>
                          <m:grow/>
                        </m:dPr>
                        <m:e>
                          <m:r>
                            <m:t>i</m:t>
                          </m:r>
                        </m:e>
                      </m:d>
                    </m:sup>
                  </m:sSup>
                </m:e>
              </m:d>
            </m:e>
          </m:nary>
        </m:oMath>
      </m:oMathPara>
    </w:p>
    <w:p>
      <w:pPr>
        <w:pStyle w:val="FirstParagraph"/>
      </w:pPr>
      <w:r>
        <w:t xml:space="preserve">where</w:t>
      </w:r>
      <w:r>
        <w:t xml:space="preserve"> </w:t>
      </w:r>
      <m:oMath>
        <m:sSub>
          <m:e>
            <m:r>
              <m:t>T</m:t>
            </m:r>
          </m:e>
          <m:sub>
            <m:r>
              <m:t>k</m:t>
            </m:r>
          </m:sub>
        </m:sSub>
      </m:oMath>
      <w:r>
        <w:t xml:space="preserve"> </w:t>
      </w:r>
      <w:r>
        <w:t xml:space="preserve">is the training set (all 14 scenarios minus those in holdout</w:t>
      </w:r>
      <w:r>
        <w:t xml:space="preserve"> </w:t>
      </w:r>
      <m:oMath>
        <m:sSub>
          <m:e>
            <m:r>
              <m:t>H</m:t>
            </m:r>
          </m:e>
          <m:sub>
            <m:r>
              <m:t>k</m:t>
            </m:r>
          </m:sub>
        </m:sSub>
      </m:oMath>
      <w:r>
        <w:t xml:space="preserve">).</w:t>
      </w:r>
    </w:p>
    <w:p>
      <w:pPr>
        <w:pStyle w:val="BodyText"/>
      </w:pPr>
      <w:r>
        <w:rPr>
          <w:bCs/>
          <w:b/>
        </w:rPr>
        <w:t xml:space="preserve">Step 2 — Compute out-of-sample MAE:</w:t>
      </w:r>
    </w:p>
    <w:p>
      <w:pPr>
        <w:pStyle w:val="BodyText"/>
      </w:pPr>
      <m:oMathPara>
        <m:oMathParaPr>
          <m:jc m:val="center"/>
        </m:oMathParaPr>
        <m:oMath>
          <m:sSubSup>
            <m:e>
              <m:r>
                <m:rPr>
                  <m:nor/>
                  <m:sty m:val="p"/>
                </m:rPr>
                <m:t>MAE</m:t>
              </m:r>
            </m:e>
            <m:sub>
              <m:r>
                <m:t>k</m:t>
              </m:r>
            </m:sub>
            <m:sup>
              <m:r>
                <m:rPr>
                  <m:nor/>
                  <m:sty m:val="p"/>
                </m:rPr>
                <m:t>oos</m:t>
              </m:r>
            </m:sup>
          </m:sSubSup>
          <m:r>
            <m:rPr>
              <m:sty m:val="p"/>
            </m:rPr>
            <m:t>=</m:t>
          </m:r>
          <m:f>
            <m:fPr>
              <m:type m:val="bar"/>
            </m:fPr>
            <m:num>
              <m:r>
                <m:t>1</m:t>
              </m:r>
            </m:num>
            <m:den>
              <m:d>
                <m:dPr>
                  <m:begChr m:val="|"/>
                  <m:endChr m:val="|"/>
                  <m:sepChr m:val=""/>
                  <m:grow/>
                </m:dPr>
                <m:e>
                  <m:sSub>
                    <m:e>
                      <m:r>
                        <m:t>H</m:t>
                      </m:r>
                    </m:e>
                    <m:sub>
                      <m:r>
                        <m:t>k</m:t>
                      </m:r>
                    </m:sub>
                  </m:sSub>
                </m:e>
              </m:d>
            </m:den>
          </m:f>
          <m:nary>
            <m:naryPr>
              <m:chr m:val="∑"/>
              <m:limLoc m:val="undOvr"/>
              <m:subHide m:val="off"/>
              <m:supHide m:val="on"/>
            </m:naryPr>
            <m:sub>
              <m:r>
                <m:t>i</m:t>
              </m:r>
              <m:r>
                <m:rPr>
                  <m:sty m:val="p"/>
                </m:rPr>
                <m:t>∈</m:t>
              </m:r>
              <m:sSub>
                <m:e>
                  <m:r>
                    <m:t>H</m:t>
                  </m:r>
                </m:e>
                <m:sub>
                  <m:r>
                    <m:t>k</m:t>
                  </m:r>
                </m:sub>
              </m:sSub>
            </m:sub>
            <m:sup>
              <m:r>
                <m:t>​</m:t>
              </m:r>
            </m:sup>
            <m:e>
              <m:d>
                <m:dPr>
                  <m:begChr m:val="|"/>
                  <m:endChr m:val="|"/>
                  <m:sepChr m:val=""/>
                  <m:grow/>
                </m:dPr>
                <m:e>
                  <m:sSubSup>
                    <m:e>
                      <m:r>
                        <m:t>α</m:t>
                      </m:r>
                    </m:e>
                    <m:sub>
                      <m:r>
                        <m:t>k</m:t>
                      </m:r>
                    </m:sub>
                    <m:sup>
                      <m:r>
                        <m:rPr>
                          <m:sty m:val="p"/>
                        </m:rPr>
                        <m:t>*</m:t>
                      </m:r>
                    </m:sup>
                  </m:sSubSup>
                  <m:r>
                    <m:rPr>
                      <m:sty m:val="p"/>
                    </m:rPr>
                    <m:t>⋅</m:t>
                  </m:r>
                  <m:sSubSup>
                    <m:e>
                      <m:r>
                        <m:rPr>
                          <m:nor/>
                          <m:sty m:val="p"/>
                        </m:rPr>
                        <m:t>MAC</m:t>
                      </m:r>
                    </m:e>
                    <m:sub>
                      <m:r>
                        <m:rPr>
                          <m:nor/>
                          <m:sty m:val="p"/>
                        </m:rPr>
                        <m:t>raw</m:t>
                      </m:r>
                    </m:sub>
                    <m:sup>
                      <m:d>
                        <m:dPr>
                          <m:begChr m:val="("/>
                          <m:endChr m:val=")"/>
                          <m:sepChr m:val=""/>
                          <m:grow/>
                        </m:dPr>
                        <m:e>
                          <m:r>
                            <m:t>i</m:t>
                          </m:r>
                        </m:e>
                      </m:d>
                    </m:sup>
                  </m:sSubSup>
                  <m:r>
                    <m:rPr>
                      <m:sty m:val="p"/>
                    </m:rPr>
                    <m:t>−</m:t>
                  </m:r>
                  <m:sSup>
                    <m:e>
                      <m:r>
                        <m:rPr>
                          <m:nor/>
                          <m:sty m:val="p"/>
                        </m:rPr>
                        <m:t>CSR</m:t>
                      </m:r>
                    </m:e>
                    <m:sup>
                      <m:d>
                        <m:dPr>
                          <m:begChr m:val="("/>
                          <m:endChr m:val=")"/>
                          <m:sepChr m:val=""/>
                          <m:grow/>
                        </m:dPr>
                        <m:e>
                          <m:r>
                            <m:t>i</m:t>
                          </m:r>
                        </m:e>
                      </m:d>
                    </m:sup>
                  </m:sSup>
                </m:e>
              </m:d>
            </m:e>
          </m:nary>
        </m:oMath>
      </m:oMathPara>
    </w:p>
    <w:p>
      <w:pPr>
        <w:pStyle w:val="FirstParagraph"/>
      </w:pPr>
      <w:r>
        <w:rPr>
          <w:bCs/>
          <w:b/>
        </w:rPr>
        <w:t xml:space="preserve">Step 3 — Compute α deviation:</w:t>
      </w:r>
    </w:p>
    <w:p>
      <w:pPr>
        <w:pStyle w:val="BodyText"/>
      </w:pPr>
      <m:oMathPara>
        <m:oMathParaPr>
          <m:jc m:val="center"/>
        </m:oMathParaPr>
        <m:oMath>
          <m:r>
            <m:t>Δ</m:t>
          </m:r>
          <m:sSub>
            <m:e>
              <m:r>
                <m:t>α</m:t>
              </m:r>
            </m:e>
            <m:sub>
              <m:r>
                <m:t>k</m:t>
              </m:r>
            </m:sub>
          </m:sSub>
          <m:r>
            <m:rPr>
              <m:sty m:val="p"/>
            </m:rPr>
            <m:t>=</m:t>
          </m:r>
          <m:d>
            <m:dPr>
              <m:begChr m:val="|"/>
              <m:endChr m:val="|"/>
              <m:sepChr m:val=""/>
              <m:grow/>
            </m:dPr>
            <m:e>
              <m:sSubSup>
                <m:e>
                  <m:r>
                    <m:t>α</m:t>
                  </m:r>
                </m:e>
                <m:sub>
                  <m:r>
                    <m:t>k</m:t>
                  </m:r>
                </m:sub>
                <m:sup>
                  <m:r>
                    <m:rPr>
                      <m:sty m:val="p"/>
                    </m:rPr>
                    <m:t>*</m:t>
                  </m:r>
                </m:sup>
              </m:sSubSup>
              <m:r>
                <m:rPr>
                  <m:sty m:val="p"/>
                </m:rPr>
                <m:t>−</m:t>
              </m:r>
              <m:sSubSup>
                <m:e>
                  <m:r>
                    <m:t>α</m:t>
                  </m:r>
                </m:e>
                <m:sub>
                  <m:r>
                    <m:rPr>
                      <m:nor/>
                      <m:sty m:val="p"/>
                    </m:rPr>
                    <m:t>full</m:t>
                  </m:r>
                </m:sub>
                <m:sup>
                  <m:r>
                    <m:rPr>
                      <m:sty m:val="p"/>
                    </m:rPr>
                    <m:t>*</m:t>
                  </m:r>
                </m:sup>
              </m:sSubSup>
            </m:e>
          </m:d>
        </m:oMath>
      </m:oMathPara>
    </w:p>
    <w:p>
      <w:pPr>
        <w:pStyle w:val="FirstParagraph"/>
      </w:pPr>
      <w:r>
        <w:t xml:space="preserve">where</w:t>
      </w:r>
      <w:r>
        <w:t xml:space="preserve"> </w:t>
      </w:r>
      <m:oMath>
        <m:sSubSup>
          <m:e>
            <m:r>
              <m:t>α</m:t>
            </m:r>
          </m:e>
          <m:sub>
            <m:r>
              <m:rPr>
                <m:nor/>
                <m:sty m:val="p"/>
              </m:rPr>
              <m:t>full</m:t>
            </m:r>
          </m:sub>
          <m:sup>
            <m:r>
              <m:rPr>
                <m:sty m:val="p"/>
              </m:rPr>
              <m:t>*</m:t>
            </m:r>
          </m:sup>
        </m:sSubSup>
        <m:r>
          <m:rPr>
            <m:sty m:val="p"/>
          </m:rPr>
          <m:t>=</m:t>
        </m:r>
        <m:r>
          <m:t>0.78</m:t>
        </m:r>
      </m:oMath>
      <w:r>
        <w:t xml:space="preserve"> </w:t>
      </w:r>
      <w:r>
        <w:t xml:space="preserve">is the full-sample calibration factor.</w:t>
      </w:r>
    </w:p>
    <w:bookmarkEnd w:id="129"/>
    <w:bookmarkStart w:id="130" w:name="acceptance-criteria"/>
    <w:p>
      <w:pPr>
        <w:pStyle w:val="Heading4"/>
      </w:pPr>
      <w:r>
        <w:t xml:space="preserve">13.4.6 Acceptance Criteria</w:t>
      </w:r>
    </w:p>
    <w:tbl>
      <w:tblPr>
        <w:tblStyle w:val="Table"/>
        <w:tblW w:type="pct" w:w="5000"/>
        <w:tblLook w:firstRow="1" w:lastRow="0" w:firstColumn="0" w:lastColumn="0" w:noHBand="0" w:noVBand="0" w:val="0020"/>
        <w:jc w:val="start"/>
      </w:tblPr>
      <w:tblGrid>
        <w:gridCol w:w="1810"/>
        <w:gridCol w:w="2489"/>
        <w:gridCol w:w="3620"/>
      </w:tblGrid>
      <w:tr>
        <w:trPr>
          <w:tblHeader w:val="true"/>
        </w:trPr>
        <w:tc>
          <w:tcPr/>
          <w:p>
            <w:pPr>
              <w:pStyle w:val="Compact"/>
              <w:jc w:val="left"/>
            </w:pPr>
            <w:r>
              <w:t xml:space="preserve">Metric</w:t>
            </w:r>
          </w:p>
        </w:tc>
        <w:tc>
          <w:tcPr/>
          <w:p>
            <w:pPr>
              <w:pStyle w:val="Compact"/>
              <w:jc w:val="left"/>
            </w:pPr>
            <w:r>
              <w:t xml:space="preserve">Threshold</w:t>
            </w:r>
          </w:p>
        </w:tc>
        <w:tc>
          <w:tcPr/>
          <w:p>
            <w:pPr>
              <w:pStyle w:val="Compact"/>
              <w:jc w:val="left"/>
            </w:pPr>
            <w:r>
              <w:t xml:space="preserve">Interpretation</w:t>
            </w:r>
          </w:p>
        </w:tc>
      </w:tr>
      <w:tr>
        <w:tc>
          <w:tcPr/>
          <w:p>
            <w:pPr>
              <w:pStyle w:val="Compact"/>
              <w:jc w:val="left"/>
            </w:pPr>
            <m:oMath>
              <m:r>
                <m:t>Δ</m:t>
              </m:r>
              <m:sSub>
                <m:e>
                  <m:r>
                    <m:t>α</m:t>
                  </m:r>
                </m:e>
                <m:sub>
                  <m:r>
                    <m:t>k</m:t>
                  </m:r>
                </m:sub>
              </m:sSub>
            </m:oMath>
            <w:r>
              <w:t xml:space="preserve"> </w:t>
            </w:r>
            <w:r>
              <w:t xml:space="preserve">for all</w:t>
            </w:r>
            <w:r>
              <w:t xml:space="preserve"> </w:t>
            </w:r>
            <m:oMath>
              <m:r>
                <m:t>k</m:t>
              </m:r>
            </m:oMath>
          </w:p>
        </w:tc>
        <w:tc>
          <w:tcPr/>
          <w:p>
            <w:pPr>
              <w:pStyle w:val="Compact"/>
              <w:jc w:val="left"/>
            </w:pPr>
            <w:r>
              <w:t xml:space="preserve">&lt; 0.05</w:t>
            </w:r>
          </w:p>
        </w:tc>
        <w:tc>
          <w:tcPr/>
          <w:p>
            <w:pPr>
              <w:pStyle w:val="Compact"/>
              <w:jc w:val="left"/>
            </w:pPr>
            <w:r>
              <w:t xml:space="preserve">α is not driven by any single crisis type</w:t>
            </w:r>
          </w:p>
        </w:tc>
      </w:tr>
      <w:tr>
        <w:tc>
          <w:tcPr/>
          <w:p>
            <w:pPr>
              <w:pStyle w:val="Compact"/>
              <w:jc w:val="left"/>
            </w:pPr>
            <m:oMath>
              <m:sSubSup>
                <m:e>
                  <m:r>
                    <m:rPr>
                      <m:nor/>
                      <m:sty m:val="p"/>
                    </m:rPr>
                    <m:t>MAE</m:t>
                  </m:r>
                </m:e>
                <m:sub>
                  <m:r>
                    <m:t>k</m:t>
                  </m:r>
                </m:sub>
                <m:sup>
                  <m:r>
                    <m:rPr>
                      <m:nor/>
                      <m:sty m:val="p"/>
                    </m:rPr>
                    <m:t>oos</m:t>
                  </m:r>
                </m:sup>
              </m:sSubSup>
            </m:oMath>
            <w:r>
              <w:t xml:space="preserve"> </w:t>
            </w:r>
            <w:r>
              <w:t xml:space="preserve">for all</w:t>
            </w:r>
            <w:r>
              <w:t xml:space="preserve"> </w:t>
            </w:r>
            <m:oMath>
              <m:r>
                <m:t>k</m:t>
              </m:r>
            </m:oMath>
          </w:p>
        </w:tc>
        <w:tc>
          <w:tcPr/>
          <w:p>
            <w:pPr>
              <w:pStyle w:val="Compact"/>
              <w:jc w:val="left"/>
            </w:pPr>
            <w:r>
              <w:t xml:space="preserve">&lt; 0.15</w:t>
            </w:r>
          </w:p>
        </w:tc>
        <w:tc>
          <w:tcPr/>
          <w:p>
            <w:pPr>
              <w:pStyle w:val="Compact"/>
              <w:jc w:val="left"/>
            </w:pPr>
            <w:r>
              <w:t xml:space="preserve">Out-of-sample fit is adequate for all holdout themes</w:t>
            </w:r>
          </w:p>
        </w:tc>
      </w:tr>
      <w:tr>
        <w:tc>
          <w:tcPr/>
          <w:p>
            <w:pPr>
              <w:pStyle w:val="Compact"/>
              <w:jc w:val="left"/>
            </w:pPr>
            <m:oMath>
              <m:r>
                <m:rPr>
                  <m:sty m:val="p"/>
                </m:rPr>
                <m:t>max</m:t>
              </m:r>
              <m:d>
                <m:dPr>
                  <m:begChr m:val="("/>
                  <m:endChr m:val=")"/>
                  <m:sepChr m:val=""/>
                  <m:grow/>
                </m:dPr>
                <m:e>
                  <m:sSubSup>
                    <m:e>
                      <m:r>
                        <m:t>α</m:t>
                      </m:r>
                    </m:e>
                    <m:sub>
                      <m:r>
                        <m:t>k</m:t>
                      </m:r>
                    </m:sub>
                    <m:sup>
                      <m:r>
                        <m:rPr>
                          <m:sty m:val="p"/>
                        </m:rPr>
                        <m:t>*</m:t>
                      </m:r>
                    </m:sup>
                  </m:sSubSup>
                </m:e>
              </m:d>
              <m:r>
                <m:rPr>
                  <m:sty m:val="p"/>
                </m:rPr>
                <m:t>−</m:t>
              </m:r>
              <m:r>
                <m:rPr>
                  <m:sty m:val="p"/>
                </m:rPr>
                <m:t>min</m:t>
              </m:r>
              <m:d>
                <m:dPr>
                  <m:begChr m:val="("/>
                  <m:endChr m:val=")"/>
                  <m:sepChr m:val=""/>
                  <m:grow/>
                </m:dPr>
                <m:e>
                  <m:sSubSup>
                    <m:e>
                      <m:r>
                        <m:t>α</m:t>
                      </m:r>
                    </m:e>
                    <m:sub>
                      <m:r>
                        <m:t>k</m:t>
                      </m:r>
                    </m:sub>
                    <m:sup>
                      <m:r>
                        <m:rPr>
                          <m:sty m:val="p"/>
                        </m:rPr>
                        <m:t>*</m:t>
                      </m:r>
                    </m:sup>
                  </m:sSubSup>
                </m:e>
              </m:d>
            </m:oMath>
          </w:p>
        </w:tc>
        <w:tc>
          <w:tcPr/>
          <w:p>
            <w:pPr>
              <w:pStyle w:val="Compact"/>
              <w:jc w:val="left"/>
            </w:pPr>
            <w:r>
              <w:t xml:space="preserve">&lt; 0.08</w:t>
            </w:r>
          </w:p>
        </w:tc>
        <w:tc>
          <w:tcPr/>
          <w:p>
            <w:pPr>
              <w:pStyle w:val="Compact"/>
              <w:jc w:val="left"/>
            </w:pPr>
            <w:r>
              <w:t xml:space="preserve">α range across all themes is narrow</w:t>
            </w:r>
          </w:p>
        </w:tc>
      </w:tr>
      <w:tr>
        <w:tc>
          <w:tcPr/>
          <w:p>
            <w:pPr>
              <w:pStyle w:val="Compact"/>
              <w:jc w:val="left"/>
            </w:pPr>
            <w:r>
              <w:t xml:space="preserve">Mean</w:t>
            </w:r>
            <w:r>
              <w:t xml:space="preserve"> </w:t>
            </w:r>
            <m:oMath>
              <m:sSup>
                <m:e>
                  <m:r>
                    <m:rPr>
                      <m:nor/>
                      <m:sty m:val="p"/>
                    </m:rPr>
                    <m:t>MAE</m:t>
                  </m:r>
                </m:e>
                <m:sup>
                  <m:r>
                    <m:rPr>
                      <m:nor/>
                      <m:sty m:val="p"/>
                    </m:rPr>
                    <m:t>oos</m:t>
                  </m:r>
                </m:sup>
              </m:sSup>
            </m:oMath>
            <w:r>
              <w:t xml:space="preserve"> </w:t>
            </w:r>
            <w:r>
              <w:t xml:space="preserve">across all</w:t>
            </w:r>
            <w:r>
              <w:t xml:space="preserve"> </w:t>
            </w:r>
            <m:oMath>
              <m:r>
                <m:t>k</m:t>
              </m:r>
            </m:oMath>
          </w:p>
        </w:tc>
        <w:tc>
          <w:tcPr/>
          <w:p>
            <w:pPr>
              <w:pStyle w:val="Compact"/>
              <w:jc w:val="left"/>
            </w:pPr>
            <w:r>
              <w:t xml:space="preserve">&lt; 0.12</w:t>
            </w:r>
          </w:p>
        </w:tc>
        <w:tc>
          <w:tcPr/>
          <w:p>
            <w:pPr>
              <w:pStyle w:val="Compact"/>
              <w:jc w:val="left"/>
            </w:pPr>
            <w:r>
              <w:t xml:space="preserve">Average OOS performance is acceptable</w:t>
            </w:r>
          </w:p>
        </w:tc>
      </w:tr>
    </w:tbl>
    <w:p>
      <w:pPr>
        <w:pStyle w:val="BodyText"/>
      </w:pPr>
      <w:r>
        <w:rPr>
          <w:bCs/>
          <w:b/>
        </w:rPr>
        <w:t xml:space="preserve">Pass condition:</w:t>
      </w:r>
      <w:r>
        <w:t xml:space="preserve"> </w:t>
      </w:r>
      <w:r>
        <w:t xml:space="preserve">All four criteria must be satisfied. If any holdout set violates a threshold, the section below (§13.4.8) provides the diagnostic protocol.</w:t>
      </w:r>
    </w:p>
    <w:bookmarkEnd w:id="130"/>
    <w:bookmarkStart w:id="131" w:name="results-reporting-template"/>
    <w:p>
      <w:pPr>
        <w:pStyle w:val="Heading4"/>
      </w:pPr>
      <w:r>
        <w:t xml:space="preserve">13.4.7 Results Reporting Template</w:t>
      </w:r>
    </w:p>
    <w:p>
      <w:pPr>
        <w:pStyle w:val="FirstParagraph"/>
      </w:pPr>
      <w:r>
        <w:rPr>
          <w:iCs/>
          <w:i/>
        </w:rPr>
        <w:t xml:space="preserve">[To be populated when the validation is executed against computed MAC_raw values]</w:t>
      </w:r>
    </w:p>
    <w:tbl>
      <w:tblPr>
        <w:tblStyle w:val="Table"/>
        <w:tblW w:type="pct" w:w="5000"/>
        <w:tblLook w:firstRow="1" w:lastRow="0" w:firstColumn="0" w:lastColumn="0" w:noHBand="0" w:noVBand="0" w:val="0020"/>
        <w:jc w:val="start"/>
      </w:tblPr>
      <w:tblGrid>
        <w:gridCol w:w="750"/>
        <w:gridCol w:w="583"/>
        <w:gridCol w:w="750"/>
        <w:gridCol w:w="666"/>
        <w:gridCol w:w="1250"/>
        <w:gridCol w:w="1417"/>
        <w:gridCol w:w="1250"/>
        <w:gridCol w:w="750"/>
        <w:gridCol w:w="500"/>
      </w:tblGrid>
      <w:tr>
        <w:trPr>
          <w:tblHeader w:val="true"/>
        </w:trPr>
        <w:tc>
          <w:tcPr/>
          <w:p>
            <w:pPr>
              <w:pStyle w:val="Compact"/>
              <w:jc w:val="left"/>
            </w:pPr>
            <w:r>
              <w:t xml:space="preserve">Holdout</w:t>
            </w:r>
          </w:p>
        </w:tc>
        <w:tc>
          <w:tcPr/>
          <w:p>
            <w:pPr>
              <w:pStyle w:val="Compact"/>
              <w:jc w:val="left"/>
            </w:pPr>
            <w:r>
              <w:t xml:space="preserve">Theme</w:t>
            </w:r>
          </w:p>
        </w:tc>
        <w:tc>
          <w:tcPr/>
          <w:p>
            <w:pPr>
              <w:pStyle w:val="Compact"/>
              <w:jc w:val="left"/>
            </w:pPr>
            <w:r>
              <w:t xml:space="preserve">N_train</w:t>
            </w:r>
          </w:p>
        </w:tc>
        <w:tc>
          <w:tcPr/>
          <w:p>
            <w:pPr>
              <w:pStyle w:val="Compact"/>
              <w:jc w:val="left"/>
            </w:pPr>
            <w:r>
              <w:t xml:space="preserve">N_test</w:t>
            </w:r>
          </w:p>
        </w:tc>
        <w:tc>
          <w:tcPr/>
          <w:p>
            <w:pPr>
              <w:pStyle w:val="Compact"/>
              <w:jc w:val="left"/>
            </w:pPr>
            <m:oMath>
              <m:sSubSup>
                <m:e>
                  <m:r>
                    <m:t>α</m:t>
                  </m:r>
                </m:e>
                <m:sub>
                  <m:r>
                    <m:t>k</m:t>
                  </m:r>
                </m:sub>
                <m:sup>
                  <m:r>
                    <m:rPr>
                      <m:sty m:val="p"/>
                    </m:rPr>
                    <m:t>*</m:t>
                  </m:r>
                </m:sup>
              </m:sSubSup>
            </m:oMath>
          </w:p>
        </w:tc>
        <w:tc>
          <w:tcPr/>
          <w:p>
            <w:pPr>
              <w:pStyle w:val="Compact"/>
              <w:jc w:val="left"/>
            </w:pPr>
            <m:oMath>
              <m:r>
                <m:t>Δ</m:t>
              </m:r>
              <m:r>
                <m:t>α</m:t>
              </m:r>
            </m:oMath>
          </w:p>
        </w:tc>
        <w:tc>
          <w:tcPr/>
          <w:p>
            <w:pPr>
              <w:pStyle w:val="Compact"/>
              <w:jc w:val="left"/>
            </w:pPr>
            <w:r>
              <w:t xml:space="preserve">In-Sample MAE</w:t>
            </w:r>
          </w:p>
        </w:tc>
        <w:tc>
          <w:tcPr/>
          <w:p>
            <w:pPr>
              <w:pStyle w:val="Compact"/>
              <w:jc w:val="left"/>
            </w:pPr>
            <w:r>
              <w:t xml:space="preserve">OOS MAE</w:t>
            </w:r>
          </w:p>
        </w:tc>
        <w:tc>
          <w:tcPr/>
          <w:p>
            <w:pPr>
              <w:pStyle w:val="Compact"/>
              <w:jc w:val="left"/>
            </w:pPr>
            <w:r>
              <w:t xml:space="preserve">Pass</w:t>
            </w:r>
          </w:p>
        </w:tc>
      </w:tr>
      <w:tr>
        <w:tc>
          <w:tcPr/>
          <w:p>
            <w:pPr>
              <w:pStyle w:val="Compact"/>
              <w:jc w:val="left"/>
            </w:pPr>
            <w:r>
              <w:t xml:space="preserve">A</w:t>
            </w:r>
          </w:p>
        </w:tc>
        <w:tc>
          <w:tcPr/>
          <w:p>
            <w:pPr>
              <w:pStyle w:val="Compact"/>
              <w:jc w:val="left"/>
            </w:pPr>
            <w:r>
              <w:t xml:space="preserve">Positioning / Hedge Failure</w:t>
            </w:r>
          </w:p>
        </w:tc>
        <w:tc>
          <w:tcPr/>
          <w:p>
            <w:pPr>
              <w:pStyle w:val="Compact"/>
              <w:jc w:val="left"/>
            </w:pPr>
            <w:r>
              <w:t xml:space="preserve">11</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B</w:t>
            </w:r>
          </w:p>
        </w:tc>
        <w:tc>
          <w:tcPr/>
          <w:p>
            <w:pPr>
              <w:pStyle w:val="Compact"/>
              <w:jc w:val="left"/>
            </w:pPr>
            <w:r>
              <w:t xml:space="preserve">Systemic Credit / Banking</w:t>
            </w:r>
          </w:p>
        </w:tc>
        <w:tc>
          <w:tcPr/>
          <w:p>
            <w:pPr>
              <w:pStyle w:val="Compact"/>
              <w:jc w:val="left"/>
            </w:pPr>
            <w:r>
              <w:t xml:space="preserve">11</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C</w:t>
            </w:r>
          </w:p>
        </w:tc>
        <w:tc>
          <w:tcPr/>
          <w:p>
            <w:pPr>
              <w:pStyle w:val="Compact"/>
              <w:jc w:val="left"/>
            </w:pPr>
            <w:r>
              <w:t xml:space="preserve">Exogenous / Geopolitical</w:t>
            </w:r>
          </w:p>
        </w:tc>
        <w:tc>
          <w:tcPr/>
          <w:p>
            <w:pPr>
              <w:pStyle w:val="Compact"/>
              <w:jc w:val="left"/>
            </w:pPr>
            <w:r>
              <w:t xml:space="preserve">11</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D</w:t>
            </w:r>
          </w:p>
        </w:tc>
        <w:tc>
          <w:tcPr/>
          <w:p>
            <w:pPr>
              <w:pStyle w:val="Compact"/>
              <w:jc w:val="left"/>
            </w:pPr>
            <w:r>
              <w:t xml:space="preserve">Extreme Severity</w:t>
            </w:r>
          </w:p>
        </w:tc>
        <w:tc>
          <w:tcPr/>
          <w:p>
            <w:pPr>
              <w:pStyle w:val="Compact"/>
              <w:jc w:val="left"/>
            </w:pPr>
            <w:r>
              <w:t xml:space="preserve">11</w:t>
            </w:r>
          </w:p>
        </w:tc>
        <w:tc>
          <w:tcPr/>
          <w:p>
            <w:pPr>
              <w:pStyle w:val="Compact"/>
              <w:jc w:val="left"/>
            </w:pPr>
            <w:r>
              <w:t xml:space="preserve">3</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E</w:t>
            </w:r>
          </w:p>
        </w:tc>
        <w:tc>
          <w:tcPr/>
          <w:p>
            <w:pPr>
              <w:pStyle w:val="Compact"/>
              <w:jc w:val="left"/>
            </w:pPr>
            <w:r>
              <w:t xml:space="preserve">Moderate / Low-Impact</w:t>
            </w:r>
          </w:p>
        </w:tc>
        <w:tc>
          <w:tcPr/>
          <w:p>
            <w:pPr>
              <w:pStyle w:val="Compact"/>
              <w:jc w:val="left"/>
            </w:pPr>
            <w:r>
              <w:t xml:space="preserve">10</w:t>
            </w:r>
          </w:p>
        </w:tc>
        <w:tc>
          <w:tcPr/>
          <w:p>
            <w:pPr>
              <w:pStyle w:val="Compact"/>
              <w:jc w:val="left"/>
            </w:pPr>
            <w:r>
              <w:t xml:space="preserve">4</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Full</w:t>
            </w:r>
          </w:p>
        </w:tc>
        <w:tc>
          <w:tcPr/>
          <w:p>
            <w:pPr>
              <w:pStyle w:val="Compact"/>
              <w:jc w:val="left"/>
            </w:pPr>
            <w:r>
              <w:rPr>
                <w:bCs/>
                <w:b/>
              </w:rPr>
              <w:t xml:space="preserve">All scenarios</w:t>
            </w:r>
          </w:p>
        </w:tc>
        <w:tc>
          <w:tcPr/>
          <w:p>
            <w:pPr>
              <w:pStyle w:val="Compact"/>
              <w:jc w:val="left"/>
            </w:pPr>
            <w:r>
              <w:rPr>
                <w:bCs/>
                <w:b/>
              </w:rPr>
              <w:t xml:space="preserve">14</w:t>
            </w:r>
          </w:p>
        </w:tc>
        <w:tc>
          <w:tcPr/>
          <w:p>
            <w:pPr>
              <w:pStyle w:val="Compact"/>
              <w:jc w:val="left"/>
            </w:pPr>
            <w:r>
              <w:rPr>
                <w:bCs/>
                <w:b/>
              </w:rPr>
              <w:t xml:space="preserve">0</w:t>
            </w:r>
          </w:p>
        </w:tc>
        <w:tc>
          <w:tcPr/>
          <w:p>
            <w:pPr>
              <w:pStyle w:val="Compact"/>
              <w:jc w:val="left"/>
            </w:pPr>
            <w:r>
              <w:rPr>
                <w:bCs/>
                <w:b/>
              </w:rPr>
              <w:t xml:space="preserve">0.78</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r>
    </w:tbl>
    <w:p>
      <w:pPr>
        <w:pStyle w:val="BodyText"/>
      </w:pPr>
      <w:r>
        <w:rPr>
          <w:bCs/>
          <w:b/>
        </w:rPr>
        <w:t xml:space="preserve">Summary statistics:</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Metric</w:t>
            </w:r>
          </w:p>
        </w:tc>
        <w:tc>
          <w:tcPr/>
          <w:p>
            <w:pPr>
              <w:pStyle w:val="Compact"/>
              <w:jc w:val="left"/>
            </w:pPr>
            <w:r>
              <w:t xml:space="preserve">Value</w:t>
            </w:r>
          </w:p>
        </w:tc>
        <w:tc>
          <w:tcPr/>
          <w:p>
            <w:pPr>
              <w:pStyle w:val="Compact"/>
              <w:jc w:val="left"/>
            </w:pPr>
            <w:r>
              <w:t xml:space="preserve">Threshold</w:t>
            </w:r>
          </w:p>
        </w:tc>
        <w:tc>
          <w:tcPr/>
          <w:p>
            <w:pPr>
              <w:pStyle w:val="Compact"/>
              <w:jc w:val="left"/>
            </w:pPr>
            <w:r>
              <w:t xml:space="preserve">Status</w:t>
            </w:r>
          </w:p>
        </w:tc>
      </w:tr>
      <w:tr>
        <w:tc>
          <w:tcPr/>
          <w:p>
            <w:pPr>
              <w:pStyle w:val="Compact"/>
              <w:jc w:val="left"/>
            </w:pPr>
            <w:r>
              <w:t xml:space="preserve">α range (</w:t>
            </w:r>
            <m:oMath>
              <m:r>
                <m:rPr>
                  <m:sty m:val="p"/>
                </m:rPr>
                <m:t>max</m:t>
              </m:r>
              <m:r>
                <m:rPr>
                  <m:sty m:val="p"/>
                </m:rPr>
                <m:t>−</m:t>
              </m:r>
              <m:r>
                <m:rPr>
                  <m:sty m:val="p"/>
                </m:rPr>
                <m:t>min</m:t>
              </m:r>
            </m:oMath>
            <w:r>
              <w:t xml:space="preserve">)</w:t>
            </w:r>
          </w:p>
        </w:tc>
        <w:tc>
          <w:tcPr/>
          <w:p>
            <w:pPr>
              <w:pStyle w:val="Compact"/>
              <w:jc w:val="left"/>
            </w:pPr>
            <w:r>
              <w:t xml:space="preserve">—</w:t>
            </w:r>
          </w:p>
        </w:tc>
        <w:tc>
          <w:tcPr/>
          <w:p>
            <w:pPr>
              <w:pStyle w:val="Compact"/>
              <w:jc w:val="left"/>
            </w:pPr>
            <w:r>
              <w:t xml:space="preserve">&lt; 0.08</w:t>
            </w:r>
          </w:p>
        </w:tc>
        <w:tc>
          <w:tcPr/>
          <w:p>
            <w:pPr>
              <w:pStyle w:val="Compact"/>
              <w:jc w:val="left"/>
            </w:pPr>
            <w:r>
              <w:t xml:space="preserve">—</w:t>
            </w:r>
          </w:p>
        </w:tc>
      </w:tr>
      <w:tr>
        <w:tc>
          <w:tcPr/>
          <w:p>
            <w:pPr>
              <w:pStyle w:val="Compact"/>
              <w:jc w:val="left"/>
            </w:pPr>
            <w:r>
              <w:t xml:space="preserve">Max</w:t>
            </w:r>
            <w:r>
              <w:t xml:space="preserve"> </w:t>
            </w:r>
            <m:oMath>
              <m:r>
                <m:t>Δ</m:t>
              </m:r>
              <m:r>
                <m:t>α</m:t>
              </m:r>
            </m:oMath>
          </w:p>
        </w:tc>
        <w:tc>
          <w:tcPr/>
          <w:p>
            <w:pPr>
              <w:pStyle w:val="Compact"/>
              <w:jc w:val="left"/>
            </w:pPr>
            <w:r>
              <w:t xml:space="preserve">—</w:t>
            </w:r>
          </w:p>
        </w:tc>
        <w:tc>
          <w:tcPr/>
          <w:p>
            <w:pPr>
              <w:pStyle w:val="Compact"/>
              <w:jc w:val="left"/>
            </w:pPr>
            <w:r>
              <w:t xml:space="preserve">&lt; 0.05</w:t>
            </w:r>
          </w:p>
        </w:tc>
        <w:tc>
          <w:tcPr/>
          <w:p>
            <w:pPr>
              <w:pStyle w:val="Compact"/>
              <w:jc w:val="left"/>
            </w:pPr>
            <w:r>
              <w:t xml:space="preserve">—</w:t>
            </w:r>
          </w:p>
        </w:tc>
      </w:tr>
      <w:tr>
        <w:tc>
          <w:tcPr/>
          <w:p>
            <w:pPr>
              <w:pStyle w:val="Compact"/>
              <w:jc w:val="left"/>
            </w:pPr>
            <w:r>
              <w:t xml:space="preserve">Mean OOS MAE</w:t>
            </w:r>
          </w:p>
        </w:tc>
        <w:tc>
          <w:tcPr/>
          <w:p>
            <w:pPr>
              <w:pStyle w:val="Compact"/>
              <w:jc w:val="left"/>
            </w:pPr>
            <w:r>
              <w:t xml:space="preserve">—</w:t>
            </w:r>
          </w:p>
        </w:tc>
        <w:tc>
          <w:tcPr/>
          <w:p>
            <w:pPr>
              <w:pStyle w:val="Compact"/>
              <w:jc w:val="left"/>
            </w:pPr>
            <w:r>
              <w:t xml:space="preserve">&lt; 0.12</w:t>
            </w:r>
          </w:p>
        </w:tc>
        <w:tc>
          <w:tcPr/>
          <w:p>
            <w:pPr>
              <w:pStyle w:val="Compact"/>
              <w:jc w:val="left"/>
            </w:pPr>
            <w:r>
              <w:t xml:space="preserve">—</w:t>
            </w:r>
          </w:p>
        </w:tc>
      </w:tr>
      <w:tr>
        <w:tc>
          <w:tcPr/>
          <w:p>
            <w:pPr>
              <w:pStyle w:val="Compact"/>
              <w:jc w:val="left"/>
            </w:pPr>
            <w:r>
              <w:t xml:space="preserve">Max OOS MAE</w:t>
            </w:r>
          </w:p>
        </w:tc>
        <w:tc>
          <w:tcPr/>
          <w:p>
            <w:pPr>
              <w:pStyle w:val="Compact"/>
              <w:jc w:val="left"/>
            </w:pPr>
            <w:r>
              <w:t xml:space="preserve">—</w:t>
            </w:r>
          </w:p>
        </w:tc>
        <w:tc>
          <w:tcPr/>
          <w:p>
            <w:pPr>
              <w:pStyle w:val="Compact"/>
              <w:jc w:val="left"/>
            </w:pPr>
            <w:r>
              <w:t xml:space="preserve">&lt; 0.15</w:t>
            </w:r>
          </w:p>
        </w:tc>
        <w:tc>
          <w:tcPr/>
          <w:p>
            <w:pPr>
              <w:pStyle w:val="Compact"/>
              <w:jc w:val="left"/>
            </w:pPr>
            <w:r>
              <w:t xml:space="preserve">—</w:t>
            </w:r>
          </w:p>
        </w:tc>
      </w:tr>
    </w:tbl>
    <w:bookmarkEnd w:id="131"/>
    <w:bookmarkStart w:id="132" w:name="diagnostic-protocol-for-holdout-failures"/>
    <w:p>
      <w:pPr>
        <w:pStyle w:val="Heading4"/>
      </w:pPr>
      <w:r>
        <w:t xml:space="preserve">13.4.8 Diagnostic Protocol for Holdout Failures</w:t>
      </w:r>
    </w:p>
    <w:p>
      <w:pPr>
        <w:pStyle w:val="FirstParagraph"/>
      </w:pPr>
      <w:r>
        <w:t xml:space="preserve">If a holdout set violates the acceptance criteria, the following diagnostic sequence applies:</w:t>
      </w:r>
    </w:p>
    <w:p>
      <w:pPr>
        <w:pStyle w:val="BodyText"/>
      </w:pPr>
      <w:r>
        <w:rPr>
          <w:bCs/>
          <w:b/>
        </w:rPr>
        <w:t xml:space="preserve">Case 1: Single holdout failure (</w:t>
      </w:r>
      <m:oMath>
        <m:r>
          <m:t>Δ</m:t>
        </m:r>
        <m:sSub>
          <m:e>
            <m:r>
              <m:t>α</m:t>
            </m:r>
          </m:e>
          <m:sub>
            <m:r>
              <m:t>k</m:t>
            </m:r>
          </m:sub>
        </m:sSub>
        <m:r>
          <m:rPr>
            <m:sty m:val="p"/>
          </m:rPr>
          <m:t>&gt;</m:t>
        </m:r>
        <m:r>
          <m:t>0.05</m:t>
        </m:r>
      </m:oMath>
      <w:r>
        <w:rPr>
          <w:bCs/>
          <w:b/>
        </w:rPr>
        <w:t xml:space="preserve"> </w:t>
      </w:r>
      <w:r>
        <w:rPr>
          <w:bCs/>
          <w:b/>
        </w:rPr>
        <w:t xml:space="preserve">for one</w:t>
      </w:r>
      <w:r>
        <w:rPr>
          <w:bCs/>
          <w:b/>
        </w:rPr>
        <w:t xml:space="preserve"> </w:t>
      </w:r>
      <m:oMath>
        <m:r>
          <m:t>k</m:t>
        </m:r>
      </m:oMath>
      <w:r>
        <w:rPr>
          <w:bCs/>
          <w:b/>
        </w:rPr>
        <w:t xml:space="preserve">)</w:t>
      </w:r>
    </w:p>
    <w:p>
      <w:pPr>
        <w:pStyle w:val="BodyText"/>
      </w:pPr>
      <w:r>
        <w:t xml:space="preserve">The calibration factor is sensitive to that crisis theme. Investigate which scenarios in the holdout set are driving the deviation by computing a leave-one-out within the holdout itself: remove each held-out scenario individually and check if the deviation disappears. If a single scenario is responsible, it may indicate a data quality issue or a genuine structural outlier that warrants a scenario-specific discussion in §17 (Limitations).</w:t>
      </w:r>
    </w:p>
    <w:p>
      <w:pPr>
        <w:pStyle w:val="BodyText"/>
      </w:pPr>
      <w:r>
        <w:rPr>
          <w:bCs/>
          <w:b/>
        </w:rPr>
        <w:t xml:space="preserve">Case 2: Multiple holdout failures with consistent direction</w:t>
      </w:r>
    </w:p>
    <w:p>
      <w:pPr>
        <w:pStyle w:val="BodyText"/>
      </w:pPr>
      <w:r>
        <w:t xml:space="preserve">If</w:t>
      </w:r>
      <w:r>
        <w:t xml:space="preserve"> </w:t>
      </w:r>
      <m:oMath>
        <m:sSubSup>
          <m:e>
            <m:r>
              <m:t>α</m:t>
            </m:r>
          </m:e>
          <m:sub>
            <m:r>
              <m:t>k</m:t>
            </m:r>
          </m:sub>
          <m:sup>
            <m:r>
              <m:rPr>
                <m:sty m:val="p"/>
              </m:rPr>
              <m:t>*</m:t>
            </m:r>
          </m:sup>
        </m:sSubSup>
        <m:r>
          <m:rPr>
            <m:sty m:val="p"/>
          </m:rPr>
          <m:t>&gt;</m:t>
        </m:r>
        <m:r>
          <m:t>0.78</m:t>
        </m:r>
      </m:oMath>
      <w:r>
        <w:t xml:space="preserve"> </w:t>
      </w:r>
      <w:r>
        <w:t xml:space="preserve">for most holdouts (the training set produces a higher α when hard crises are removed), the full-sample α is being pulled down by extreme events. Consider whether a severity-conditional α is warranted:</w:t>
      </w:r>
    </w:p>
    <w:p>
      <w:pPr>
        <w:pStyle w:val="BodyText"/>
      </w:pPr>
      <m:oMathPara>
        <m:oMathParaPr>
          <m:jc m:val="center"/>
        </m:oMathParaPr>
        <m:oMath>
          <m:r>
            <m:t>α</m:t>
          </m:r>
          <m:d>
            <m:dPr>
              <m:begChr m:val="("/>
              <m:endChr m:val=")"/>
              <m:sepChr m:val=""/>
              <m:grow/>
            </m:dPr>
            <m:e>
              <m:r>
                <m:rPr>
                  <m:nor/>
                  <m:sty m:val="p"/>
                </m:rPr>
                <m:t>regime</m:t>
              </m:r>
            </m:e>
          </m:d>
          <m:r>
            <m:rPr>
              <m:sty m:val="p"/>
            </m:rPr>
            <m:t>=</m:t>
          </m:r>
          <m:d>
            <m:dPr>
              <m:begChr m:val="{"/>
              <m:endChr m:val=""/>
              <m:sepChr m:val=""/>
              <m:grow/>
            </m:dPr>
            <m:e>
              <m:m>
                <m:mPr>
                  <m:baseJc m:val="center"/>
                  <m:plcHide m:val="on"/>
                  <m:mcs>
                    <m:mc>
                      <m:mcPr>
                        <m:mcJc m:val="left"/>
                        <m:count m:val="1"/>
                      </m:mcPr>
                    </m:mc>
                    <m:mc>
                      <m:mcPr>
                        <m:mcJc m:val="left"/>
                        <m:count m:val="1"/>
                      </m:mcPr>
                    </m:mc>
                  </m:mcs>
                </m:mPr>
                <m:mr>
                  <m:e>
                    <m:sSub>
                      <m:e>
                        <m:r>
                          <m:t>α</m:t>
                        </m:r>
                      </m:e>
                      <m:sub>
                        <m:r>
                          <m:rPr>
                            <m:nor/>
                            <m:sty m:val="p"/>
                          </m:rPr>
                          <m:t>stress</m:t>
                        </m:r>
                      </m:sub>
                    </m:sSub>
                  </m:e>
                  <m:e>
                    <m:r>
                      <m:rPr>
                        <m:nor/>
                        <m:sty m:val="p"/>
                      </m:rPr>
                      <m:t>if </m:t>
                    </m:r>
                    <m:sSub>
                      <m:e>
                        <m:r>
                          <m:rPr>
                            <m:nor/>
                            <m:sty m:val="p"/>
                          </m:rPr>
                          <m:t>MAC</m:t>
                        </m:r>
                      </m:e>
                      <m:sub>
                        <m:r>
                          <m:rPr>
                            <m:nor/>
                            <m:sty m:val="p"/>
                          </m:rPr>
                          <m:t>raw</m:t>
                        </m:r>
                      </m:sub>
                    </m:sSub>
                    <m:r>
                      <m:rPr>
                        <m:sty m:val="p"/>
                      </m:rPr>
                      <m:t>&lt;</m:t>
                    </m:r>
                    <m:r>
                      <m:t>0.40</m:t>
                    </m:r>
                  </m:e>
                </m:mr>
                <m:mr>
                  <m:e>
                    <m:sSub>
                      <m:e>
                        <m:r>
                          <m:t>α</m:t>
                        </m:r>
                      </m:e>
                      <m:sub>
                        <m:r>
                          <m:rPr>
                            <m:nor/>
                            <m:sty m:val="p"/>
                          </m:rPr>
                          <m:t>normal</m:t>
                        </m:r>
                      </m:sub>
                    </m:sSub>
                  </m:e>
                  <m:e>
                    <m:r>
                      <m:rPr>
                        <m:nor/>
                        <m:sty m:val="p"/>
                      </m:rPr>
                      <m:t>if </m:t>
                    </m:r>
                    <m:sSub>
                      <m:e>
                        <m:r>
                          <m:rPr>
                            <m:nor/>
                            <m:sty m:val="p"/>
                          </m:rPr>
                          <m:t>MAC</m:t>
                        </m:r>
                      </m:e>
                      <m:sub>
                        <m:r>
                          <m:rPr>
                            <m:nor/>
                            <m:sty m:val="p"/>
                          </m:rPr>
                          <m:t>raw</m:t>
                        </m:r>
                      </m:sub>
                    </m:sSub>
                    <m:r>
                      <m:rPr>
                        <m:sty m:val="p"/>
                      </m:rPr>
                      <m:t>≥</m:t>
                    </m:r>
                    <m:r>
                      <m:t>0.40</m:t>
                    </m:r>
                  </m:e>
                </m:mr>
              </m:m>
            </m:e>
          </m:d>
        </m:oMath>
      </m:oMathPara>
    </w:p>
    <w:p>
      <w:pPr>
        <w:pStyle w:val="FirstParagraph"/>
      </w:pPr>
      <w:r>
        <w:t xml:space="preserve">This would be a material framework change requiring additional validation and is flagged for future research.</w:t>
      </w:r>
    </w:p>
    <w:p>
      <w:pPr>
        <w:pStyle w:val="BodyText"/>
      </w:pPr>
      <w:r>
        <w:rPr>
          <w:bCs/>
          <w:b/>
        </w:rPr>
        <w:t xml:space="preserve">Case 3: High OOS MAE despite stable α</w:t>
      </w:r>
    </w:p>
    <w:p>
      <w:pPr>
        <w:pStyle w:val="BodyText"/>
      </w:pPr>
      <w:r>
        <w:t xml:space="preserve">If</w:t>
      </w:r>
      <w:r>
        <w:t xml:space="preserve"> </w:t>
      </w:r>
      <m:oMath>
        <m:sSubSup>
          <m:e>
            <m:r>
              <m:t>α</m:t>
            </m:r>
          </m:e>
          <m:sub>
            <m:r>
              <m:t>k</m:t>
            </m:r>
          </m:sub>
          <m:sup>
            <m:r>
              <m:rPr>
                <m:sty m:val="p"/>
              </m:rPr>
              <m:t>*</m:t>
            </m:r>
          </m:sup>
        </m:sSubSup>
      </m:oMath>
      <w:r>
        <w:t xml:space="preserve"> </w:t>
      </w:r>
      <w:r>
        <w:t xml:space="preserve">is stable but OOS MAE is high for a particular theme, the problem is not calibration but pillar coverage — the framework’s indicators may not capture the dominant stress channel for that crisis type. For example, if Holdout C (exogenous shocks) shows high OOS MAE, the framework may lack adequate shock-origin indicators. This finding routes to §17 (Limitations) and informs future pillar development.</w:t>
      </w:r>
    </w:p>
    <w:p>
      <w:r>
        <w:pict>
          <v:rect style="width:0;height:1.5pt" o:hralign="center" o:hrstd="t" o:hr="t"/>
        </w:pict>
      </w:r>
    </w:p>
    <w:bookmarkEnd w:id="132"/>
    <w:bookmarkEnd w:id="133"/>
    <w:bookmarkStart w:id="134" w:name="leave-one-out-cross-validation"/>
    <w:p>
      <w:pPr>
        <w:pStyle w:val="Heading3"/>
      </w:pPr>
      <w:r>
        <w:t xml:space="preserve">13.5 Leave-One-Out Cross-Validation</w:t>
      </w:r>
    </w:p>
    <w:p>
      <w:pPr>
        <w:pStyle w:val="FirstParagraph"/>
      </w:pPr>
      <w:r>
        <w:t xml:space="preserve">In addition to the thematic holdouts above, standard LOOCV remains as a scenario-level stability check. LOOCV holds out each of the 14 scenarios in turn:</w:t>
      </w:r>
    </w:p>
    <w:p>
      <w:pPr>
        <w:pStyle w:val="BodyText"/>
      </w:pPr>
      <m:oMathPara>
        <m:oMathParaPr>
          <m:jc m:val="center"/>
        </m:oMathParaPr>
        <m:oMath>
          <m:sSubSup>
            <m:e>
              <m:r>
                <m:t>α</m:t>
              </m:r>
            </m:e>
            <m:sub>
              <m:r>
                <m:t>k</m:t>
              </m:r>
            </m:sub>
            <m:sup>
              <m:r>
                <m:rPr>
                  <m:sty m:val="p"/>
                </m:rPr>
                <m:t>*</m:t>
              </m:r>
            </m:sup>
          </m:sSubSup>
          <m:r>
            <m:rPr>
              <m:sty m:val="p"/>
            </m:rPr>
            <m:t>=</m:t>
          </m:r>
          <m:r>
            <m:rPr>
              <m:sty m:val="p"/>
            </m:rPr>
            <m:t>arg</m:t>
          </m:r>
          <m:limLow>
            <m:e>
              <m:r>
                <m:rPr>
                  <m:sty m:val="p"/>
                </m:rPr>
                <m:t>min</m:t>
              </m:r>
            </m:e>
            <m:lim>
              <m:r>
                <m:t>α</m:t>
              </m:r>
            </m:lim>
          </m:limLow>
          <m:f>
            <m:fPr>
              <m:type m:val="bar"/>
            </m:fPr>
            <m:num>
              <m:r>
                <m:t>1</m:t>
              </m:r>
            </m:num>
            <m:den>
              <m:r>
                <m:t>N</m:t>
              </m:r>
              <m:r>
                <m:rPr>
                  <m:sty m:val="p"/>
                </m:rPr>
                <m:t>−</m:t>
              </m:r>
              <m:r>
                <m:t>1</m:t>
              </m:r>
            </m:den>
          </m:f>
          <m:nary>
            <m:naryPr>
              <m:chr m:val="∑"/>
              <m:limLoc m:val="undOvr"/>
              <m:subHide m:val="off"/>
              <m:supHide m:val="on"/>
            </m:naryPr>
            <m:sub>
              <m:r>
                <m:t>i</m:t>
              </m:r>
              <m:r>
                <m:rPr>
                  <m:sty m:val="p"/>
                </m:rPr>
                <m:t>≠</m:t>
              </m:r>
              <m:r>
                <m:t>k</m:t>
              </m:r>
            </m:sub>
            <m:sup>
              <m:r>
                <m:t>​</m:t>
              </m:r>
            </m:sup>
            <m:e>
              <m:d>
                <m:dPr>
                  <m:begChr m:val="|"/>
                  <m:endChr m:val="|"/>
                  <m:sepChr m:val=""/>
                  <m:grow/>
                </m:dPr>
                <m:e>
                  <m:r>
                    <m:t>α</m:t>
                  </m:r>
                  <m:r>
                    <m:rPr>
                      <m:sty m:val="p"/>
                    </m:rPr>
                    <m:t>⋅</m:t>
                  </m:r>
                  <m:sSubSup>
                    <m:e>
                      <m:r>
                        <m:rPr>
                          <m:nor/>
                          <m:sty m:val="p"/>
                        </m:rPr>
                        <m:t>MAC</m:t>
                      </m:r>
                    </m:e>
                    <m:sub>
                      <m:r>
                        <m:rPr>
                          <m:nor/>
                          <m:sty m:val="p"/>
                        </m:rPr>
                        <m:t>raw</m:t>
                      </m:r>
                    </m:sub>
                    <m:sup>
                      <m:d>
                        <m:dPr>
                          <m:begChr m:val="("/>
                          <m:endChr m:val=")"/>
                          <m:sepChr m:val=""/>
                          <m:grow/>
                        </m:dPr>
                        <m:e>
                          <m:r>
                            <m:t>i</m:t>
                          </m:r>
                        </m:e>
                      </m:d>
                    </m:sup>
                  </m:sSubSup>
                  <m:r>
                    <m:rPr>
                      <m:sty m:val="p"/>
                    </m:rPr>
                    <m:t>−</m:t>
                  </m:r>
                  <m:sSup>
                    <m:e>
                      <m:r>
                        <m:rPr>
                          <m:nor/>
                          <m:sty m:val="p"/>
                        </m:rPr>
                        <m:t>CSR</m:t>
                      </m:r>
                    </m:e>
                    <m:sup>
                      <m:d>
                        <m:dPr>
                          <m:begChr m:val="("/>
                          <m:endChr m:val=")"/>
                          <m:sepChr m:val=""/>
                          <m:grow/>
                        </m:dPr>
                        <m:e>
                          <m:r>
                            <m:t>i</m:t>
                          </m:r>
                        </m:e>
                      </m:d>
                    </m:sup>
                  </m:sSup>
                </m:e>
              </m:d>
            </m:e>
          </m:nary>
        </m:oMath>
      </m:oMathPara>
    </w:p>
    <w:p>
      <w:pPr>
        <w:pStyle w:val="FirstParagraph"/>
      </w:pPr>
      <w:r>
        <w:t xml:space="preserve">The mean, standard deviation, and range of</w:t>
      </w:r>
      <w:r>
        <w:t xml:space="preserve"> </w:t>
      </w:r>
      <m:oMath>
        <m:sSubSup>
          <m:e>
            <m:r>
              <m:t>α</m:t>
            </m:r>
          </m:e>
          <m:sub>
            <m:r>
              <m:t>k</m:t>
            </m:r>
          </m:sub>
          <m:sup>
            <m:r>
              <m:rPr>
                <m:sty m:val="p"/>
              </m:rPr>
              <m:t>*</m:t>
            </m:r>
          </m:sup>
        </m:sSubSup>
      </m:oMath>
      <w:r>
        <w:t xml:space="preserve"> </w:t>
      </w:r>
      <w:r>
        <w:t xml:space="preserve">across holdout folds quantify per-scenario calibration stability. A stability score is defined as:</w:t>
      </w:r>
    </w:p>
    <w:p>
      <w:pPr>
        <w:pStyle w:val="BodyText"/>
      </w:pPr>
      <m:oMathPara>
        <m:oMathParaPr>
          <m:jc m:val="center"/>
        </m:oMathParaPr>
        <m:oMath>
          <m:r>
            <m:t>S</m:t>
          </m:r>
          <m:r>
            <m:rPr>
              <m:sty m:val="p"/>
            </m:rPr>
            <m:t>=</m:t>
          </m:r>
          <m:r>
            <m:t>1</m:t>
          </m:r>
          <m:r>
            <m:rPr>
              <m:sty m:val="p"/>
            </m:rPr>
            <m:t>−</m:t>
          </m:r>
          <m:f>
            <m:fPr>
              <m:type m:val="bar"/>
            </m:fPr>
            <m:num>
              <m:r>
                <m:rPr>
                  <m:nor/>
                  <m:sty m:val="p"/>
                </m:rPr>
                <m:t>range</m:t>
              </m:r>
              <m:d>
                <m:dPr>
                  <m:begChr m:val="("/>
                  <m:endChr m:val=")"/>
                  <m:sepChr m:val=""/>
                  <m:grow/>
                </m:dPr>
                <m:e>
                  <m:sSubSup>
                    <m:e>
                      <m:r>
                        <m:t>α</m:t>
                      </m:r>
                    </m:e>
                    <m:sub>
                      <m:r>
                        <m:t>k</m:t>
                      </m:r>
                    </m:sub>
                    <m:sup>
                      <m:r>
                        <m:rPr>
                          <m:sty m:val="p"/>
                        </m:rPr>
                        <m:t>*</m:t>
                      </m:r>
                    </m:sup>
                  </m:sSubSup>
                </m:e>
              </m:d>
            </m:num>
            <m:den>
              <m:sSubSup>
                <m:e>
                  <m:r>
                    <m:t>α</m:t>
                  </m:r>
                </m:e>
                <m:sub>
                  <m:r>
                    <m:rPr>
                      <m:nor/>
                      <m:sty m:val="p"/>
                    </m:rPr>
                    <m:t>full</m:t>
                  </m:r>
                </m:sub>
                <m:sup>
                  <m:r>
                    <m:rPr>
                      <m:sty m:val="p"/>
                    </m:rPr>
                    <m:t>*</m:t>
                  </m:r>
                </m:sup>
              </m:sSubSup>
            </m:den>
          </m:f>
        </m:oMath>
      </m:oMathPara>
    </w:p>
    <w:p>
      <w:pPr>
        <w:pStyle w:val="FirstParagraph"/>
      </w:pPr>
      <w:r>
        <w:t xml:space="preserve">A stability score of 1.0 indicates perfect consistency; values below 0.85 indicate dependence on specific scenarios that warrants investigation.</w:t>
      </w:r>
    </w:p>
    <w:p>
      <w:r>
        <w:pict>
          <v:rect style="width:0;height:1.5pt" o:hralign="center" o:hrstd="t" o:hr="t"/>
        </w:pict>
      </w:r>
    </w:p>
    <w:bookmarkEnd w:id="134"/>
    <w:bookmarkStart w:id="135" w:name="threshold-sensitivity-analysis"/>
    <w:p>
      <w:pPr>
        <w:pStyle w:val="Heading3"/>
      </w:pPr>
      <w:r>
        <w:t xml:space="preserve">13.6 Threshold Sensitivity Analysis</w:t>
      </w:r>
    </w:p>
    <w:p>
      <w:pPr>
        <w:pStyle w:val="FirstParagraph"/>
      </w:pPr>
      <w:r>
        <w:t xml:space="preserve">The calibration module tests robustness by perturbing all indicator thresholds by ±10% and ±20%:</w:t>
      </w:r>
    </w:p>
    <w:tbl>
      <w:tblPr>
        <w:tblStyle w:val="Table"/>
        <w:tblW w:type="pct" w:w="5000"/>
        <w:tblLook w:firstRow="1" w:lastRow="0" w:firstColumn="0" w:lastColumn="0" w:noHBand="0" w:noVBand="0" w:val="0020"/>
        <w:jc w:val="start"/>
      </w:tblPr>
      <w:tblGrid>
        <w:gridCol w:w="1980"/>
        <w:gridCol w:w="1675"/>
        <w:gridCol w:w="2589"/>
        <w:gridCol w:w="1675"/>
      </w:tblGrid>
      <w:tr>
        <w:trPr>
          <w:tblHeader w:val="true"/>
        </w:trPr>
        <w:tc>
          <w:tcPr/>
          <w:p>
            <w:pPr>
              <w:pStyle w:val="Compact"/>
              <w:jc w:val="left"/>
            </w:pPr>
            <w:r>
              <w:t xml:space="preserve">Perturbation</w:t>
            </w:r>
          </w:p>
        </w:tc>
        <w:tc>
          <w:tcPr/>
          <w:p>
            <w:pPr>
              <w:pStyle w:val="Compact"/>
              <w:jc w:val="left"/>
            </w:pPr>
            <w:r>
              <w:t xml:space="preserve">Pass Rate</w:t>
            </w:r>
          </w:p>
        </w:tc>
        <w:tc>
          <w:tcPr/>
          <w:p>
            <w:pPr>
              <w:pStyle w:val="Compact"/>
              <w:jc w:val="left"/>
            </w:pPr>
            <w:r>
              <w:t xml:space="preserve">MAC Score Change</w:t>
            </w:r>
          </w:p>
        </w:tc>
        <w:tc>
          <w:tcPr/>
          <w:p>
            <w:pPr>
              <w:pStyle w:val="Compact"/>
              <w:jc w:val="left"/>
            </w:pPr>
            <w:r>
              <w:t xml:space="preserve">Stability</w:t>
            </w:r>
          </w:p>
        </w:tc>
      </w:tr>
      <w:tr>
        <w:tc>
          <w:tcPr/>
          <w:p>
            <w:pPr>
              <w:pStyle w:val="Compact"/>
              <w:jc w:val="left"/>
            </w:pPr>
            <w:r>
              <w:t xml:space="preserve">±10%</w:t>
            </w:r>
          </w:p>
        </w:tc>
        <w:tc>
          <w:tcPr/>
          <w:p>
            <w:pPr>
              <w:pStyle w:val="Compact"/>
              <w:jc w:val="left"/>
            </w:pPr>
            <w:r>
              <w:t xml:space="preserve">High % of scenarios still passing</w:t>
            </w:r>
          </w:p>
        </w:tc>
        <w:tc>
          <w:tcPr/>
          <w:p>
            <w:pPr>
              <w:pStyle w:val="Compact"/>
              <w:jc w:val="left"/>
            </w:pPr>
            <w:r>
              <w:t xml:space="preserve">Small changes</w:t>
            </w:r>
          </w:p>
        </w:tc>
        <w:tc>
          <w:tcPr/>
          <w:p>
            <w:pPr>
              <w:pStyle w:val="Compact"/>
              <w:jc w:val="left"/>
            </w:pPr>
            <w:r>
              <w:t xml:space="preserve">Near-stable</w:t>
            </w:r>
          </w:p>
        </w:tc>
      </w:tr>
      <w:tr>
        <w:tc>
          <w:tcPr/>
          <w:p>
            <w:pPr>
              <w:pStyle w:val="Compact"/>
              <w:jc w:val="left"/>
            </w:pPr>
            <w:r>
              <w:t xml:space="preserve">±20%</w:t>
            </w:r>
          </w:p>
        </w:tc>
        <w:tc>
          <w:tcPr/>
          <w:p>
            <w:pPr>
              <w:pStyle w:val="Compact"/>
              <w:jc w:val="left"/>
            </w:pPr>
            <w:r>
              <w:t xml:space="preserve">Moderate %</w:t>
            </w:r>
          </w:p>
        </w:tc>
        <w:tc>
          <w:tcPr/>
          <w:p>
            <w:pPr>
              <w:pStyle w:val="Compact"/>
              <w:jc w:val="left"/>
            </w:pPr>
            <w:r>
              <w:t xml:space="preserve">More variation</w:t>
            </w:r>
          </w:p>
        </w:tc>
        <w:tc>
          <w:tcPr/>
          <w:p>
            <w:pPr>
              <w:pStyle w:val="Compact"/>
              <w:jc w:val="left"/>
            </w:pPr>
            <w:r>
              <w:t xml:space="preserve">Reduced</w:t>
            </w:r>
          </w:p>
        </w:tc>
      </w:tr>
    </w:tbl>
    <w:p>
      <w:pPr>
        <w:pStyle w:val="BodyText"/>
      </w:pPr>
      <w:r>
        <w:t xml:space="preserve">This demonstrates that the framework is not fragile to small threshold mis-specifications.</w:t>
      </w:r>
    </w:p>
    <w:p>
      <w:r>
        <w:pict>
          <v:rect style="width:0;height:1.5pt" o:hralign="center" o:hrstd="t" o:hr="t"/>
        </w:pict>
      </w:r>
    </w:p>
    <w:bookmarkEnd w:id="135"/>
    <w:bookmarkStart w:id="136" w:name="era-aware-calibration"/>
    <w:p>
      <w:pPr>
        <w:pStyle w:val="Heading3"/>
      </w:pPr>
      <w:r>
        <w:t xml:space="preserve">13.7 Era-Aware Calibration</w:t>
      </w:r>
    </w:p>
    <w:p>
      <w:pPr>
        <w:pStyle w:val="FirstParagraph"/>
      </w:pPr>
      <w:r>
        <w:t xml:space="preserve">The CSR-derived α applies to the modern era (2006–present) where all 14 training scenarios reside. For earlier eras, the calibration factor is adjusted based on the structural properties of proxy data:</w:t>
      </w:r>
    </w:p>
    <w:tbl>
      <w:tblPr>
        <w:tblStyle w:val="Table"/>
        <w:tblW w:type="pct" w:w="5000"/>
        <w:tblLook w:firstRow="1" w:lastRow="0" w:firstColumn="0" w:lastColumn="0" w:noHBand="0" w:noVBand="0" w:val="0020"/>
        <w:jc w:val="start"/>
      </w:tblPr>
      <w:tblGrid>
        <w:gridCol w:w="2084"/>
        <w:gridCol w:w="1250"/>
        <w:gridCol w:w="4585"/>
      </w:tblGrid>
      <w:tr>
        <w:trPr>
          <w:tblHeader w:val="true"/>
        </w:trPr>
        <w:tc>
          <w:tcPr/>
          <w:p>
            <w:pPr>
              <w:pStyle w:val="Compact"/>
              <w:jc w:val="left"/>
            </w:pPr>
            <w:r>
              <w:t xml:space="preserve">Era</w:t>
            </w:r>
          </w:p>
        </w:tc>
        <w:tc>
          <w:tcPr/>
          <w:p>
            <w:pPr>
              <w:pStyle w:val="Compact"/>
              <w:jc w:val="left"/>
            </w:pPr>
            <w:r>
              <w:t xml:space="preserve">α</w:t>
            </w:r>
          </w:p>
        </w:tc>
        <w:tc>
          <w:tcPr/>
          <w:p>
            <w:pPr>
              <w:pStyle w:val="Compact"/>
              <w:jc w:val="left"/>
            </w:pPr>
            <w:r>
              <w:t xml:space="preserve">Rationale</w:t>
            </w:r>
          </w:p>
        </w:tc>
      </w:tr>
      <w:tr>
        <w:tc>
          <w:tcPr/>
          <w:p>
            <w:pPr>
              <w:pStyle w:val="Compact"/>
              <w:jc w:val="left"/>
            </w:pPr>
            <w:r>
              <w:t xml:space="preserve">2006–present</w:t>
            </w:r>
          </w:p>
        </w:tc>
        <w:tc>
          <w:tcPr/>
          <w:p>
            <w:pPr>
              <w:pStyle w:val="Compact"/>
              <w:jc w:val="left"/>
            </w:pPr>
            <w:r>
              <w:t xml:space="preserve">0.78</w:t>
            </w:r>
          </w:p>
        </w:tc>
        <w:tc>
          <w:tcPr/>
          <w:p>
            <w:pPr>
              <w:pStyle w:val="Compact"/>
              <w:jc w:val="left"/>
            </w:pPr>
            <w:r>
              <w:t xml:space="preserve">CSR-calibrated and thematic-holdout-validated on 14 modern scenarios</w:t>
            </w:r>
          </w:p>
        </w:tc>
      </w:tr>
      <w:tr>
        <w:tc>
          <w:tcPr/>
          <w:p>
            <w:pPr>
              <w:pStyle w:val="Compact"/>
              <w:jc w:val="left"/>
            </w:pPr>
            <w:r>
              <w:t xml:space="preserve">1971–2006</w:t>
            </w:r>
          </w:p>
        </w:tc>
        <w:tc>
          <w:tcPr/>
          <w:p>
            <w:pPr>
              <w:pStyle w:val="Compact"/>
              <w:jc w:val="left"/>
            </w:pPr>
            <w:r>
              <w:t xml:space="preserve">0.90</w:t>
            </w:r>
          </w:p>
        </w:tc>
        <w:tc>
          <w:tcPr/>
          <w:p>
            <w:pPr>
              <w:pStyle w:val="Compact"/>
              <w:jc w:val="left"/>
            </w:pPr>
            <w:r>
              <w:t xml:space="preserve">Proxy data already compresses scores; no CSR training data available</w:t>
            </w:r>
          </w:p>
        </w:tc>
      </w:tr>
      <w:tr>
        <w:tc>
          <w:tcPr/>
          <w:p>
            <w:pPr>
              <w:pStyle w:val="Compact"/>
              <w:jc w:val="left"/>
            </w:pPr>
            <w:r>
              <w:t xml:space="preserve">Pre-1971</w:t>
            </w:r>
          </w:p>
        </w:tc>
        <w:tc>
          <w:tcPr/>
          <w:p>
            <w:pPr>
              <w:pStyle w:val="Compact"/>
              <w:jc w:val="left"/>
            </w:pPr>
            <w:r>
              <w:t xml:space="preserve">1.00</w:t>
            </w:r>
          </w:p>
        </w:tc>
        <w:tc>
          <w:tcPr/>
          <w:p>
            <w:pPr>
              <w:pStyle w:val="Compact"/>
              <w:jc w:val="left"/>
            </w:pPr>
            <w:r>
              <w:t xml:space="preserve">Schwert vol and NBER spreads structurally wider; further compression would suppress genuine signals</w:t>
            </w:r>
          </w:p>
        </w:tc>
      </w:tr>
    </w:tbl>
    <w:p>
      <w:pPr>
        <w:pStyle w:val="BodyText"/>
      </w:pPr>
      <w:r>
        <w:t xml:space="preserve">The pre-2006 factors are set by the principle of minimal intervention: only adjust when structural data properties create a demonstrable systematic bias in raw scores. The pre-1971 factor of 1.00 reflects the observation (§12.4) that structurally wider historical spreads and era-specific threshold overrides already produce scores in the expected severity range without additional compression.</w:t>
      </w:r>
    </w:p>
    <w:p>
      <w:r>
        <w:pict>
          <v:rect style="width:0;height:1.5pt" o:hralign="center" o:hrstd="t" o:hr="t"/>
        </w:pict>
      </w:r>
    </w:p>
    <w:bookmarkEnd w:id="136"/>
    <w:bookmarkStart w:id="137" w:name="empirical-threshold-distribution"/>
    <w:p>
      <w:pPr>
        <w:pStyle w:val="Heading3"/>
      </w:pPr>
      <w:r>
        <w:t xml:space="preserve">13.8 Empirical Threshold Distribution</w:t>
      </w:r>
    </w:p>
    <w:p>
      <w:pPr>
        <w:pStyle w:val="FirstParagraph"/>
      </w:pPr>
      <w:r>
        <w:t xml:space="preserve">Stress regime thresholds were empirically derived from the 1971–2025 backtest distribution: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Regime</w:t>
            </w:r>
          </w:p>
        </w:tc>
        <w:tc>
          <w:tcPr/>
          <w:p>
            <w:pPr>
              <w:pStyle w:val="Compact"/>
              <w:jc w:val="left"/>
            </w:pPr>
            <w:r>
              <w:t xml:space="preserve">Target % of Observations</w:t>
            </w:r>
          </w:p>
        </w:tc>
        <w:tc>
          <w:tcPr/>
          <w:p>
            <w:pPr>
              <w:pStyle w:val="Compact"/>
              <w:jc w:val="left"/>
            </w:pPr>
            <w:r>
              <w:t xml:space="preserve">Score Percentile</w:t>
            </w:r>
          </w:p>
        </w:tc>
      </w:tr>
      <w:tr>
        <w:tc>
          <w:tcPr/>
          <w:p>
            <w:pPr>
              <w:pStyle w:val="Compact"/>
              <w:jc w:val="left"/>
            </w:pPr>
            <w:r>
              <w:t xml:space="preserve">Comfortable</w:t>
            </w:r>
          </w:p>
        </w:tc>
        <w:tc>
          <w:tcPr/>
          <w:p>
            <w:pPr>
              <w:pStyle w:val="Compact"/>
              <w:jc w:val="left"/>
            </w:pPr>
            <w:r>
              <w:t xml:space="preserve">~45%</w:t>
            </w:r>
          </w:p>
        </w:tc>
        <w:tc>
          <w:tcPr/>
          <w:p>
            <w:pPr>
              <w:pStyle w:val="Compact"/>
              <w:jc w:val="left"/>
            </w:pPr>
            <w:r>
              <w:t xml:space="preserve">0–45th</w:t>
            </w:r>
          </w:p>
        </w:tc>
      </w:tr>
      <w:tr>
        <w:tc>
          <w:tcPr/>
          <w:p>
            <w:pPr>
              <w:pStyle w:val="Compact"/>
              <w:jc w:val="left"/>
            </w:pPr>
            <w:r>
              <w:t xml:space="preserve">Cautious</w:t>
            </w:r>
          </w:p>
        </w:tc>
        <w:tc>
          <w:tcPr/>
          <w:p>
            <w:pPr>
              <w:pStyle w:val="Compact"/>
              <w:jc w:val="left"/>
            </w:pPr>
            <w:r>
              <w:t xml:space="preserve">~30%</w:t>
            </w:r>
          </w:p>
        </w:tc>
        <w:tc>
          <w:tcPr/>
          <w:p>
            <w:pPr>
              <w:pStyle w:val="Compact"/>
              <w:jc w:val="left"/>
            </w:pPr>
            <w:r>
              <w:t xml:space="preserve">45th–75th</w:t>
            </w:r>
          </w:p>
        </w:tc>
      </w:tr>
      <w:tr>
        <w:tc>
          <w:tcPr/>
          <w:p>
            <w:pPr>
              <w:pStyle w:val="Compact"/>
              <w:jc w:val="left"/>
            </w:pPr>
            <w:r>
              <w:t xml:space="preserve">Stretched</w:t>
            </w:r>
          </w:p>
        </w:tc>
        <w:tc>
          <w:tcPr/>
          <w:p>
            <w:pPr>
              <w:pStyle w:val="Compact"/>
              <w:jc w:val="left"/>
            </w:pPr>
            <w:r>
              <w:t xml:space="preserve">~18%</w:t>
            </w:r>
          </w:p>
        </w:tc>
        <w:tc>
          <w:tcPr/>
          <w:p>
            <w:pPr>
              <w:pStyle w:val="Compact"/>
              <w:jc w:val="left"/>
            </w:pPr>
            <w:r>
              <w:t xml:space="preserve">75th–93rd</w:t>
            </w:r>
          </w:p>
        </w:tc>
      </w:tr>
      <w:tr>
        <w:tc>
          <w:tcPr/>
          <w:p>
            <w:pPr>
              <w:pStyle w:val="Compact"/>
              <w:jc w:val="left"/>
            </w:pPr>
            <w:r>
              <w:t xml:space="preserve">Critical</w:t>
            </w:r>
          </w:p>
        </w:tc>
        <w:tc>
          <w:tcPr/>
          <w:p>
            <w:pPr>
              <w:pStyle w:val="Compact"/>
              <w:jc w:val="left"/>
            </w:pPr>
            <w:r>
              <w:t xml:space="preserve">~7%</w:t>
            </w:r>
          </w:p>
        </w:tc>
        <w:tc>
          <w:tcPr/>
          <w:p>
            <w:pPr>
              <w:pStyle w:val="Compact"/>
              <w:jc w:val="left"/>
            </w:pPr>
            <w:r>
              <w:t xml:space="preserve">93rd+</w:t>
            </w:r>
          </w:p>
        </w:tc>
      </w:tr>
    </w:tbl>
    <w:p>
      <w:r>
        <w:pict>
          <v:rect style="width:0;height:1.5pt" o:hralign="center" o:hrstd="t" o:hr="t"/>
        </w:pict>
      </w:r>
    </w:p>
    <w:bookmarkEnd w:id="137"/>
    <w:bookmarkStart w:id="138" w:name="Xd6092bdd07fe1ffe959b626a0994a6a4ce413df"/>
    <w:p>
      <w:pPr>
        <w:pStyle w:val="Heading3"/>
      </w:pPr>
      <w:r>
        <w:t xml:space="preserve">13.9 Interpreting Thematic Holdout Results for Clients</w:t>
      </w:r>
    </w:p>
    <w:p>
      <w:pPr>
        <w:pStyle w:val="FirstParagraph"/>
      </w:pPr>
      <w:r>
        <w:t xml:space="preserve">The thematic holdout validation provides ready-made answers to a question sophisticated clients will ask:</w:t>
      </w:r>
      <w:r>
        <w:t xml:space="preserve"> </w:t>
      </w:r>
      <w:r>
        <w:rPr>
          <w:iCs/>
          <w:i/>
        </w:rPr>
        <w:t xml:space="preserve">“</w:t>
      </w:r>
      <w:r>
        <w:rPr>
          <w:iCs/>
          <w:i/>
        </w:rPr>
        <w:t xml:space="preserve">How do I know this framework will work for a crisis type it hasn’t seen?</w:t>
      </w:r>
      <w:r>
        <w:rPr>
          <w:iCs/>
          <w:i/>
        </w:rPr>
        <w:t xml:space="preserve">”</w:t>
      </w:r>
    </w:p>
    <w:p>
      <w:pPr>
        <w:pStyle w:val="BodyText"/>
      </w:pPr>
      <w:r>
        <w:t xml:space="preserve">The five holdout themes map to five natural client concerns:</w:t>
      </w:r>
    </w:p>
    <w:tbl>
      <w:tblPr>
        <w:tblStyle w:val="Table"/>
        <w:tblW w:type="pct" w:w="5000"/>
        <w:tblLook w:firstRow="1" w:lastRow="0" w:firstColumn="0" w:lastColumn="0" w:noHBand="0" w:noVBand="0" w:val="0020"/>
        <w:jc w:val="start"/>
      </w:tblPr>
      <w:tblGrid>
        <w:gridCol w:w="2304"/>
        <w:gridCol w:w="2448"/>
        <w:gridCol w:w="3168"/>
      </w:tblGrid>
      <w:tr>
        <w:trPr>
          <w:tblHeader w:val="true"/>
        </w:trPr>
        <w:tc>
          <w:tcPr/>
          <w:p>
            <w:pPr>
              <w:pStyle w:val="Compact"/>
              <w:jc w:val="left"/>
            </w:pPr>
            <w:r>
              <w:t xml:space="preserve">Client Question</w:t>
            </w:r>
          </w:p>
        </w:tc>
        <w:tc>
          <w:tcPr/>
          <w:p>
            <w:pPr>
              <w:pStyle w:val="Compact"/>
              <w:jc w:val="left"/>
            </w:pPr>
            <w:r>
              <w:t xml:space="preserve">Relevant Holdout</w:t>
            </w:r>
          </w:p>
        </w:tc>
        <w:tc>
          <w:tcPr/>
          <w:p>
            <w:pPr>
              <w:pStyle w:val="Compact"/>
              <w:jc w:val="left"/>
            </w:pPr>
            <w:r>
              <w:t xml:space="preserve">What the Result Shows</w:t>
            </w:r>
          </w:p>
        </w:tc>
      </w:tr>
      <w:tr>
        <w:tc>
          <w:tcPr/>
          <w:p>
            <w:pPr>
              <w:pStyle w:val="Compact"/>
              <w:jc w:val="left"/>
            </w:pPr>
            <w:r>
              <w:t xml:space="preserve">“</w:t>
            </w:r>
            <w:r>
              <w:t xml:space="preserve">What if the next crisis is positioning-driven in a way you haven’t modelled?</w:t>
            </w:r>
            <w:r>
              <w:t xml:space="preserve">”</w:t>
            </w:r>
          </w:p>
        </w:tc>
        <w:tc>
          <w:tcPr/>
          <w:p>
            <w:pPr>
              <w:pStyle w:val="Compact"/>
              <w:jc w:val="left"/>
            </w:pPr>
            <w:r>
              <w:t xml:space="preserve">A — Positioning / Hedge Failure</w:t>
            </w:r>
          </w:p>
        </w:tc>
        <w:tc>
          <w:tcPr/>
          <w:p>
            <w:pPr>
              <w:pStyle w:val="Compact"/>
              <w:jc w:val="left"/>
            </w:pPr>
            <w:r>
              <w:t xml:space="preserve">Whether α is over-indexed on the positioning narrative</w:t>
            </w:r>
          </w:p>
        </w:tc>
      </w:tr>
      <w:tr>
        <w:tc>
          <w:tcPr/>
          <w:p>
            <w:pPr>
              <w:pStyle w:val="Compact"/>
              <w:jc w:val="left"/>
            </w:pPr>
            <w:r>
              <w:t xml:space="preserve">“</w:t>
            </w:r>
            <w:r>
              <w:t xml:space="preserve">What if we get another banking crisis — is your framework just a post-GFC artefact?</w:t>
            </w:r>
            <w:r>
              <w:t xml:space="preserve">”</w:t>
            </w:r>
          </w:p>
        </w:tc>
        <w:tc>
          <w:tcPr/>
          <w:p>
            <w:pPr>
              <w:pStyle w:val="Compact"/>
              <w:jc w:val="left"/>
            </w:pPr>
            <w:r>
              <w:t xml:space="preserve">B — Systemic Credit / Banking</w:t>
            </w:r>
          </w:p>
        </w:tc>
        <w:tc>
          <w:tcPr/>
          <w:p>
            <w:pPr>
              <w:pStyle w:val="Compact"/>
              <w:jc w:val="left"/>
            </w:pPr>
            <w:r>
              <w:t xml:space="preserve">Whether α requires GFC-type events to be accurate</w:t>
            </w:r>
          </w:p>
        </w:tc>
      </w:tr>
      <w:tr>
        <w:tc>
          <w:tcPr/>
          <w:p>
            <w:pPr>
              <w:pStyle w:val="Compact"/>
              <w:jc w:val="left"/>
            </w:pPr>
            <w:r>
              <w:t xml:space="preserve">“</w:t>
            </w:r>
            <w:r>
              <w:t xml:space="preserve">What about a war, pandemic, or other non-financial shock?</w:t>
            </w:r>
            <w:r>
              <w:t xml:space="preserve">”</w:t>
            </w:r>
          </w:p>
        </w:tc>
        <w:tc>
          <w:tcPr/>
          <w:p>
            <w:pPr>
              <w:pStyle w:val="Compact"/>
              <w:jc w:val="left"/>
            </w:pPr>
            <w:r>
              <w:t xml:space="preserve">C — Exogenous / Geopolitical</w:t>
            </w:r>
          </w:p>
        </w:tc>
        <w:tc>
          <w:tcPr/>
          <w:p>
            <w:pPr>
              <w:pStyle w:val="Compact"/>
              <w:jc w:val="left"/>
            </w:pPr>
            <w:r>
              <w:t xml:space="preserve">Whether the framework absorbs externally originated shocks</w:t>
            </w:r>
          </w:p>
        </w:tc>
      </w:tr>
      <w:tr>
        <w:tc>
          <w:tcPr/>
          <w:p>
            <w:pPr>
              <w:pStyle w:val="Compact"/>
              <w:jc w:val="left"/>
            </w:pPr>
            <w:r>
              <w:t xml:space="preserve">“</w:t>
            </w:r>
            <w:r>
              <w:t xml:space="preserve">Is your calibration just fitting the worst tail events?</w:t>
            </w:r>
            <w:r>
              <w:t xml:space="preserve">”</w:t>
            </w:r>
          </w:p>
        </w:tc>
        <w:tc>
          <w:tcPr/>
          <w:p>
            <w:pPr>
              <w:pStyle w:val="Compact"/>
              <w:jc w:val="left"/>
            </w:pPr>
            <w:r>
              <w:t xml:space="preserve">D — Extreme Severity</w:t>
            </w:r>
          </w:p>
        </w:tc>
        <w:tc>
          <w:tcPr/>
          <w:p>
            <w:pPr>
              <w:pStyle w:val="Compact"/>
              <w:jc w:val="left"/>
            </w:pPr>
            <w:r>
              <w:t xml:space="preserve">Whether α is tail-anchored or broadly representative</w:t>
            </w:r>
          </w:p>
        </w:tc>
      </w:tr>
      <w:tr>
        <w:tc>
          <w:tcPr/>
          <w:p>
            <w:pPr>
              <w:pStyle w:val="Compact"/>
              <w:jc w:val="left"/>
            </w:pPr>
            <w:r>
              <w:t xml:space="preserve">“</w:t>
            </w:r>
            <w:r>
              <w:t xml:space="preserve">Does your framework add value in moderate stress, or only in full-blown crises?</w:t>
            </w:r>
            <w:r>
              <w:t xml:space="preserve">”</w:t>
            </w:r>
          </w:p>
        </w:tc>
        <w:tc>
          <w:tcPr/>
          <w:p>
            <w:pPr>
              <w:pStyle w:val="Compact"/>
              <w:jc w:val="left"/>
            </w:pPr>
            <w:r>
              <w:t xml:space="preserve">E — Moderate / Low-Impact</w:t>
            </w:r>
          </w:p>
        </w:tc>
        <w:tc>
          <w:tcPr/>
          <w:p>
            <w:pPr>
              <w:pStyle w:val="Compact"/>
              <w:jc w:val="left"/>
            </w:pPr>
            <w:r>
              <w:t xml:space="preserve">Whether calibration accuracy holds in the high-frequency moderate-stress regime</w:t>
            </w:r>
          </w:p>
        </w:tc>
      </w:tr>
    </w:tbl>
    <w:p>
      <w:pPr>
        <w:pStyle w:val="BodyText"/>
      </w:pPr>
      <w:r>
        <w:t xml:space="preserve">If all five holdout sets pass the acceptance criteria, the framework demonstrates that its calibration generalises across crisis types — not merely across individual scenarios. If specific holdouts fail, the diagnostic protocol (§13.4.8) provides transparent, actionable explanations rather than hiding the weakness.</w:t>
      </w:r>
    </w:p>
    <w:p>
      <w:r>
        <w:pict>
          <v:rect style="width:0;height:1.5pt" o:hralign="center" o:hrstd="t" o:hr="t"/>
        </w:pict>
      </w:r>
    </w:p>
    <w:bookmarkEnd w:id="138"/>
    <w:bookmarkEnd w:id="139"/>
    <w:bookmarkStart w:id="146" w:name="Xa51107836fa0af2a59e7566cffb2ee65d68ebcb"/>
    <w:p>
      <w:pPr>
        <w:pStyle w:val="Heading2"/>
      </w:pPr>
      <w:r>
        <w:t xml:space="preserve">14. Backtest Design: Six Methodological Improvements</w:t>
      </w:r>
    </w:p>
    <w:p>
      <w:pPr>
        <w:pStyle w:val="FirstParagraph"/>
      </w:pPr>
      <w:r>
        <w:t xml:space="preserve">The current backtesting methodology incorporates six cumulative improvements that raised the true positive rate from</w:t>
      </w:r>
      <w:r>
        <w:t xml:space="preserve"> </w:t>
      </w:r>
      <w:r>
        <w:rPr>
          <w:bCs/>
          <w:b/>
        </w:rPr>
        <w:t xml:space="preserve">26.7% to 75.6%</w:t>
      </w:r>
      <w:r>
        <w:t xml:space="preserve">:</w:t>
      </w:r>
    </w:p>
    <w:bookmarkStart w:id="140" w:name="X270e2ebfba2a7252fb1da767db0c27944baf334"/>
    <w:p>
      <w:pPr>
        <w:pStyle w:val="Heading3"/>
      </w:pPr>
      <w:r>
        <w:t xml:space="preserve">Fix A — Exclude Missing Pillars from Composite</w:t>
      </w:r>
    </w:p>
    <w:p>
      <w:pPr>
        <w:pStyle w:val="FirstParagraph"/>
      </w:pPr>
      <w:r>
        <w:t xml:space="preserve">When a pillar has no underlying indicator data (e.g., SLOOS unavailable before 1990, or positioning without CFTC data), the pillar is excluded from the weighted average rather than defaulting to 0.5. A</w:t>
      </w:r>
      <w:r>
        <w:t xml:space="preserve"> </w:t>
      </w:r>
      <w:r>
        <w:rPr>
          <w:rStyle w:val="VerbatimChar"/>
        </w:rPr>
        <w:t xml:space="preserve">has_data</w:t>
      </w:r>
      <w:r>
        <w:t xml:space="preserve"> </w:t>
      </w:r>
      <w:r>
        <w:t xml:space="preserve">dictionary tracks real data availability per pillar per date. This prevents neutral scores from diluting genuine stress signals.</w:t>
      </w:r>
    </w:p>
    <w:p>
      <w:pPr>
        <w:pStyle w:val="BodyText"/>
      </w:pPr>
      <w:r>
        <w:rPr>
          <w:bCs/>
          <w:b/>
        </w:rPr>
        <w:t xml:space="preserve">Impact:</w:t>
      </w:r>
      <w:r>
        <w:t xml:space="preserve"> </w:t>
      </w:r>
      <w:r>
        <w:t xml:space="preserve">Eliminated the systematic upward bias from neutral-default pillars during pre-2006 periods.</w:t>
      </w:r>
    </w:p>
    <w:bookmarkEnd w:id="140"/>
    <w:bookmarkStart w:id="141" w:name="fix-b-wire-up-contagion-proxy-via-baa10y"/>
    <w:p>
      <w:pPr>
        <w:pStyle w:val="Heading3"/>
      </w:pPr>
      <w:r>
        <w:t xml:space="preserve">Fix B — Wire Up Contagion Proxy via BAA10Y</w:t>
      </w:r>
    </w:p>
    <w:p>
      <w:pPr>
        <w:pStyle w:val="FirstParagraph"/>
      </w:pPr>
      <w:r>
        <w:t xml:space="preserve">The contagion pillar, previously frozen at its default score, now uses Moody’s Baa–10Y Treasury spread (</w:t>
      </w:r>
      <w:r>
        <w:rPr>
          <w:rStyle w:val="VerbatimChar"/>
        </w:rPr>
        <w:t xml:space="preserve">BAA10Y</w:t>
      </w:r>
      <w:r>
        <w:t xml:space="preserve">) as a proxy for financial sector credit stress. This spread captures systemic banking and corporate stress (available from 1919). It closely tracks G-SIB CDS spreads during the overlap period (2006+).</w:t>
      </w:r>
    </w:p>
    <w:p>
      <w:pPr>
        <w:pStyle w:val="BodyText"/>
      </w:pPr>
      <w:r>
        <w:rPr>
          <w:bCs/>
          <w:b/>
        </w:rPr>
        <w:t xml:space="preserve">Impact:</w:t>
      </w:r>
      <w:r>
        <w:t xml:space="preserve"> </w:t>
      </w:r>
      <w:r>
        <w:t xml:space="preserve">Contagion signals now fire correctly during GFC (2008), European sovereign crisis (2011), and other crises with global banking stress.</w:t>
      </w:r>
    </w:p>
    <w:bookmarkEnd w:id="141"/>
    <w:bookmarkStart w:id="142" w:name="fix-c-range-based-valuation-scoring"/>
    <w:p>
      <w:pPr>
        <w:pStyle w:val="Heading3"/>
      </w:pPr>
      <w:r>
        <w:t xml:space="preserve">Fix C — Range-Based Valuation Scoring</w:t>
      </w:r>
    </w:p>
    <w:p>
      <w:pPr>
        <w:pStyle w:val="FirstParagraph"/>
      </w:pPr>
      <w:r>
        <w:t xml:space="preserve">Valuation indicators changed from one-sided to</w:t>
      </w:r>
      <w:r>
        <w:t xml:space="preserve"> </w:t>
      </w:r>
      <w:r>
        <w:rPr>
          <w:bCs/>
          <w:b/>
        </w:rPr>
        <w:t xml:space="preserve">two-sided range-based</w:t>
      </w:r>
      <w:r>
        <w:t xml:space="preserve"> </w:t>
      </w:r>
      <w:r>
        <w:t xml:space="preserve">scoring. Under the original approach, pre-GFC compressed IG OAS (~60 bps in 2007) scored as</w:t>
      </w:r>
      <w:r>
        <w:t xml:space="preserve"> </w:t>
      </w:r>
      <w:r>
        <w:t xml:space="preserve">“</w:t>
      </w:r>
      <w:r>
        <w:t xml:space="preserve">ample</w:t>
      </w:r>
      <w:r>
        <w:t xml:space="preserve">”</w:t>
      </w:r>
      <w:r>
        <w:t xml:space="preserve"> </w:t>
      </w:r>
      <w:r>
        <w:t xml:space="preserve">(maximum buffer). The two-sided approach correctly identifies both extremes as risky.</w:t>
      </w:r>
    </w:p>
    <w:p>
      <w:pPr>
        <w:pStyle w:val="BodyText"/>
      </w:pPr>
      <w:r>
        <w:rPr>
          <w:bCs/>
          <w:b/>
        </w:rPr>
        <w:t xml:space="preserve">Impact:</w:t>
      </w:r>
      <w:r>
        <w:t xml:space="preserve"> </w:t>
      </w:r>
      <w:r>
        <w:t xml:space="preserve">Pre-GFC build-up period now correctly shows deteriorating valuation buffer.</w:t>
      </w:r>
    </w:p>
    <w:bookmarkEnd w:id="142"/>
    <w:bookmarkStart w:id="143" w:name="X5f5c457e0f115ef8777c946d36a16a38e530437"/>
    <w:p>
      <w:pPr>
        <w:pStyle w:val="Heading3"/>
      </w:pPr>
      <w:r>
        <w:t xml:space="preserve">Fix D — ML-Optimised Weights for Modern Era</w:t>
      </w:r>
    </w:p>
    <w:p>
      <w:pPr>
        <w:pStyle w:val="FirstParagraph"/>
      </w:pPr>
      <w:r>
        <w:t xml:space="preserve">For dates from 2006 onwards, gradient-boosting-derived weights replace equal weights. For pre-1971 periods, era-specific weights are used.</w:t>
      </w:r>
    </w:p>
    <w:p>
      <w:pPr>
        <w:pStyle w:val="BodyText"/>
      </w:pPr>
      <w:r>
        <w:rPr>
          <w:bCs/>
          <w:b/>
        </w:rPr>
        <w:t xml:space="preserve">Impact:</w:t>
      </w:r>
      <w:r>
        <w:t xml:space="preserve"> </w:t>
      </w:r>
      <w:r>
        <w:t xml:space="preserve">Positioning breaches now dominate the MAC score when they occur, correctly flagging hedge failure risk.</w:t>
      </w:r>
    </w:p>
    <w:bookmarkEnd w:id="143"/>
    <w:bookmarkStart w:id="144" w:name="fix-e-era-aware-calibration-factor"/>
    <w:p>
      <w:pPr>
        <w:pStyle w:val="Heading3"/>
      </w:pPr>
      <w:r>
        <w:t xml:space="preserve">Fix E — Era-Aware Calibration Factor</w:t>
      </w:r>
    </w:p>
    <w:p>
      <w:pPr>
        <w:pStyle w:val="FirstParagraph"/>
      </w:pPr>
      <w:r>
        <w:t xml:space="preserve">The calibration factor varies by era: 0.78 (post-2006), 0.90 (1971–2006), 1.00 (pre-1971). A single factor for all eras produced excessive false positives pre-1971 (FPR &gt; 90%) because structurally wider historical spreads already compress raw scores.</w:t>
      </w:r>
    </w:p>
    <w:p>
      <w:pPr>
        <w:pStyle w:val="BodyText"/>
      </w:pPr>
      <w:r>
        <w:rPr>
          <w:bCs/>
          <w:b/>
        </w:rPr>
        <w:t xml:space="preserve">Impact:</w:t>
      </w:r>
      <w:r>
        <w:t xml:space="preserve"> </w:t>
      </w:r>
      <w:r>
        <w:t xml:space="preserve">Pre-1971 false positive rate reduced from &gt;90% to an acceptable level while maintaining crisis detection.</w:t>
      </w:r>
    </w:p>
    <w:bookmarkEnd w:id="144"/>
    <w:bookmarkStart w:id="145" w:name="Xb6a9910644e2460d60ff2d8079aaad1253c3237"/>
    <w:p>
      <w:pPr>
        <w:pStyle w:val="Heading3"/>
      </w:pPr>
      <w:r>
        <w:t xml:space="preserve">Fix F — Momentum-Enhanced Warning Detection</w:t>
      </w:r>
    </w:p>
    <w:p>
      <w:pPr>
        <w:pStyle w:val="FirstParagraph"/>
      </w:pPr>
      <w:r>
        <w:t xml:space="preserve">Crisis warnings now combine level-based detection (MAC &lt; 0.50) with momentum-based detection (MAC &lt; 0.60 AND 4-week momentum &lt; −0.04). This captures the important signal of rapid deterioration while MAC levels are borderline.</w:t>
      </w:r>
    </w:p>
    <w:p>
      <w:pPr>
        <w:pStyle w:val="BodyText"/>
      </w:pPr>
      <w:r>
        <w:rPr>
          <w:bCs/>
          <w:b/>
        </w:rPr>
        <w:t xml:space="preserve">Impact:</w:t>
      </w:r>
      <w:r>
        <w:t xml:space="preserve"> </w:t>
      </w:r>
      <w:r>
        <w:t xml:space="preserve">Identifies crises where MAC levels are marginal but declining rapidly — the 2018 Q4 selloff and 2015 China devaluation were detected via momentum that would have been missed on level alone.</w:t>
      </w:r>
    </w:p>
    <w:p>
      <w:r>
        <w:pict>
          <v:rect style="width:0;height:1.5pt" o:hralign="center" o:hrstd="t" o:hr="t"/>
        </w:pict>
      </w:r>
    </w:p>
    <w:bookmarkEnd w:id="145"/>
    <w:bookmarkEnd w:id="146"/>
    <w:bookmarkStart w:id="167" w:name="empirical-results-19072025"/>
    <w:p>
      <w:pPr>
        <w:pStyle w:val="Heading2"/>
      </w:pPr>
      <w:r>
        <w:t xml:space="preserve">15. Empirical Results (1907–2025)</w:t>
      </w:r>
    </w:p>
    <w:bookmarkStart w:id="147" w:name="summary-performance"/>
    <w:p>
      <w:pPr>
        <w:pStyle w:val="Heading3"/>
      </w:pPr>
      <w:r>
        <w:t xml:space="preserve">15.1 Summary Performance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Metric</w:t>
            </w:r>
          </w:p>
        </w:tc>
        <w:tc>
          <w:tcPr/>
          <w:p>
            <w:pPr>
              <w:pStyle w:val="Compact"/>
              <w:jc w:val="left"/>
            </w:pPr>
            <w:r>
              <w:t xml:space="preserve">Value</w:t>
            </w:r>
          </w:p>
        </w:tc>
      </w:tr>
      <w:tr>
        <w:tc>
          <w:tcPr/>
          <w:p>
            <w:pPr>
              <w:pStyle w:val="Compact"/>
              <w:jc w:val="left"/>
            </w:pPr>
            <w:r>
              <w:t xml:space="preserve">Total weekly observations</w:t>
            </w:r>
          </w:p>
        </w:tc>
        <w:tc>
          <w:tcPr/>
          <w:p>
            <w:pPr>
              <w:pStyle w:val="Compact"/>
              <w:jc w:val="left"/>
            </w:pPr>
            <w:r>
              <w:rPr>
                <w:bCs/>
                <w:b/>
              </w:rPr>
              <w:t xml:space="preserve">6,158</w:t>
            </w:r>
          </w:p>
        </w:tc>
      </w:tr>
      <w:tr>
        <w:tc>
          <w:tcPr/>
          <w:p>
            <w:pPr>
              <w:pStyle w:val="Compact"/>
              <w:jc w:val="left"/>
            </w:pPr>
            <w:r>
              <w:t xml:space="preserve">Time span</w:t>
            </w:r>
          </w:p>
        </w:tc>
        <w:tc>
          <w:tcPr/>
          <w:p>
            <w:pPr>
              <w:pStyle w:val="Compact"/>
              <w:jc w:val="left"/>
            </w:pPr>
            <w:r>
              <w:rPr>
                <w:bCs/>
                <w:b/>
              </w:rPr>
              <w:t xml:space="preserve">1907–2025 (117 years)</w:t>
            </w:r>
          </w:p>
        </w:tc>
      </w:tr>
      <w:tr>
        <w:tc>
          <w:tcPr/>
          <w:p>
            <w:pPr>
              <w:pStyle w:val="Compact"/>
              <w:jc w:val="left"/>
            </w:pPr>
            <w:r>
              <w:t xml:space="preserve">Total crisis events tested</w:t>
            </w:r>
          </w:p>
        </w:tc>
        <w:tc>
          <w:tcPr/>
          <w:p>
            <w:pPr>
              <w:pStyle w:val="Compact"/>
              <w:jc w:val="left"/>
            </w:pPr>
            <w:r>
              <w:rPr>
                <w:bCs/>
                <w:b/>
              </w:rPr>
              <w:t xml:space="preserve">41</w:t>
            </w:r>
          </w:p>
        </w:tc>
      </w:tr>
      <w:tr>
        <w:tc>
          <w:tcPr/>
          <w:p>
            <w:pPr>
              <w:pStyle w:val="Compact"/>
              <w:jc w:val="left"/>
            </w:pPr>
            <w:r>
              <w:t xml:space="preserve">True positive rate</w:t>
            </w:r>
          </w:p>
        </w:tc>
        <w:tc>
          <w:tcPr/>
          <w:p>
            <w:pPr>
              <w:pStyle w:val="Compact"/>
              <w:jc w:val="left"/>
            </w:pPr>
            <w:r>
              <w:rPr>
                <w:bCs/>
                <w:b/>
              </w:rPr>
              <w:t xml:space="preserve">75.6%</w:t>
            </w:r>
            <w:r>
              <w:t xml:space="preserve"> </w:t>
            </w:r>
            <w:r>
              <w:t xml:space="preserve">(31/41)</w:t>
            </w:r>
          </w:p>
        </w:tc>
      </w:tr>
      <w:tr>
        <w:tc>
          <w:tcPr/>
          <w:p>
            <w:pPr>
              <w:pStyle w:val="Compact"/>
              <w:jc w:val="left"/>
            </w:pPr>
            <w:r>
              <w:t xml:space="preserve">Improvement over v1 baseline</w:t>
            </w:r>
          </w:p>
        </w:tc>
        <w:tc>
          <w:tcPr/>
          <w:p>
            <w:pPr>
              <w:pStyle w:val="Compact"/>
              <w:jc w:val="left"/>
            </w:pPr>
            <w:r>
              <w:t xml:space="preserve">+49 pp (from 26.7%)</w:t>
            </w:r>
          </w:p>
        </w:tc>
      </w:tr>
      <w:tr>
        <w:tc>
          <w:tcPr/>
          <w:p>
            <w:pPr>
              <w:pStyle w:val="Compact"/>
              <w:jc w:val="left"/>
            </w:pPr>
            <w:r>
              <w:t xml:space="preserve">Data sources</w:t>
            </w:r>
          </w:p>
        </w:tc>
        <w:tc>
          <w:tcPr/>
          <w:p>
            <w:pPr>
              <w:pStyle w:val="Compact"/>
              <w:jc w:val="left"/>
            </w:pPr>
            <w:r>
              <w:t xml:space="preserve">6 external databases, 30+ FRED series</w:t>
            </w:r>
          </w:p>
        </w:tc>
      </w:tr>
      <w:tr>
        <w:tc>
          <w:tcPr/>
          <w:p>
            <w:pPr>
              <w:pStyle w:val="Compact"/>
              <w:jc w:val="left"/>
            </w:pPr>
            <w:r>
              <w:t xml:space="preserve">Scoring method</w:t>
            </w:r>
          </w:p>
        </w:tc>
        <w:tc>
          <w:tcPr/>
          <w:p>
            <w:pPr>
              <w:pStyle w:val="Compact"/>
              <w:jc w:val="left"/>
            </w:pPr>
            <w:r>
              <w:t xml:space="preserve">Range-based + ML-weighted + momentum</w:t>
            </w:r>
          </w:p>
        </w:tc>
      </w:tr>
    </w:tbl>
    <w:bookmarkEnd w:id="147"/>
    <w:bookmarkStart w:id="148" w:name="crisis-detection-by-era"/>
    <w:p>
      <w:pPr>
        <w:pStyle w:val="Heading3"/>
      </w:pPr>
      <w:r>
        <w:t xml:space="preserve">15.2 Crisis Detection by Era</w:t>
      </w:r>
    </w:p>
    <w:tbl>
      <w:tblPr>
        <w:tblStyle w:val="Table"/>
        <w:tblW w:type="pct" w:w="5000"/>
        <w:tblLook w:firstRow="1" w:lastRow="0" w:firstColumn="0" w:lastColumn="0" w:noHBand="0" w:noVBand="0" w:val="0020"/>
        <w:jc w:val="start"/>
      </w:tblPr>
      <w:tblGrid>
        <w:gridCol w:w="1131"/>
        <w:gridCol w:w="1810"/>
        <w:gridCol w:w="2262"/>
        <w:gridCol w:w="1131"/>
        <w:gridCol w:w="1584"/>
      </w:tblGrid>
      <w:tr>
        <w:trPr>
          <w:tblHeader w:val="true"/>
        </w:trPr>
        <w:tc>
          <w:tcPr/>
          <w:p>
            <w:pPr>
              <w:pStyle w:val="Compact"/>
              <w:jc w:val="left"/>
            </w:pPr>
            <w:r>
              <w:t xml:space="preserve">Era</w:t>
            </w:r>
          </w:p>
        </w:tc>
        <w:tc>
          <w:tcPr/>
          <w:p>
            <w:pPr>
              <w:pStyle w:val="Compact"/>
              <w:jc w:val="left"/>
            </w:pPr>
            <w:r>
              <w:t xml:space="preserve">Crises</w:t>
            </w:r>
          </w:p>
        </w:tc>
        <w:tc>
          <w:tcPr/>
          <w:p>
            <w:pPr>
              <w:pStyle w:val="Compact"/>
              <w:jc w:val="left"/>
            </w:pPr>
            <w:r>
              <w:t xml:space="preserve">Detected</w:t>
            </w:r>
          </w:p>
        </w:tc>
        <w:tc>
          <w:tcPr/>
          <w:p>
            <w:pPr>
              <w:pStyle w:val="Compact"/>
              <w:jc w:val="left"/>
            </w:pPr>
            <w:r>
              <w:t xml:space="preserve">TPR</w:t>
            </w:r>
          </w:p>
        </w:tc>
        <w:tc>
          <w:tcPr/>
          <w:p>
            <w:pPr>
              <w:pStyle w:val="Compact"/>
              <w:jc w:val="left"/>
            </w:pPr>
            <w:r>
              <w:t xml:space="preserve">Notes</w:t>
            </w:r>
          </w:p>
        </w:tc>
      </w:tr>
      <w:tr>
        <w:tc>
          <w:tcPr/>
          <w:p>
            <w:pPr>
              <w:pStyle w:val="Compact"/>
              <w:jc w:val="left"/>
            </w:pPr>
            <w:r>
              <w:t xml:space="preserve">Pre-Fed (1907–1913)</w:t>
            </w:r>
          </w:p>
        </w:tc>
        <w:tc>
          <w:tcPr/>
          <w:p>
            <w:pPr>
              <w:pStyle w:val="Compact"/>
              <w:jc w:val="left"/>
            </w:pPr>
            <w:r>
              <w:t xml:space="preserve">2</w:t>
            </w:r>
          </w:p>
        </w:tc>
        <w:tc>
          <w:tcPr/>
          <w:p>
            <w:pPr>
              <w:pStyle w:val="Compact"/>
              <w:jc w:val="left"/>
            </w:pPr>
            <w:r>
              <w:t xml:space="preserve">1</w:t>
            </w:r>
          </w:p>
        </w:tc>
        <w:tc>
          <w:tcPr/>
          <w:p>
            <w:pPr>
              <w:pStyle w:val="Compact"/>
              <w:jc w:val="left"/>
            </w:pPr>
            <w:r>
              <w:t xml:space="preserve">50%</w:t>
            </w:r>
          </w:p>
        </w:tc>
        <w:tc>
          <w:tcPr/>
          <w:p>
            <w:pPr>
              <w:pStyle w:val="Compact"/>
              <w:jc w:val="left"/>
            </w:pPr>
            <w:r>
              <w:t xml:space="preserve">Panic of 1907 captured; 1910–11 too mild</w:t>
            </w:r>
          </w:p>
        </w:tc>
      </w:tr>
      <w:tr>
        <w:tc>
          <w:tcPr/>
          <w:p>
            <w:pPr>
              <w:pStyle w:val="Compact"/>
              <w:jc w:val="left"/>
            </w:pPr>
            <w:r>
              <w:t xml:space="preserve">Early Fed / WWI (1913–1919)</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c>
          <w:tcPr/>
          <w:p>
            <w:pPr>
              <w:pStyle w:val="Compact"/>
              <w:jc w:val="left"/>
            </w:pPr>
            <w:r>
              <w:t xml:space="preserve">1914 exchange closure</w:t>
            </w:r>
          </w:p>
        </w:tc>
      </w:tr>
      <w:tr>
        <w:tc>
          <w:tcPr/>
          <w:p>
            <w:pPr>
              <w:pStyle w:val="Compact"/>
              <w:jc w:val="left"/>
            </w:pPr>
            <w:r>
              <w:t xml:space="preserve">Interwar / Depression (1920–1934)</w:t>
            </w:r>
          </w:p>
        </w:tc>
        <w:tc>
          <w:tcPr/>
          <w:p>
            <w:pPr>
              <w:pStyle w:val="Compact"/>
              <w:jc w:val="left"/>
            </w:pPr>
            <w:r>
              <w:t xml:space="preserve">4</w:t>
            </w:r>
          </w:p>
        </w:tc>
        <w:tc>
          <w:tcPr/>
          <w:p>
            <w:pPr>
              <w:pStyle w:val="Compact"/>
              <w:jc w:val="left"/>
            </w:pPr>
            <w:r>
              <w:t xml:space="preserve">3</w:t>
            </w:r>
          </w:p>
        </w:tc>
        <w:tc>
          <w:tcPr/>
          <w:p>
            <w:pPr>
              <w:pStyle w:val="Compact"/>
              <w:jc w:val="left"/>
            </w:pPr>
            <w:r>
              <w:t xml:space="preserve">75%</w:t>
            </w:r>
          </w:p>
        </w:tc>
        <w:tc>
          <w:tcPr/>
          <w:p>
            <w:pPr>
              <w:pStyle w:val="Compact"/>
              <w:jc w:val="left"/>
            </w:pPr>
            <w:r>
              <w:t xml:space="preserve">1929 crash, bank panics, 1933 holiday</w:t>
            </w:r>
          </w:p>
        </w:tc>
      </w:tr>
      <w:tr>
        <w:tc>
          <w:tcPr/>
          <w:p>
            <w:pPr>
              <w:pStyle w:val="Compact"/>
              <w:jc w:val="left"/>
            </w:pPr>
            <w:r>
              <w:t xml:space="preserve">New Deal / WWII (1934–1954)</w:t>
            </w:r>
          </w:p>
        </w:tc>
        <w:tc>
          <w:tcPr/>
          <w:p>
            <w:pPr>
              <w:pStyle w:val="Compact"/>
              <w:jc w:val="left"/>
            </w:pPr>
            <w:r>
              <w:t xml:space="preserve">1</w:t>
            </w:r>
          </w:p>
        </w:tc>
        <w:tc>
          <w:tcPr/>
          <w:p>
            <w:pPr>
              <w:pStyle w:val="Compact"/>
              <w:jc w:val="left"/>
            </w:pPr>
            <w:r>
              <w:t xml:space="preserve">1</w:t>
            </w:r>
          </w:p>
        </w:tc>
        <w:tc>
          <w:tcPr/>
          <w:p>
            <w:pPr>
              <w:pStyle w:val="Compact"/>
              <w:jc w:val="left"/>
            </w:pPr>
            <w:r>
              <w:t xml:space="preserve">100%</w:t>
            </w:r>
          </w:p>
        </w:tc>
        <w:tc>
          <w:tcPr/>
          <w:p>
            <w:pPr>
              <w:pStyle w:val="Compact"/>
              <w:jc w:val="left"/>
            </w:pPr>
            <w:r>
              <w:t xml:space="preserve">1937–38 recession</w:t>
            </w:r>
          </w:p>
        </w:tc>
      </w:tr>
      <w:tr>
        <w:tc>
          <w:tcPr/>
          <w:p>
            <w:pPr>
              <w:pStyle w:val="Compact"/>
              <w:jc w:val="left"/>
            </w:pPr>
            <w:r>
              <w:t xml:space="preserve">Post-War / Bretton Woods (1954–1971)</w:t>
            </w:r>
          </w:p>
        </w:tc>
        <w:tc>
          <w:tcPr/>
          <w:p>
            <w:pPr>
              <w:pStyle w:val="Compact"/>
              <w:jc w:val="left"/>
            </w:pPr>
            <w:r>
              <w:t xml:space="preserve">5</w:t>
            </w:r>
          </w:p>
        </w:tc>
        <w:tc>
          <w:tcPr/>
          <w:p>
            <w:pPr>
              <w:pStyle w:val="Compact"/>
              <w:jc w:val="left"/>
            </w:pPr>
            <w:r>
              <w:t xml:space="preserve">3</w:t>
            </w:r>
          </w:p>
        </w:tc>
        <w:tc>
          <w:tcPr/>
          <w:p>
            <w:pPr>
              <w:pStyle w:val="Compact"/>
              <w:jc w:val="left"/>
            </w:pPr>
            <w:r>
              <w:t xml:space="preserve">60%</w:t>
            </w:r>
          </w:p>
        </w:tc>
        <w:tc>
          <w:tcPr/>
          <w:p>
            <w:pPr>
              <w:pStyle w:val="Compact"/>
              <w:jc w:val="left"/>
            </w:pPr>
            <w:r>
              <w:t xml:space="preserve">Kennedy Slide, Credit Crunch 1966, Penn Central</w:t>
            </w:r>
          </w:p>
        </w:tc>
      </w:tr>
      <w:tr>
        <w:tc>
          <w:tcPr/>
          <w:p>
            <w:pPr>
              <w:pStyle w:val="Compact"/>
              <w:jc w:val="left"/>
            </w:pPr>
            <w:r>
              <w:t xml:space="preserve">Post-Bretton Woods (1971–1990)</w:t>
            </w:r>
          </w:p>
        </w:tc>
        <w:tc>
          <w:tcPr/>
          <w:p>
            <w:pPr>
              <w:pStyle w:val="Compact"/>
              <w:jc w:val="left"/>
            </w:pPr>
            <w:r>
              <w:t xml:space="preserve">8</w:t>
            </w:r>
          </w:p>
        </w:tc>
        <w:tc>
          <w:tcPr/>
          <w:p>
            <w:pPr>
              <w:pStyle w:val="Compact"/>
              <w:jc w:val="left"/>
            </w:pPr>
            <w:r>
              <w:t xml:space="preserve">6</w:t>
            </w:r>
          </w:p>
        </w:tc>
        <w:tc>
          <w:tcPr/>
          <w:p>
            <w:pPr>
              <w:pStyle w:val="Compact"/>
              <w:jc w:val="left"/>
            </w:pPr>
            <w:r>
              <w:t xml:space="preserve">75%</w:t>
            </w:r>
          </w:p>
        </w:tc>
        <w:tc>
          <w:tcPr/>
          <w:p>
            <w:pPr>
              <w:pStyle w:val="Compact"/>
              <w:jc w:val="left"/>
            </w:pPr>
            <w:r>
              <w:t xml:space="preserve">Nixon Shock through Black Monday</w:t>
            </w:r>
          </w:p>
        </w:tc>
      </w:tr>
      <w:tr>
        <w:tc>
          <w:tcPr/>
          <w:p>
            <w:pPr>
              <w:pStyle w:val="Compact"/>
              <w:jc w:val="left"/>
            </w:pPr>
            <w:r>
              <w:t xml:space="preserve">Modern (1990–2025)</w:t>
            </w:r>
          </w:p>
        </w:tc>
        <w:tc>
          <w:tcPr/>
          <w:p>
            <w:pPr>
              <w:pStyle w:val="Compact"/>
              <w:jc w:val="left"/>
            </w:pPr>
            <w:r>
              <w:t xml:space="preserve">20</w:t>
            </w:r>
          </w:p>
        </w:tc>
        <w:tc>
          <w:tcPr/>
          <w:p>
            <w:pPr>
              <w:pStyle w:val="Compact"/>
              <w:jc w:val="left"/>
            </w:pPr>
            <w:r>
              <w:t xml:space="preserve">16</w:t>
            </w:r>
          </w:p>
        </w:tc>
        <w:tc>
          <w:tcPr/>
          <w:p>
            <w:pPr>
              <w:pStyle w:val="Compact"/>
              <w:jc w:val="left"/>
            </w:pPr>
            <w:r>
              <w:t xml:space="preserve">80%</w:t>
            </w:r>
          </w:p>
        </w:tc>
        <w:tc>
          <w:tcPr/>
          <w:p>
            <w:pPr>
              <w:pStyle w:val="Compact"/>
              <w:jc w:val="left"/>
            </w:pPr>
            <w:r>
              <w:t xml:space="preserve">LTCM through Yen Carry Unwind</w:t>
            </w:r>
          </w:p>
        </w:tc>
      </w:tr>
      <w:tr>
        <w:tc>
          <w:tcPr/>
          <w:p>
            <w:pPr>
              <w:pStyle w:val="Compact"/>
              <w:jc w:val="left"/>
            </w:pPr>
            <w:r>
              <w:rPr>
                <w:bCs/>
                <w:b/>
              </w:rPr>
              <w:t xml:space="preserve">Total</w:t>
            </w:r>
          </w:p>
        </w:tc>
        <w:tc>
          <w:tcPr/>
          <w:p>
            <w:pPr>
              <w:pStyle w:val="Compact"/>
              <w:jc w:val="left"/>
            </w:pPr>
            <w:r>
              <w:rPr>
                <w:bCs/>
                <w:b/>
              </w:rPr>
              <w:t xml:space="preserve">41</w:t>
            </w:r>
          </w:p>
        </w:tc>
        <w:tc>
          <w:tcPr/>
          <w:p>
            <w:pPr>
              <w:pStyle w:val="Compact"/>
              <w:jc w:val="left"/>
            </w:pPr>
            <w:r>
              <w:rPr>
                <w:bCs/>
                <w:b/>
              </w:rPr>
              <w:t xml:space="preserve">31</w:t>
            </w:r>
          </w:p>
        </w:tc>
        <w:tc>
          <w:tcPr/>
          <w:p>
            <w:pPr>
              <w:pStyle w:val="Compact"/>
              <w:jc w:val="left"/>
            </w:pPr>
            <w:r>
              <w:rPr>
                <w:bCs/>
                <w:b/>
              </w:rPr>
              <w:t xml:space="preserve">75.6%</w:t>
            </w:r>
          </w:p>
        </w:tc>
        <w:tc>
          <w:tcPr/>
          <w:p>
            <w:pPr>
              <w:pStyle w:val="Compact"/>
            </w:pPr>
          </w:p>
        </w:tc>
      </w:tr>
    </w:tbl>
    <w:bookmarkEnd w:id="148"/>
    <w:bookmarkStart w:id="149" w:name="major-crisis-mac-scores-selected"/>
    <w:p>
      <w:pPr>
        <w:pStyle w:val="Heading3"/>
      </w:pPr>
      <w:r>
        <w:t xml:space="preserve">15.3 Major Crisis MAC Scores (Selected)</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Crisis</w:t>
            </w:r>
          </w:p>
        </w:tc>
        <w:tc>
          <w:tcPr/>
          <w:p>
            <w:pPr>
              <w:pStyle w:val="Compact"/>
              <w:jc w:val="left"/>
            </w:pPr>
            <w:r>
              <w:t xml:space="preserve">Date</w:t>
            </w:r>
          </w:p>
        </w:tc>
        <w:tc>
          <w:tcPr/>
          <w:p>
            <w:pPr>
              <w:pStyle w:val="Compact"/>
              <w:jc w:val="left"/>
            </w:pPr>
            <w:r>
              <w:t xml:space="preserve">Expected MAC</w:t>
            </w:r>
          </w:p>
        </w:tc>
        <w:tc>
          <w:tcPr/>
          <w:p>
            <w:pPr>
              <w:pStyle w:val="Compact"/>
              <w:jc w:val="left"/>
            </w:pPr>
            <w:r>
              <w:t xml:space="preserve">Actual Result</w:t>
            </w:r>
          </w:p>
        </w:tc>
        <w:tc>
          <w:tcPr/>
          <w:p>
            <w:pPr>
              <w:pStyle w:val="Compact"/>
              <w:jc w:val="left"/>
            </w:pPr>
            <w:r>
              <w:t xml:space="preserve">Treasury Hedge</w:t>
            </w:r>
          </w:p>
        </w:tc>
      </w:tr>
      <w:tr>
        <w:tc>
          <w:tcPr/>
          <w:p>
            <w:pPr>
              <w:pStyle w:val="Compact"/>
              <w:jc w:val="left"/>
            </w:pPr>
            <w:r>
              <w:t xml:space="preserve">Panic of 1907</w:t>
            </w:r>
          </w:p>
        </w:tc>
        <w:tc>
          <w:tcPr/>
          <w:p>
            <w:pPr>
              <w:pStyle w:val="Compact"/>
              <w:jc w:val="left"/>
            </w:pPr>
            <w:r>
              <w:t xml:space="preserve">1907-10-14</w:t>
            </w:r>
          </w:p>
        </w:tc>
        <w:tc>
          <w:tcPr/>
          <w:p>
            <w:pPr>
              <w:pStyle w:val="Compact"/>
              <w:jc w:val="left"/>
            </w:pPr>
            <w:r>
              <w:t xml:space="preserve">0.15–0.35</w:t>
            </w:r>
          </w:p>
        </w:tc>
        <w:tc>
          <w:tcPr/>
          <w:p>
            <w:pPr>
              <w:pStyle w:val="Compact"/>
              <w:jc w:val="left"/>
            </w:pPr>
            <w:r>
              <w:t xml:space="preserve">Detected</w:t>
            </w:r>
          </w:p>
        </w:tc>
        <w:tc>
          <w:tcPr/>
          <w:p>
            <w:pPr>
              <w:pStyle w:val="Compact"/>
              <w:jc w:val="left"/>
            </w:pPr>
            <w:r>
              <w:t xml:space="preserve">N/A (pre-modern)</w:t>
            </w:r>
          </w:p>
        </w:tc>
      </w:tr>
      <w:tr>
        <w:tc>
          <w:tcPr/>
          <w:p>
            <w:pPr>
              <w:pStyle w:val="Compact"/>
              <w:jc w:val="left"/>
            </w:pPr>
            <w:r>
              <w:t xml:space="preserve">1929 Crash</w:t>
            </w:r>
          </w:p>
        </w:tc>
        <w:tc>
          <w:tcPr/>
          <w:p>
            <w:pPr>
              <w:pStyle w:val="Compact"/>
              <w:jc w:val="left"/>
            </w:pPr>
            <w:r>
              <w:t xml:space="preserve">1929-10-24</w:t>
            </w:r>
          </w:p>
        </w:tc>
        <w:tc>
          <w:tcPr/>
          <w:p>
            <w:pPr>
              <w:pStyle w:val="Compact"/>
              <w:jc w:val="left"/>
            </w:pPr>
            <w:r>
              <w:t xml:space="preserve">0.15–0.35</w:t>
            </w:r>
          </w:p>
        </w:tc>
        <w:tc>
          <w:tcPr/>
          <w:p>
            <w:pPr>
              <w:pStyle w:val="Compact"/>
              <w:jc w:val="left"/>
            </w:pPr>
            <w:r>
              <w:t xml:space="preserve">Detected</w:t>
            </w:r>
          </w:p>
        </w:tc>
        <w:tc>
          <w:tcPr/>
          <w:p>
            <w:pPr>
              <w:pStyle w:val="Compact"/>
              <w:jc w:val="left"/>
            </w:pPr>
            <w:r>
              <w:t xml:space="preserve">N/A</w:t>
            </w:r>
          </w:p>
        </w:tc>
      </w:tr>
      <w:tr>
        <w:tc>
          <w:tcPr/>
          <w:p>
            <w:pPr>
              <w:pStyle w:val="Compact"/>
              <w:jc w:val="left"/>
            </w:pPr>
            <w:r>
              <w:t xml:space="preserve">Banking Panic 1930–31</w:t>
            </w:r>
          </w:p>
        </w:tc>
        <w:tc>
          <w:tcPr/>
          <w:p>
            <w:pPr>
              <w:pStyle w:val="Compact"/>
              <w:jc w:val="left"/>
            </w:pPr>
            <w:r>
              <w:t xml:space="preserve">1930-10-01</w:t>
            </w:r>
          </w:p>
        </w:tc>
        <w:tc>
          <w:tcPr/>
          <w:p>
            <w:pPr>
              <w:pStyle w:val="Compact"/>
              <w:jc w:val="left"/>
            </w:pPr>
            <w:r>
              <w:t xml:space="preserve">0.10–0.25</w:t>
            </w:r>
          </w:p>
        </w:tc>
        <w:tc>
          <w:tcPr/>
          <w:p>
            <w:pPr>
              <w:pStyle w:val="Compact"/>
              <w:jc w:val="left"/>
            </w:pPr>
            <w:r>
              <w:t xml:space="preserve">Detected</w:t>
            </w:r>
          </w:p>
        </w:tc>
        <w:tc>
          <w:tcPr/>
          <w:p>
            <w:pPr>
              <w:pStyle w:val="Compact"/>
              <w:jc w:val="left"/>
            </w:pPr>
            <w:r>
              <w:t xml:space="preserve">N/A</w:t>
            </w:r>
          </w:p>
        </w:tc>
      </w:tr>
      <w:tr>
        <w:tc>
          <w:tcPr/>
          <w:p>
            <w:pPr>
              <w:pStyle w:val="Compact"/>
              <w:jc w:val="left"/>
            </w:pPr>
            <w:r>
              <w:t xml:space="preserve">Black Monday 1987</w:t>
            </w:r>
          </w:p>
        </w:tc>
        <w:tc>
          <w:tcPr/>
          <w:p>
            <w:pPr>
              <w:pStyle w:val="Compact"/>
              <w:jc w:val="left"/>
            </w:pPr>
            <w:r>
              <w:t xml:space="preserve">1987-10-19</w:t>
            </w:r>
          </w:p>
        </w:tc>
        <w:tc>
          <w:tcPr/>
          <w:p>
            <w:pPr>
              <w:pStyle w:val="Compact"/>
              <w:jc w:val="left"/>
            </w:pPr>
            <w:r>
              <w:t xml:space="preserve">0.30–0.45</w:t>
            </w:r>
          </w:p>
        </w:tc>
        <w:tc>
          <w:tcPr/>
          <w:p>
            <w:pPr>
              <w:pStyle w:val="Compact"/>
              <w:jc w:val="left"/>
            </w:pPr>
            <w:r>
              <w:t xml:space="preserve">Detected</w:t>
            </w:r>
          </w:p>
        </w:tc>
        <w:tc>
          <w:tcPr/>
          <w:p>
            <w:pPr>
              <w:pStyle w:val="Compact"/>
              <w:jc w:val="left"/>
            </w:pPr>
            <w:r>
              <w:t xml:space="preserve">Worked</w:t>
            </w:r>
          </w:p>
        </w:tc>
      </w:tr>
      <w:tr>
        <w:tc>
          <w:tcPr/>
          <w:p>
            <w:pPr>
              <w:pStyle w:val="Compact"/>
              <w:jc w:val="left"/>
            </w:pPr>
            <w:r>
              <w:t xml:space="preserve">LTCM Crisis</w:t>
            </w:r>
          </w:p>
        </w:tc>
        <w:tc>
          <w:tcPr/>
          <w:p>
            <w:pPr>
              <w:pStyle w:val="Compact"/>
              <w:jc w:val="left"/>
            </w:pPr>
            <w:r>
              <w:t xml:space="preserve">1998-09-23</w:t>
            </w:r>
          </w:p>
        </w:tc>
        <w:tc>
          <w:tcPr/>
          <w:p>
            <w:pPr>
              <w:pStyle w:val="Compact"/>
              <w:jc w:val="left"/>
            </w:pPr>
            <w:r>
              <w:t xml:space="preserve">0.20–0.40</w:t>
            </w:r>
          </w:p>
        </w:tc>
        <w:tc>
          <w:tcPr/>
          <w:p>
            <w:pPr>
              <w:pStyle w:val="Compact"/>
              <w:jc w:val="left"/>
            </w:pPr>
            <w:r>
              <w:t xml:space="preserve">Detected</w:t>
            </w:r>
          </w:p>
        </w:tc>
        <w:tc>
          <w:tcPr/>
          <w:p>
            <w:pPr>
              <w:pStyle w:val="Compact"/>
              <w:jc w:val="left"/>
            </w:pPr>
            <w:r>
              <w:t xml:space="preserve">Worked</w:t>
            </w:r>
          </w:p>
        </w:tc>
      </w:tr>
      <w:tr>
        <w:tc>
          <w:tcPr/>
          <w:p>
            <w:pPr>
              <w:pStyle w:val="Compact"/>
              <w:jc w:val="left"/>
            </w:pPr>
            <w:r>
              <w:t xml:space="preserve">Lehman / GFC</w:t>
            </w:r>
          </w:p>
        </w:tc>
        <w:tc>
          <w:tcPr/>
          <w:p>
            <w:pPr>
              <w:pStyle w:val="Compact"/>
              <w:jc w:val="left"/>
            </w:pPr>
            <w:r>
              <w:t xml:space="preserve">2008-09-15</w:t>
            </w:r>
          </w:p>
        </w:tc>
        <w:tc>
          <w:tcPr/>
          <w:p>
            <w:pPr>
              <w:pStyle w:val="Compact"/>
              <w:jc w:val="left"/>
            </w:pPr>
            <w:r>
              <w:t xml:space="preserve">0.10–0.30</w:t>
            </w:r>
          </w:p>
        </w:tc>
        <w:tc>
          <w:tcPr/>
          <w:p>
            <w:pPr>
              <w:pStyle w:val="Compact"/>
              <w:jc w:val="left"/>
            </w:pPr>
            <w:r>
              <w:t xml:space="preserve">Detected</w:t>
            </w:r>
          </w:p>
        </w:tc>
        <w:tc>
          <w:tcPr/>
          <w:p>
            <w:pPr>
              <w:pStyle w:val="Compact"/>
              <w:jc w:val="left"/>
            </w:pPr>
            <w:r>
              <w:t xml:space="preserve">Worked initially</w:t>
            </w:r>
          </w:p>
        </w:tc>
      </w:tr>
      <w:tr>
        <w:tc>
          <w:tcPr/>
          <w:p>
            <w:pPr>
              <w:pStyle w:val="Compact"/>
              <w:jc w:val="left"/>
            </w:pPr>
            <w:r>
              <w:t xml:space="preserve">COVID-19</w:t>
            </w:r>
          </w:p>
        </w:tc>
        <w:tc>
          <w:tcPr/>
          <w:p>
            <w:pPr>
              <w:pStyle w:val="Compact"/>
              <w:jc w:val="left"/>
            </w:pPr>
            <w:r>
              <w:t xml:space="preserve">2020-03-16</w:t>
            </w:r>
          </w:p>
        </w:tc>
        <w:tc>
          <w:tcPr/>
          <w:p>
            <w:pPr>
              <w:pStyle w:val="Compact"/>
              <w:jc w:val="left"/>
            </w:pPr>
            <w:r>
              <w:t xml:space="preserve">0.10–0.25</w:t>
            </w:r>
          </w:p>
        </w:tc>
        <w:tc>
          <w:tcPr/>
          <w:p>
            <w:pPr>
              <w:pStyle w:val="Compact"/>
              <w:jc w:val="left"/>
            </w:pPr>
            <w:r>
              <w:t xml:space="preserve">Detected</w:t>
            </w:r>
          </w:p>
        </w:tc>
        <w:tc>
          <w:tcPr/>
          <w:p>
            <w:pPr>
              <w:pStyle w:val="Compact"/>
              <w:jc w:val="left"/>
            </w:pPr>
            <w:r>
              <w:rPr>
                <w:bCs/>
                <w:b/>
              </w:rPr>
              <w:t xml:space="preserve">Failed</w:t>
            </w:r>
          </w:p>
        </w:tc>
      </w:tr>
      <w:tr>
        <w:tc>
          <w:tcPr/>
          <w:p>
            <w:pPr>
              <w:pStyle w:val="Compact"/>
              <w:jc w:val="left"/>
            </w:pPr>
            <w:r>
              <w:t xml:space="preserve">April 2025 Tariffs</w:t>
            </w:r>
          </w:p>
        </w:tc>
        <w:tc>
          <w:tcPr/>
          <w:p>
            <w:pPr>
              <w:pStyle w:val="Compact"/>
              <w:jc w:val="left"/>
            </w:pPr>
            <w:r>
              <w:t xml:space="preserve">2025-04-02</w:t>
            </w:r>
          </w:p>
        </w:tc>
        <w:tc>
          <w:tcPr/>
          <w:p>
            <w:pPr>
              <w:pStyle w:val="Compact"/>
              <w:jc w:val="left"/>
            </w:pPr>
            <w:r>
              <w:t xml:space="preserve">—</w:t>
            </w:r>
          </w:p>
        </w:tc>
        <w:tc>
          <w:tcPr/>
          <w:p>
            <w:pPr>
              <w:pStyle w:val="Compact"/>
              <w:jc w:val="left"/>
            </w:pPr>
            <w:r>
              <w:t xml:space="preserve">Detected</w:t>
            </w:r>
          </w:p>
        </w:tc>
        <w:tc>
          <w:tcPr/>
          <w:p>
            <w:pPr>
              <w:pStyle w:val="Compact"/>
              <w:jc w:val="left"/>
            </w:pPr>
            <w:r>
              <w:rPr>
                <w:bCs/>
                <w:b/>
              </w:rPr>
              <w:t xml:space="preserve">Failed</w:t>
            </w:r>
          </w:p>
        </w:tc>
      </w:tr>
    </w:tbl>
    <w:bookmarkEnd w:id="149"/>
    <w:bookmarkStart w:id="150" w:name="key-empirical-findings"/>
    <w:p>
      <w:pPr>
        <w:pStyle w:val="Heading3"/>
      </w:pPr>
      <w:r>
        <w:t xml:space="preserve">15.4 Key Empirical Findings</w:t>
      </w:r>
    </w:p>
    <w:p>
      <w:pPr>
        <w:pStyle w:val="FirstParagraph"/>
      </w:pPr>
      <w:r>
        <w:rPr>
          <w:bCs/>
          <w:b/>
        </w:rPr>
        <w:t xml:space="preserve">Finding 1: Positioning Breach as a Necessary Condition for Treasury Hedge Failure</w:t>
      </w:r>
    </w:p>
    <w:p>
      <w:pPr>
        <w:pStyle w:val="BodyText"/>
      </w:pPr>
      <w:r>
        <w:t xml:space="preserve">In the modern sub-sample (2006–2025), positioning breach (score &lt; 0.20) has preceded all three Treasury hedge failures: Volmageddon 2018 (short-vol crowding), COVID 2020 (basis trade unwind), and April 2025 Tariffs (record basis trade size). The association is statistically significant (Fisher’s exact p = 0.0027) and mechanistically coherent — forced deleveraging of concentrated positions eliminates the safe-haven function of Treasuries by transforming leveraged holders from natural buyers into forced sellers.</w:t>
      </w:r>
    </w:p>
    <w:p>
      <w:pPr>
        <w:pStyle w:val="BodyText"/>
      </w:pPr>
      <w:r>
        <w:t xml:space="preserve">However, with N=3 failure events, the framework treats this as a</w:t>
      </w:r>
      <w:r>
        <w:t xml:space="preserve"> </w:t>
      </w:r>
      <w:r>
        <w:rPr>
          <w:bCs/>
          <w:b/>
        </w:rPr>
        <w:t xml:space="preserve">high-confidence necessary condition</w:t>
      </w:r>
      <w:r>
        <w:t xml:space="preserve"> </w:t>
      </w:r>
      <w:r>
        <w:t xml:space="preserve">rather than a deterministic rule. The Bayesian posterior (Beta(4,1)) assigns a mean probability of 0.80 that the next positioning breach will coincide with hedge failure, with a 90% credible interval of [0.44, 0.98]. This uncertainty is reflected in the framework’s design: positioning receives the highest weight (22%/24%) and triggers critical overrides, but the framework does not assume hedge failure is certain when positioning breaches — it assumes the probability is high enough to warrant maximum defensive response.</w:t>
      </w:r>
    </w:p>
    <w:p>
      <w:pPr>
        <w:pStyle w:val="BodyText"/>
      </w:pPr>
      <w:r>
        <w:rPr>
          <w:bCs/>
          <w:b/>
        </w:rPr>
        <w:t xml:space="preserve">Finding 2: Multi-Pillar Advantage</w:t>
      </w:r>
    </w:p>
    <w:p>
      <w:pPr>
        <w:numPr>
          <w:ilvl w:val="0"/>
          <w:numId w:val="1012"/>
        </w:numPr>
        <w:pStyle w:val="Compact"/>
      </w:pPr>
      <w:r>
        <w:rPr>
          <w:iCs/>
          <w:i/>
        </w:rPr>
        <w:t xml:space="preserve">VIX alone</w:t>
      </w:r>
      <w:r>
        <w:t xml:space="preserve"> </w:t>
      </w:r>
      <w:r>
        <w:t xml:space="preserve">missed the 2019 Repo Spike (VIX ~15, normal) and provided no positioning signal for the 2025 Tariff shock</w:t>
      </w:r>
    </w:p>
    <w:p>
      <w:pPr>
        <w:numPr>
          <w:ilvl w:val="0"/>
          <w:numId w:val="1012"/>
        </w:numPr>
        <w:pStyle w:val="Compact"/>
      </w:pPr>
      <w:r>
        <w:rPr>
          <w:iCs/>
          <w:i/>
        </w:rPr>
        <w:t xml:space="preserve">Credit spreads alone</w:t>
      </w:r>
      <w:r>
        <w:t xml:space="preserve"> </w:t>
      </w:r>
      <w:r>
        <w:t xml:space="preserve">were compressed to historic lows in pre-GFC 2007, producing false comfort</w:t>
      </w:r>
    </w:p>
    <w:p>
      <w:pPr>
        <w:numPr>
          <w:ilvl w:val="0"/>
          <w:numId w:val="1012"/>
        </w:numPr>
        <w:pStyle w:val="Compact"/>
      </w:pPr>
      <w:r>
        <w:rPr>
          <w:iCs/>
          <w:i/>
        </w:rPr>
        <w:t xml:space="preserve">The MAC framework</w:t>
      </w:r>
      <w:r>
        <w:t xml:space="preserve"> </w:t>
      </w:r>
      <w:r>
        <w:t xml:space="preserve">correctly flagged pre-GFC complacency (via two-sided valuation scoring) and identified positioning-driven hedge failures</w:t>
      </w:r>
    </w:p>
    <w:p>
      <w:pPr>
        <w:pStyle w:val="FirstParagraph"/>
      </w:pPr>
      <w:r>
        <w:rPr>
          <w:bCs/>
          <w:b/>
        </w:rPr>
        <w:t xml:space="preserve">Finding 3: Era-Aware Calibration is Essential</w:t>
      </w:r>
    </w:p>
    <w:p>
      <w:pPr>
        <w:pStyle w:val="BodyText"/>
      </w:pPr>
      <w:r>
        <w:t xml:space="preserve">A single calibration factor produces false positive rates exceeding 90% for pre-1971 data because Schwert volatility (~45% annualised) and NBER railroad spreads are structurally wider than their modern equivalents. The era-specific sliding scale resolves this.</w:t>
      </w:r>
    </w:p>
    <w:p>
      <w:pPr>
        <w:pStyle w:val="BodyText"/>
      </w:pPr>
      <w:r>
        <w:rPr>
          <w:bCs/>
          <w:b/>
        </w:rPr>
        <w:t xml:space="preserve">Finding 4: Momentum Detection Adds ~10% to TPR</w:t>
      </w:r>
    </w:p>
    <w:p>
      <w:pPr>
        <w:pStyle w:val="BodyText"/>
      </w:pPr>
      <w:r>
        <w:t xml:space="preserve">Crisis categories CAUTIOUS-but-declining (MAC 0.50–0.60, declining &gt;0.04/month) were missed by pure level detection but captured by the momentum signal. This adds approximately 10 percentage points to the true positive rate.</w:t>
      </w:r>
    </w:p>
    <w:bookmarkEnd w:id="150"/>
    <w:bookmarkStart w:id="151" w:name="data-quality-assessment"/>
    <w:p>
      <w:pPr>
        <w:pStyle w:val="Heading3"/>
      </w:pPr>
      <w:r>
        <w:t xml:space="preserve">15.5 Data Quality Assessment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Quality Tier</w:t>
            </w:r>
          </w:p>
        </w:tc>
        <w:tc>
          <w:tcPr/>
          <w:p>
            <w:pPr>
              <w:pStyle w:val="Compact"/>
              <w:jc w:val="left"/>
            </w:pPr>
            <w:r>
              <w:t xml:space="preserve">Date Range</w:t>
            </w:r>
          </w:p>
        </w:tc>
        <w:tc>
          <w:tcPr/>
          <w:p>
            <w:pPr>
              <w:pStyle w:val="Compact"/>
              <w:jc w:val="left"/>
            </w:pPr>
            <w:r>
              <w:t xml:space="preserve">Characteristics</w:t>
            </w:r>
          </w:p>
        </w:tc>
      </w:tr>
      <w:tr>
        <w:tc>
          <w:tcPr/>
          <w:p>
            <w:pPr>
              <w:pStyle w:val="Compact"/>
              <w:jc w:val="left"/>
            </w:pPr>
            <w:r>
              <w:t xml:space="preserve">Excellent</w:t>
            </w:r>
          </w:p>
        </w:tc>
        <w:tc>
          <w:tcPr/>
          <w:p>
            <w:pPr>
              <w:pStyle w:val="Compact"/>
              <w:jc w:val="left"/>
            </w:pPr>
            <w:r>
              <w:t xml:space="preserve">2018–present</w:t>
            </w:r>
          </w:p>
        </w:tc>
        <w:tc>
          <w:tcPr/>
          <w:p>
            <w:pPr>
              <w:pStyle w:val="Compact"/>
              <w:jc w:val="left"/>
            </w:pPr>
            <w:r>
              <w:t xml:space="preserve">All 7 pillars, daily frequency, SOFR-IORB</w:t>
            </w:r>
          </w:p>
        </w:tc>
      </w:tr>
      <w:tr>
        <w:tc>
          <w:tcPr/>
          <w:p>
            <w:pPr>
              <w:pStyle w:val="Compact"/>
              <w:jc w:val="left"/>
            </w:pPr>
            <w:r>
              <w:t xml:space="preserve">Good</w:t>
            </w:r>
          </w:p>
        </w:tc>
        <w:tc>
          <w:tcPr/>
          <w:p>
            <w:pPr>
              <w:pStyle w:val="Compact"/>
              <w:jc w:val="left"/>
            </w:pPr>
            <w:r>
              <w:t xml:space="preserve">2011–2018</w:t>
            </w:r>
          </w:p>
        </w:tc>
        <w:tc>
          <w:tcPr/>
          <w:p>
            <w:pPr>
              <w:pStyle w:val="Compact"/>
              <w:jc w:val="left"/>
            </w:pPr>
            <w:r>
              <w:t xml:space="preserve">All pillars, LIBOR-OIS, SVXY</w:t>
            </w:r>
          </w:p>
        </w:tc>
      </w:tr>
      <w:tr>
        <w:tc>
          <w:tcPr/>
          <w:p>
            <w:pPr>
              <w:pStyle w:val="Compact"/>
              <w:jc w:val="left"/>
            </w:pPr>
            <w:r>
              <w:t xml:space="preserve">Fair</w:t>
            </w:r>
          </w:p>
        </w:tc>
        <w:tc>
          <w:tcPr/>
          <w:p>
            <w:pPr>
              <w:pStyle w:val="Compact"/>
              <w:jc w:val="left"/>
            </w:pPr>
            <w:r>
              <w:t xml:space="preserve">1990–2011</w:t>
            </w:r>
          </w:p>
        </w:tc>
        <w:tc>
          <w:tcPr/>
          <w:p>
            <w:pPr>
              <w:pStyle w:val="Compact"/>
              <w:jc w:val="left"/>
            </w:pPr>
            <w:r>
              <w:t xml:space="preserve">VIX available, Moody’s proxies for credit</w:t>
            </w:r>
          </w:p>
        </w:tc>
      </w:tr>
      <w:tr>
        <w:tc>
          <w:tcPr/>
          <w:p>
            <w:pPr>
              <w:pStyle w:val="Compact"/>
              <w:jc w:val="left"/>
            </w:pPr>
            <w:r>
              <w:t xml:space="preserve">Poor</w:t>
            </w:r>
          </w:p>
        </w:tc>
        <w:tc>
          <w:tcPr/>
          <w:p>
            <w:pPr>
              <w:pStyle w:val="Compact"/>
              <w:jc w:val="left"/>
            </w:pPr>
            <w:r>
              <w:t xml:space="preserve">1907–1990</w:t>
            </w:r>
          </w:p>
        </w:tc>
        <w:tc>
          <w:tcPr/>
          <w:p>
            <w:pPr>
              <w:pStyle w:val="Compact"/>
              <w:jc w:val="left"/>
            </w:pPr>
            <w:r>
              <w:t xml:space="preserve">Monthly NBER/Schwert, proxy chains</w:t>
            </w:r>
          </w:p>
        </w:tc>
      </w:tr>
    </w:tbl>
    <w:p>
      <w:pPr>
        <w:pStyle w:val="BodyText"/>
      </w:pPr>
      <w:r>
        <w:rPr>
          <w:bCs/>
          <w:b/>
        </w:rPr>
        <w:t xml:space="preserve">Pre-1971 caveats:</w:t>
      </w:r>
      <w:r>
        <w:t xml:space="preserve"> </w:t>
      </w:r>
      <w:r>
        <w:t xml:space="preserve">1. Monthly vs. weekly granularity (NBER and Schwert data are monthly, interpolated to weekly)</w:t>
      </w:r>
      <w:r>
        <w:t xml:space="preserve"> </w:t>
      </w:r>
      <w:r>
        <w:t xml:space="preserve">2. Proxy estimation error in railroad-to-corporate credit spread scaling</w:t>
      </w:r>
      <w:r>
        <w:t xml:space="preserve"> </w:t>
      </w:r>
      <w:r>
        <w:t xml:space="preserve">3. Structural regime differences (gold standard, no modern central banking)</w:t>
      </w:r>
      <w:r>
        <w:t xml:space="preserve"> </w:t>
      </w:r>
      <w:r>
        <w:t xml:space="preserve">4. Positioning data absence before 1918 (relies on default or margin debt proxy)</w:t>
      </w:r>
    </w:p>
    <w:p>
      <w:r>
        <w:pict>
          <v:rect style="width:0;height:1.5pt" o:hralign="center" o:hrstd="t" o:hr="t"/>
        </w:pict>
      </w:r>
    </w:p>
    <w:bookmarkEnd w:id="151"/>
    <w:bookmarkStart w:id="161" w:name="false-positive-analysis"/>
    <w:p>
      <w:pPr>
        <w:pStyle w:val="Heading3"/>
      </w:pPr>
      <w:r>
        <w:t xml:space="preserve">15.6 False Positive Analysis</w:t>
      </w:r>
    </w:p>
    <w:bookmarkStart w:id="152" w:name="motivation-4"/>
    <w:p>
      <w:pPr>
        <w:pStyle w:val="Heading4"/>
      </w:pPr>
      <w:r>
        <w:t xml:space="preserve">15.6.1 Motivation</w:t>
      </w:r>
    </w:p>
    <w:p>
      <w:pPr>
        <w:pStyle w:val="FirstParagraph"/>
      </w:pPr>
      <w:r>
        <w:t xml:space="preserve">The framework reports TPR = 75.6% (31/41 crises detected). But for institutional clients, the</w:t>
      </w:r>
      <w:r>
        <w:t xml:space="preserve"> </w:t>
      </w:r>
      <w:r>
        <w:rPr>
          <w:iCs/>
          <w:i/>
        </w:rPr>
        <w:t xml:space="preserve">false positive rate</w:t>
      </w:r>
      <w:r>
        <w:t xml:space="preserve"> </w:t>
      </w:r>
      <w:r>
        <w:t xml:space="preserve">— how often the framework signals stress when no crisis materialises — is arguably more consequential than the miss rate. A framework that cries wolf weekly will be ignored; a framework that cries wolf once a decade and is right 80% of the time will be trusted. The following analysis quantifies false positive behaviour with the same rigour applied to true positives.</w:t>
      </w:r>
    </w:p>
    <w:bookmarkEnd w:id="152"/>
    <w:bookmarkStart w:id="153" w:name="definitions"/>
    <w:p>
      <w:pPr>
        <w:pStyle w:val="Heading4"/>
      </w:pPr>
      <w:r>
        <w:t xml:space="preserve">15.6.2 Definitions</w:t>
      </w:r>
    </w:p>
    <w:p>
      <w:pPr>
        <w:pStyle w:val="FirstParagraph"/>
      </w:pPr>
      <w:r>
        <w:t xml:space="preserve">The framework produces a continuous MAC score weekly. To evaluate classification performance, we define:</w:t>
      </w:r>
    </w:p>
    <w:p>
      <w:pPr>
        <w:pStyle w:val="BodyText"/>
      </w:pPr>
      <w:r>
        <w:rPr>
          <w:bCs/>
          <w:b/>
        </w:rPr>
        <w:t xml:space="preserve">Signal (positive):</w:t>
      </w:r>
      <w:r>
        <w:t xml:space="preserve"> </w:t>
      </w:r>
      <w:r>
        <w:t xml:space="preserve">MAC falls below a threshold</w:t>
      </w:r>
      <w:r>
        <w:t xml:space="preserve"> </w:t>
      </w:r>
      <m:oMath>
        <m:r>
          <m:t>τ</m:t>
        </m:r>
      </m:oMath>
      <w:r>
        <w:t xml:space="preserve"> </w:t>
      </w:r>
      <w:r>
        <w:t xml:space="preserve">at any point during a given week, OR the momentum-enhanced status (§9) is DETERIORATING or worse.</w:t>
      </w:r>
    </w:p>
    <w:p>
      <w:pPr>
        <w:pStyle w:val="BodyText"/>
      </w:pPr>
      <w:r>
        <w:rPr>
          <w:bCs/>
          <w:b/>
        </w:rPr>
        <w:t xml:space="preserve">Crisis window (true condition positive):</w:t>
      </w:r>
      <w:r>
        <w:t xml:space="preserve"> </w:t>
      </w:r>
      <w:r>
        <w:t xml:space="preserve">The 12-week window centred on each of the 41 crisis event dates (±6 weeks). Any signal firing within this window is a</w:t>
      </w:r>
      <w:r>
        <w:t xml:space="preserve"> </w:t>
      </w:r>
      <w:r>
        <w:rPr>
          <w:bCs/>
          <w:b/>
        </w:rPr>
        <w:t xml:space="preserve">true positive</w:t>
      </w:r>
      <w:r>
        <w:t xml:space="preserve">. Multiple signals within the same window count as a single TP.</w:t>
      </w:r>
    </w:p>
    <w:p>
      <w:pPr>
        <w:pStyle w:val="BodyText"/>
      </w:pPr>
      <w:r>
        <w:rPr>
          <w:bCs/>
          <w:b/>
        </w:rPr>
        <w:t xml:space="preserve">Non-crisis period (true condition negative):</w:t>
      </w:r>
      <w:r>
        <w:t xml:space="preserve"> </w:t>
      </w:r>
      <w:r>
        <w:t xml:space="preserve">All weeks not falling within any crisis window. Signals during these weeks are</w:t>
      </w:r>
      <w:r>
        <w:t xml:space="preserve"> </w:t>
      </w:r>
      <w:r>
        <w:rPr>
          <w:bCs/>
          <w:b/>
        </w:rPr>
        <w:t xml:space="preserve">false positives</w:t>
      </w:r>
      <w:r>
        <w:t xml:space="preserve">.</w:t>
      </w:r>
    </w:p>
    <w:p>
      <w:pPr>
        <w:pStyle w:val="BodyText"/>
      </w:pPr>
      <w:r>
        <w:rPr>
          <w:bCs/>
          <w:b/>
        </w:rPr>
        <w:t xml:space="preserve">Lead time allowance:</w:t>
      </w:r>
      <w:r>
        <w:t xml:space="preserve"> </w:t>
      </w:r>
      <w:r>
        <w:t xml:space="preserve">A signal firing up to 8 weeks</w:t>
      </w:r>
      <w:r>
        <w:t xml:space="preserve"> </w:t>
      </w:r>
      <w:r>
        <w:rPr>
          <w:iCs/>
          <w:i/>
        </w:rPr>
        <w:t xml:space="preserve">before</w:t>
      </w:r>
      <w:r>
        <w:t xml:space="preserve"> </w:t>
      </w:r>
      <w:r>
        <w:t xml:space="preserve">a crisis event date is classified as a true positive (early warning), not a false positive. This reflects the framework’s design purpose: an early warning system should fire</w:t>
      </w:r>
      <w:r>
        <w:t xml:space="preserve"> </w:t>
      </w:r>
      <w:r>
        <w:rPr>
          <w:iCs/>
          <w:i/>
        </w:rPr>
        <w:t xml:space="preserve">before</w:t>
      </w:r>
      <w:r>
        <w:t xml:space="preserve"> </w:t>
      </w:r>
      <w:r>
        <w:t xml:space="preserve">the crisis, and penalising early signals would be perverse.</w:t>
      </w:r>
    </w:p>
    <w:p>
      <w:pPr>
        <w:pStyle w:val="BodyText"/>
      </w:pPr>
      <w:r>
        <w:rPr>
          <w:bCs/>
          <w:b/>
        </w:rPr>
        <w:t xml:space="preserve">Formal definitions:</w:t>
      </w:r>
    </w:p>
    <w:p>
      <w:pPr>
        <w:pStyle w:val="BodyText"/>
      </w:pPr>
      <m:oMathPara>
        <m:oMathParaPr>
          <m:jc m:val="center"/>
        </m:oMathParaPr>
        <m:oMath>
          <m:r>
            <m:rPr>
              <m:nor/>
              <m:sty m:val="p"/>
            </m:rPr>
            <m:t>TPR (Recall)</m:t>
          </m:r>
          <m:r>
            <m:rPr>
              <m:sty m:val="p"/>
            </m:rPr>
            <m:t>=</m:t>
          </m:r>
          <m:f>
            <m:fPr>
              <m:type m:val="bar"/>
            </m:fPr>
            <m:num>
              <m:r>
                <m:rPr>
                  <m:nor/>
                  <m:sty m:val="p"/>
                </m:rPr>
                <m:t>Crisis events with at least one signal in window</m:t>
              </m:r>
            </m:num>
            <m:den>
              <m:r>
                <m:rPr>
                  <m:nor/>
                  <m:sty m:val="p"/>
                </m:rPr>
                <m:t>Total crisis events</m:t>
              </m:r>
            </m:den>
          </m:f>
          <m:r>
            <m:rPr>
              <m:sty m:val="p"/>
            </m:rPr>
            <m:t>=</m:t>
          </m:r>
          <m:f>
            <m:fPr>
              <m:type m:val="bar"/>
            </m:fPr>
            <m:num>
              <m:r>
                <m:t>31</m:t>
              </m:r>
            </m:num>
            <m:den>
              <m:r>
                <m:t>41</m:t>
              </m:r>
            </m:den>
          </m:f>
          <m:r>
            <m:rPr>
              <m:sty m:val="p"/>
            </m:rPr>
            <m:t>=</m:t>
          </m:r>
          <m:r>
            <m:t>0.756</m:t>
          </m:r>
        </m:oMath>
      </m:oMathPara>
    </w:p>
    <w:p>
      <w:pPr>
        <w:pStyle w:val="FirstParagraph"/>
      </w:pPr>
      <m:oMathPara>
        <m:oMathParaPr>
          <m:jc m:val="center"/>
        </m:oMathParaPr>
        <m:oMath>
          <m:r>
            <m:rPr>
              <m:nor/>
              <m:sty m:val="p"/>
            </m:rPr>
            <m:t>FPR</m:t>
          </m:r>
          <m:r>
            <m:rPr>
              <m:sty m:val="p"/>
            </m:rPr>
            <m:t>=</m:t>
          </m:r>
          <m:f>
            <m:fPr>
              <m:type m:val="bar"/>
            </m:fPr>
            <m:num>
              <m:r>
                <m:rPr>
                  <m:nor/>
                  <m:sty m:val="p"/>
                </m:rPr>
                <m:t>Non-crisis weeks with signal</m:t>
              </m:r>
            </m:num>
            <m:den>
              <m:r>
                <m:rPr>
                  <m:nor/>
                  <m:sty m:val="p"/>
                </m:rPr>
                <m:t>Total non-crisis weeks</m:t>
              </m:r>
            </m:den>
          </m:f>
        </m:oMath>
      </m:oMathPara>
    </w:p>
    <w:p>
      <w:pPr>
        <w:pStyle w:val="FirstParagraph"/>
      </w:pPr>
      <m:oMathPara>
        <m:oMathParaPr>
          <m:jc m:val="center"/>
        </m:oMathParaPr>
        <m:oMath>
          <m:r>
            <m:rPr>
              <m:nor/>
              <m:sty m:val="p"/>
            </m:rPr>
            <m:t>Precision</m:t>
          </m:r>
          <m:r>
            <m:rPr>
              <m:sty m:val="p"/>
            </m:rPr>
            <m:t>=</m:t>
          </m:r>
          <m:f>
            <m:fPr>
              <m:type m:val="bar"/>
            </m:fPr>
            <m:num>
              <m:r>
                <m:rPr>
                  <m:nor/>
                  <m:sty m:val="p"/>
                </m:rPr>
                <m:t>Signals that fall within a crisis window</m:t>
              </m:r>
            </m:num>
            <m:den>
              <m:r>
                <m:rPr>
                  <m:nor/>
                  <m:sty m:val="p"/>
                </m:rPr>
                <m:t>Total signals fired</m:t>
              </m:r>
            </m:den>
          </m:f>
        </m:oMath>
      </m:oMathPara>
    </w:p>
    <w:p>
      <w:pPr>
        <w:pStyle w:val="FirstParagraph"/>
      </w:pPr>
      <m:oMathPara>
        <m:oMathParaPr>
          <m:jc m:val="center"/>
        </m:oMathParaPr>
        <m:oMath>
          <m:sSub>
            <m:e>
              <m:r>
                <m:t>F</m:t>
              </m:r>
            </m:e>
            <m:sub>
              <m:r>
                <m:t>1</m:t>
              </m:r>
            </m:sub>
          </m:sSub>
          <m:r>
            <m:rPr>
              <m:sty m:val="p"/>
            </m:rPr>
            <m:t>=</m:t>
          </m:r>
          <m:r>
            <m:t>2</m:t>
          </m:r>
          <m:r>
            <m:rPr>
              <m:sty m:val="p"/>
            </m:rPr>
            <m:t>⋅</m:t>
          </m:r>
          <m:f>
            <m:fPr>
              <m:type m:val="bar"/>
            </m:fPr>
            <m:num>
              <m:r>
                <m:rPr>
                  <m:nor/>
                  <m:sty m:val="p"/>
                </m:rPr>
                <m:t>Precision</m:t>
              </m:r>
              <m:r>
                <m:rPr>
                  <m:sty m:val="p"/>
                </m:rPr>
                <m:t>⋅</m:t>
              </m:r>
              <m:r>
                <m:rPr>
                  <m:nor/>
                  <m:sty m:val="p"/>
                </m:rPr>
                <m:t>Recall</m:t>
              </m:r>
            </m:num>
            <m:den>
              <m:r>
                <m:rPr>
                  <m:nor/>
                  <m:sty m:val="p"/>
                </m:rPr>
                <m:t>Precision</m:t>
              </m:r>
              <m:r>
                <m:rPr>
                  <m:sty m:val="p"/>
                </m:rPr>
                <m:t>+</m:t>
              </m:r>
              <m:r>
                <m:rPr>
                  <m:nor/>
                  <m:sty m:val="p"/>
                </m:rPr>
                <m:t>Recall</m:t>
              </m:r>
            </m:den>
          </m:f>
        </m:oMath>
      </m:oMathPara>
    </w:p>
    <w:bookmarkEnd w:id="153"/>
    <w:bookmarkStart w:id="154" w:name="base-rate-considerations"/>
    <w:p>
      <w:pPr>
        <w:pStyle w:val="Heading4"/>
      </w:pPr>
      <w:r>
        <w:t xml:space="preserve">15.6.3 Base Rate Considerations</w:t>
      </w:r>
    </w:p>
    <w:p>
      <w:pPr>
        <w:pStyle w:val="FirstParagraph"/>
      </w:pPr>
      <w:r>
        <w:t xml:space="preserve">The unconditional base rate of crisis matters enormously for interpreting precision. Over 6,158 weekly observations spanning 117 years, with 41 crisis events and 12-week windows, approximately 492 weeks fall within crisis windows (~8% of the sample). The remaining ~5,666 weeks are non-crisis. This severe class imbalance (92% negative) means that even a modest FPR generates a large number of false positives in absolute terms.</w:t>
      </w:r>
    </w:p>
    <w:p>
      <w:pPr>
        <w:pStyle w:val="BodyText"/>
      </w:pPr>
      <w:r>
        <w:t xml:space="preserve">For context: if the framework has a 5% FPR, it fires false signals in ~283 non-crisis weeks over 117 years, or roughly 2.4 per year on average. Whether this is acceptable depends entirely on the client’s loss function — a sovereign wealth fund with a multi-decade horizon can tolerate more false positives than a tactical hedge fund.</w:t>
      </w:r>
    </w:p>
    <w:bookmarkEnd w:id="154"/>
    <w:bookmarkStart w:id="155" w:name="fpr-calculation-by-era"/>
    <w:p>
      <w:pPr>
        <w:pStyle w:val="Heading4"/>
      </w:pPr>
      <w:r>
        <w:t xml:space="preserve">15.6.4 FPR Calculation by Era</w:t>
      </w:r>
    </w:p>
    <w:p>
      <w:pPr>
        <w:pStyle w:val="FirstParagraph"/>
      </w:pPr>
      <w:r>
        <w:t xml:space="preserve">The FPR is computed separately by era because the data quality and proxy-chain smoothing differences (§15.5) affect false positive behaviour:</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Era</w:t>
            </w:r>
          </w:p>
        </w:tc>
        <w:tc>
          <w:tcPr/>
          <w:p>
            <w:pPr>
              <w:pStyle w:val="Compact"/>
              <w:jc w:val="left"/>
            </w:pPr>
            <w:r>
              <w:t xml:space="preserve">Non-Crisis Weeks</w:t>
            </w:r>
          </w:p>
        </w:tc>
        <w:tc>
          <w:tcPr/>
          <w:p>
            <w:pPr>
              <w:pStyle w:val="Compact"/>
              <w:jc w:val="left"/>
            </w:pPr>
            <w:r>
              <w:t xml:space="preserve">False Signals</w:t>
            </w:r>
          </w:p>
        </w:tc>
        <w:tc>
          <w:tcPr/>
          <w:p>
            <w:pPr>
              <w:pStyle w:val="Compact"/>
              <w:jc w:val="left"/>
            </w:pPr>
            <w:r>
              <w:t xml:space="preserve">FPR</w:t>
            </w:r>
          </w:p>
        </w:tc>
        <w:tc>
          <w:tcPr/>
          <w:p>
            <w:pPr>
              <w:pStyle w:val="Compact"/>
              <w:jc w:val="left"/>
            </w:pPr>
            <w:r>
              <w:t xml:space="preserve">Notes</w:t>
            </w:r>
          </w:p>
        </w:tc>
      </w:tr>
      <w:tr>
        <w:tc>
          <w:tcPr/>
          <w:p>
            <w:pPr>
              <w:pStyle w:val="Compact"/>
              <w:jc w:val="left"/>
            </w:pPr>
            <w:r>
              <w:t xml:space="preserve">Pre-Fed (1907–1913)</w:t>
            </w:r>
          </w:p>
        </w:tc>
        <w:tc>
          <w:tcPr/>
          <w:p>
            <w:pPr>
              <w:pStyle w:val="Compact"/>
              <w:jc w:val="left"/>
            </w:pPr>
            <w:r>
              <w:t xml:space="preserve">~280</w:t>
            </w:r>
          </w:p>
        </w:tc>
        <w:tc>
          <w:tcPr/>
          <w:p>
            <w:pPr>
              <w:pStyle w:val="Compact"/>
              <w:jc w:val="left"/>
            </w:pPr>
            <w:r>
              <w:t xml:space="preserve">—</w:t>
            </w:r>
          </w:p>
        </w:tc>
        <w:tc>
          <w:tcPr/>
          <w:p>
            <w:pPr>
              <w:pStyle w:val="Compact"/>
              <w:jc w:val="left"/>
            </w:pPr>
            <w:r>
              <w:t xml:space="preserve">—</w:t>
            </w:r>
          </w:p>
        </w:tc>
        <w:tc>
          <w:tcPr/>
          <w:p>
            <w:pPr>
              <w:pStyle w:val="Compact"/>
              <w:jc w:val="left"/>
            </w:pPr>
            <w:r>
              <w:rPr>
                <w:iCs/>
                <w:i/>
              </w:rPr>
              <w:t xml:space="preserve">To be computed</w:t>
            </w:r>
          </w:p>
        </w:tc>
      </w:tr>
      <w:tr>
        <w:tc>
          <w:tcPr/>
          <w:p>
            <w:pPr>
              <w:pStyle w:val="Compact"/>
              <w:jc w:val="left"/>
            </w:pPr>
            <w:r>
              <w:t xml:space="preserve">Early Fed / WWI (1913–1919)</w:t>
            </w:r>
          </w:p>
        </w:tc>
        <w:tc>
          <w:tcPr/>
          <w:p>
            <w:pPr>
              <w:pStyle w:val="Compact"/>
              <w:jc w:val="left"/>
            </w:pPr>
            <w:r>
              <w:t xml:space="preserve">~270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Interwar / Depression (1920–1934)</w:t>
            </w:r>
          </w:p>
        </w:tc>
        <w:tc>
          <w:tcPr/>
          <w:p>
            <w:pPr>
              <w:pStyle w:val="Compact"/>
              <w:jc w:val="left"/>
            </w:pPr>
            <w:r>
              <w:t xml:space="preserve">~620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New Deal / WWII (1934–1954)</w:t>
            </w:r>
          </w:p>
        </w:tc>
        <w:tc>
          <w:tcPr/>
          <w:p>
            <w:pPr>
              <w:pStyle w:val="Compact"/>
              <w:jc w:val="left"/>
            </w:pPr>
            <w:r>
              <w:t xml:space="preserve">~920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Post-War / Bretton Woods (1954–1971)</w:t>
            </w:r>
          </w:p>
        </w:tc>
        <w:tc>
          <w:tcPr/>
          <w:p>
            <w:pPr>
              <w:pStyle w:val="Compact"/>
              <w:jc w:val="left"/>
            </w:pPr>
            <w:r>
              <w:t xml:space="preserve">~750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Post-Bretton Woods (1971–1990)</w:t>
            </w:r>
          </w:p>
        </w:tc>
        <w:tc>
          <w:tcPr/>
          <w:p>
            <w:pPr>
              <w:pStyle w:val="Compact"/>
              <w:jc w:val="left"/>
            </w:pPr>
            <w:r>
              <w:t xml:space="preserve">~870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t xml:space="preserve">Modern (1990–2025)</w:t>
            </w:r>
          </w:p>
        </w:tc>
        <w:tc>
          <w:tcPr/>
          <w:p>
            <w:pPr>
              <w:pStyle w:val="Compact"/>
              <w:jc w:val="left"/>
            </w:pPr>
            <w:r>
              <w:t xml:space="preserve">~1,500</w:t>
            </w:r>
          </w:p>
        </w:tc>
        <w:tc>
          <w:tcPr/>
          <w:p>
            <w:pPr>
              <w:pStyle w:val="Compact"/>
              <w:jc w:val="left"/>
            </w:pPr>
            <w:r>
              <w:t xml:space="preserve">—</w:t>
            </w:r>
          </w:p>
        </w:tc>
        <w:tc>
          <w:tcPr/>
          <w:p>
            <w:pPr>
              <w:pStyle w:val="Compact"/>
              <w:jc w:val="left"/>
            </w:pPr>
            <w:r>
              <w:t xml:space="preserve">—</w:t>
            </w:r>
          </w:p>
        </w:tc>
        <w:tc>
          <w:tcPr/>
          <w:p>
            <w:pPr>
              <w:pStyle w:val="Compact"/>
            </w:pPr>
          </w:p>
        </w:tc>
      </w:tr>
      <w:tr>
        <w:tc>
          <w:tcPr/>
          <w:p>
            <w:pPr>
              <w:pStyle w:val="Compact"/>
              <w:jc w:val="left"/>
            </w:pPr>
            <w:r>
              <w:rPr>
                <w:bCs/>
                <w:b/>
              </w:rPr>
              <w:t xml:space="preserve">Full sample</w:t>
            </w:r>
          </w:p>
        </w:tc>
        <w:tc>
          <w:tcPr/>
          <w:p>
            <w:pPr>
              <w:pStyle w:val="Compact"/>
              <w:jc w:val="left"/>
            </w:pPr>
            <w:r>
              <w:rPr>
                <w:bCs/>
                <w:b/>
              </w:rPr>
              <w:t xml:space="preserve">~5,666</w:t>
            </w:r>
          </w:p>
        </w:tc>
        <w:tc>
          <w:tcPr/>
          <w:p>
            <w:pPr>
              <w:pStyle w:val="Compact"/>
              <w:jc w:val="left"/>
            </w:pPr>
            <w:r>
              <w:rPr>
                <w:bCs/>
                <w:b/>
              </w:rPr>
              <w:t xml:space="preserve">—</w:t>
            </w:r>
          </w:p>
        </w:tc>
        <w:tc>
          <w:tcPr/>
          <w:p>
            <w:pPr>
              <w:pStyle w:val="Compact"/>
              <w:jc w:val="left"/>
            </w:pPr>
            <w:r>
              <w:rPr>
                <w:bCs/>
                <w:b/>
              </w:rPr>
              <w:t xml:space="preserve">—</w:t>
            </w:r>
          </w:p>
        </w:tc>
        <w:tc>
          <w:tcPr/>
          <w:p>
            <w:pPr>
              <w:pStyle w:val="Compact"/>
            </w:pPr>
          </w:p>
        </w:tc>
      </w:tr>
    </w:tbl>
    <w:p>
      <w:pPr>
        <w:pStyle w:val="BodyText"/>
      </w:pPr>
      <w:r>
        <w:rPr>
          <w:iCs/>
          <w:i/>
        </w:rPr>
        <w:t xml:space="preserve">[To be populated from backtest output. The template is provided so that running the backtest immediately produces the required statistics.]</w:t>
      </w:r>
    </w:p>
    <w:p>
      <w:pPr>
        <w:pStyle w:val="BodyText"/>
      </w:pPr>
      <w:r>
        <w:rPr>
          <w:bCs/>
          <w:b/>
        </w:rPr>
        <w:t xml:space="preserve">Expected pattern:</w:t>
      </w:r>
      <w:r>
        <w:t xml:space="preserve"> </w:t>
      </w:r>
      <w:r>
        <w:t xml:space="preserve">FPR is likely</w:t>
      </w:r>
      <w:r>
        <w:t xml:space="preserve"> </w:t>
      </w:r>
      <w:r>
        <w:rPr>
          <w:iCs/>
          <w:i/>
        </w:rPr>
        <w:t xml:space="preserve">higher</w:t>
      </w:r>
      <w:r>
        <w:t xml:space="preserve"> </w:t>
      </w:r>
      <w:r>
        <w:t xml:space="preserve">in pre-1971 eras due to proxy-chain smoothing. Monthly Schwert and NBER data interpolated to weekly frequency produces slow-moving pillar scores that can linger below thresholds for extended periods, generating persistent false signals during structurally wide-spread regimes. The era-aware calibration factor (§13.7) mitigates this but may not fully eliminate it.</w:t>
      </w:r>
    </w:p>
    <w:bookmarkEnd w:id="155"/>
    <w:bookmarkStart w:id="156" w:name="precision-recall-framework"/>
    <w:p>
      <w:pPr>
        <w:pStyle w:val="Heading4"/>
      </w:pPr>
      <w:r>
        <w:t xml:space="preserve">15.6.5 Precision-Recall Framework</w:t>
      </w:r>
    </w:p>
    <w:p>
      <w:pPr>
        <w:pStyle w:val="FirstParagraph"/>
      </w:pPr>
      <w:r>
        <w:t xml:space="preserve">Rather than reporting a single FPR at the default threshold, the framework computes the full precision-recall curve by sweeping the MAC threshold</w:t>
      </w:r>
      <w:r>
        <w:t xml:space="preserve"> </w:t>
      </w:r>
      <m:oMath>
        <m:r>
          <m:t>τ</m:t>
        </m:r>
      </m:oMath>
      <w:r>
        <w:t xml:space="preserve"> </w:t>
      </w:r>
      <w:r>
        <w:t xml:space="preserve">from 0.10 to 0.80 in steps of 0.01. At each threshold:</w:t>
      </w:r>
    </w:p>
    <w:p>
      <w:pPr>
        <w:numPr>
          <w:ilvl w:val="0"/>
          <w:numId w:val="1013"/>
        </w:numPr>
        <w:pStyle w:val="Compact"/>
      </w:pPr>
      <w:r>
        <w:t xml:space="preserve">Count signals: weeks where MAC &lt;</w:t>
      </w:r>
      <w:r>
        <w:t xml:space="preserve"> </w:t>
      </w:r>
      <m:oMath>
        <m:r>
          <m:t>τ</m:t>
        </m:r>
      </m:oMath>
      <w:r>
        <w:t xml:space="preserve"> </w:t>
      </w:r>
      <w:r>
        <w:t xml:space="preserve">(or momentum conditions met at that</w:t>
      </w:r>
      <w:r>
        <w:t xml:space="preserve"> </w:t>
      </w:r>
      <m:oMath>
        <m:r>
          <m:t>τ</m:t>
        </m:r>
      </m:oMath>
      <w:r>
        <w:t xml:space="preserve">-adjusted level)</w:t>
      </w:r>
    </w:p>
    <w:p>
      <w:pPr>
        <w:numPr>
          <w:ilvl w:val="0"/>
          <w:numId w:val="1013"/>
        </w:numPr>
        <w:pStyle w:val="Compact"/>
      </w:pPr>
      <w:r>
        <w:t xml:space="preserve">Classify each signal as TP (within crisis window) or FP (outside all crisis windows)</w:t>
      </w:r>
    </w:p>
    <w:p>
      <w:pPr>
        <w:numPr>
          <w:ilvl w:val="0"/>
          <w:numId w:val="1013"/>
        </w:numPr>
        <w:pStyle w:val="Compact"/>
      </w:pPr>
      <w:r>
        <w:t xml:space="preserve">Count misses: crisis events with no signal in their window</w:t>
      </w:r>
    </w:p>
    <w:p>
      <w:pPr>
        <w:numPr>
          <w:ilvl w:val="0"/>
          <w:numId w:val="1013"/>
        </w:numPr>
        <w:pStyle w:val="Compact"/>
      </w:pPr>
      <w:r>
        <w:t xml:space="preserve">Compute precision, recall, and</w:t>
      </w:r>
      <w:r>
        <w:t xml:space="preserve"> </w:t>
      </w:r>
      <m:oMath>
        <m:sSub>
          <m:e>
            <m:r>
              <m:t>F</m:t>
            </m:r>
          </m:e>
          <m:sub>
            <m:r>
              <m:t>β</m:t>
            </m:r>
          </m:sub>
        </m:sSub>
      </m:oMath>
      <w:r>
        <w:t xml:space="preserve"> </w:t>
      </w:r>
      <w:r>
        <w:t xml:space="preserve">at that threshold</w:t>
      </w:r>
    </w:p>
    <w:p>
      <w:pPr>
        <w:pStyle w:val="FirstParagraph"/>
      </w:pPr>
      <m:oMathPara>
        <m:oMathParaPr>
          <m:jc m:val="center"/>
        </m:oMathParaPr>
        <m:oMath>
          <m:r>
            <m:rPr>
              <m:nor/>
              <m:sty m:val="p"/>
            </m:rPr>
            <m:t>Precision</m:t>
          </m:r>
          <m:d>
            <m:dPr>
              <m:begChr m:val="("/>
              <m:endChr m:val=")"/>
              <m:sepChr m:val=""/>
              <m:grow/>
            </m:dPr>
            <m:e>
              <m:r>
                <m:t>τ</m:t>
              </m:r>
            </m:e>
          </m:d>
          <m:r>
            <m:rPr>
              <m:sty m:val="p"/>
            </m:rPr>
            <m:t>=</m:t>
          </m:r>
          <m:f>
            <m:fPr>
              <m:type m:val="bar"/>
            </m:fPr>
            <m:num>
              <m:r>
                <m:rPr>
                  <m:nor/>
                  <m:sty m:val="p"/>
                </m:rPr>
                <m:t>TP</m:t>
              </m:r>
              <m:d>
                <m:dPr>
                  <m:begChr m:val="("/>
                  <m:endChr m:val=")"/>
                  <m:sepChr m:val=""/>
                  <m:grow/>
                </m:dPr>
                <m:e>
                  <m:r>
                    <m:t>τ</m:t>
                  </m:r>
                </m:e>
              </m:d>
            </m:num>
            <m:den>
              <m:r>
                <m:rPr>
                  <m:nor/>
                  <m:sty m:val="p"/>
                </m:rPr>
                <m:t>TP</m:t>
              </m:r>
              <m:d>
                <m:dPr>
                  <m:begChr m:val="("/>
                  <m:endChr m:val=")"/>
                  <m:sepChr m:val=""/>
                  <m:grow/>
                </m:dPr>
                <m:e>
                  <m:r>
                    <m:t>τ</m:t>
                  </m:r>
                </m:e>
              </m:d>
              <m:r>
                <m:rPr>
                  <m:sty m:val="p"/>
                </m:rPr>
                <m:t>+</m:t>
              </m:r>
              <m:r>
                <m:rPr>
                  <m:nor/>
                  <m:sty m:val="p"/>
                </m:rPr>
                <m:t>FP</m:t>
              </m:r>
              <m:d>
                <m:dPr>
                  <m:begChr m:val="("/>
                  <m:endChr m:val=")"/>
                  <m:sepChr m:val=""/>
                  <m:grow/>
                </m:dPr>
                <m:e>
                  <m:r>
                    <m:t>τ</m:t>
                  </m:r>
                </m:e>
              </m:d>
            </m:den>
          </m:f>
        </m:oMath>
      </m:oMathPara>
    </w:p>
    <w:p>
      <w:pPr>
        <w:pStyle w:val="FirstParagraph"/>
      </w:pPr>
      <m:oMathPara>
        <m:oMathParaPr>
          <m:jc m:val="center"/>
        </m:oMathParaPr>
        <m:oMath>
          <m:r>
            <m:rPr>
              <m:nor/>
              <m:sty m:val="p"/>
            </m:rPr>
            <m:t>Recall</m:t>
          </m:r>
          <m:d>
            <m:dPr>
              <m:begChr m:val="("/>
              <m:endChr m:val=")"/>
              <m:sepChr m:val=""/>
              <m:grow/>
            </m:dPr>
            <m:e>
              <m:r>
                <m:t>τ</m:t>
              </m:r>
            </m:e>
          </m:d>
          <m:r>
            <m:rPr>
              <m:sty m:val="p"/>
            </m:rPr>
            <m:t>=</m:t>
          </m:r>
          <m:f>
            <m:fPr>
              <m:type m:val="bar"/>
            </m:fPr>
            <m:num>
              <m:r>
                <m:rPr>
                  <m:nor/>
                  <m:sty m:val="p"/>
                </m:rPr>
                <m:t>TP</m:t>
              </m:r>
              <m:d>
                <m:dPr>
                  <m:begChr m:val="("/>
                  <m:endChr m:val=")"/>
                  <m:sepChr m:val=""/>
                  <m:grow/>
                </m:dPr>
                <m:e>
                  <m:r>
                    <m:t>τ</m:t>
                  </m:r>
                </m:e>
              </m:d>
            </m:num>
            <m:den>
              <m:r>
                <m:rPr>
                  <m:nor/>
                  <m:sty m:val="p"/>
                </m:rPr>
                <m:t>Total crises</m:t>
              </m:r>
            </m:den>
          </m:f>
          <m:r>
            <m:rPr>
              <m:sty m:val="p"/>
            </m:rPr>
            <m:t>=</m:t>
          </m:r>
          <m:f>
            <m:fPr>
              <m:type m:val="bar"/>
            </m:fPr>
            <m:num>
              <m:r>
                <m:rPr>
                  <m:nor/>
                  <m:sty m:val="p"/>
                </m:rPr>
                <m:t>TP</m:t>
              </m:r>
              <m:d>
                <m:dPr>
                  <m:begChr m:val="("/>
                  <m:endChr m:val=")"/>
                  <m:sepChr m:val=""/>
                  <m:grow/>
                </m:dPr>
                <m:e>
                  <m:r>
                    <m:t>τ</m:t>
                  </m:r>
                </m:e>
              </m:d>
            </m:num>
            <m:den>
              <m:r>
                <m:t>41</m:t>
              </m:r>
            </m:den>
          </m:f>
        </m:oMath>
      </m:oMathPara>
    </w:p>
    <w:p>
      <w:pPr>
        <w:pStyle w:val="FirstParagraph"/>
      </w:pPr>
      <w:r>
        <w:t xml:space="preserve">The precision-recall curve traces the tradeoff as</w:t>
      </w:r>
      <w:r>
        <w:t xml:space="preserve"> </w:t>
      </w:r>
      <m:oMath>
        <m:r>
          <m:t>τ</m:t>
        </m:r>
      </m:oMath>
      <w:r>
        <w:t xml:space="preserve"> </w:t>
      </w:r>
      <w:r>
        <w:t xml:space="preserve">varies:</w:t>
      </w:r>
    </w:p>
    <w:p>
      <w:pPr>
        <w:numPr>
          <w:ilvl w:val="0"/>
          <w:numId w:val="1014"/>
        </w:numPr>
        <w:pStyle w:val="Compact"/>
      </w:pPr>
      <w:r>
        <w:rPr>
          <w:bCs/>
          <w:b/>
        </w:rPr>
        <w:t xml:space="preserve">Low</w:t>
      </w:r>
      <w:r>
        <w:rPr>
          <w:bCs/>
          <w:b/>
        </w:rPr>
        <w:t xml:space="preserve"> </w:t>
      </w:r>
      <m:oMath>
        <m:r>
          <m:t>τ</m:t>
        </m:r>
      </m:oMath>
      <w:r>
        <w:rPr>
          <w:bCs/>
          <w:b/>
        </w:rPr>
        <w:t xml:space="preserve"> </w:t>
      </w:r>
      <w:r>
        <w:rPr>
          <w:bCs/>
          <w:b/>
        </w:rPr>
        <w:t xml:space="preserve">(e.g., 0.25):</w:t>
      </w:r>
      <w:r>
        <w:t xml:space="preserve"> </w:t>
      </w:r>
      <w:r>
        <w:t xml:space="preserve">Very few signals fire → high precision (almost every signal is a real crisis) but low recall (many crises missed because only the most extreme breach the threshold)</w:t>
      </w:r>
    </w:p>
    <w:p>
      <w:pPr>
        <w:numPr>
          <w:ilvl w:val="0"/>
          <w:numId w:val="1014"/>
        </w:numPr>
        <w:pStyle w:val="Compact"/>
      </w:pPr>
      <w:r>
        <w:rPr>
          <w:bCs/>
          <w:b/>
        </w:rPr>
        <w:t xml:space="preserve">High</w:t>
      </w:r>
      <w:r>
        <w:rPr>
          <w:bCs/>
          <w:b/>
        </w:rPr>
        <w:t xml:space="preserve"> </w:t>
      </w:r>
      <m:oMath>
        <m:r>
          <m:t>τ</m:t>
        </m:r>
      </m:oMath>
      <w:r>
        <w:rPr>
          <w:bCs/>
          <w:b/>
        </w:rPr>
        <w:t xml:space="preserve"> </w:t>
      </w:r>
      <w:r>
        <w:rPr>
          <w:bCs/>
          <w:b/>
        </w:rPr>
        <w:t xml:space="preserve">(e.g., 0.70):</w:t>
      </w:r>
      <w:r>
        <w:t xml:space="preserve"> </w:t>
      </w:r>
      <w:r>
        <w:t xml:space="preserve">Many signals fire → high recall (almost every crisis is caught) but low precision (many false positives during non-crisis stress that doesn’t materialise into a full crisis)</w:t>
      </w:r>
    </w:p>
    <w:bookmarkEnd w:id="156"/>
    <w:bookmarkStart w:id="157" w:name="X44c909913953bf4a83618c12c821b558312eaf3"/>
    <w:p>
      <w:pPr>
        <w:pStyle w:val="Heading4"/>
      </w:pPr>
      <w:r>
        <w:t xml:space="preserve">15.6.6 The</w:t>
      </w:r>
      <w:r>
        <w:t xml:space="preserve"> </w:t>
      </w:r>
      <m:oMath>
        <m:sSub>
          <m:e>
            <m:r>
              <m:t>F</m:t>
            </m:r>
          </m:e>
          <m:sub>
            <m:r>
              <m:t>β</m:t>
            </m:r>
          </m:sub>
        </m:sSub>
      </m:oMath>
      <w:r>
        <w:t xml:space="preserve"> </w:t>
      </w:r>
      <w:r>
        <w:t xml:space="preserve">Objective and Client-Specific Tuning</w:t>
      </w:r>
    </w:p>
    <w:p>
      <w:pPr>
        <w:pStyle w:val="FirstParagraph"/>
      </w:pPr>
      <w:r>
        <w:t xml:space="preserve">Different clients have different loss functions. The</w:t>
      </w:r>
      <w:r>
        <w:t xml:space="preserve"> </w:t>
      </w:r>
      <m:oMath>
        <m:sSub>
          <m:e>
            <m:r>
              <m:t>F</m:t>
            </m:r>
          </m:e>
          <m:sub>
            <m:r>
              <m:t>β</m:t>
            </m:r>
          </m:sub>
        </m:sSub>
      </m:oMath>
      <w:r>
        <w:t xml:space="preserve"> </w:t>
      </w:r>
      <w:r>
        <w:t xml:space="preserve">score generalises</w:t>
      </w:r>
      <w:r>
        <w:t xml:space="preserve"> </w:t>
      </w:r>
      <m:oMath>
        <m:sSub>
          <m:e>
            <m:r>
              <m:t>F</m:t>
            </m:r>
          </m:e>
          <m:sub>
            <m:r>
              <m:t>1</m:t>
            </m:r>
          </m:sub>
        </m:sSub>
      </m:oMath>
      <w:r>
        <w:t xml:space="preserve"> </w:t>
      </w:r>
      <w:r>
        <w:t xml:space="preserve">by weighting recall versus precision:</w:t>
      </w:r>
    </w:p>
    <w:p>
      <w:pPr>
        <w:pStyle w:val="BodyText"/>
      </w:pPr>
      <m:oMathPara>
        <m:oMathParaPr>
          <m:jc m:val="center"/>
        </m:oMathParaPr>
        <m:oMath>
          <m:sSub>
            <m:e>
              <m:r>
                <m:t>F</m:t>
              </m:r>
            </m:e>
            <m:sub>
              <m:r>
                <m:t>β</m:t>
              </m:r>
            </m:sub>
          </m:sSub>
          <m:r>
            <m:rPr>
              <m:sty m:val="p"/>
            </m:rPr>
            <m:t>=</m:t>
          </m:r>
          <m:d>
            <m:dPr>
              <m:begChr m:val="("/>
              <m:endChr m:val=")"/>
              <m:sepChr m:val=""/>
              <m:grow/>
            </m:dPr>
            <m:e>
              <m:r>
                <m:t>1</m:t>
              </m:r>
              <m:r>
                <m:rPr>
                  <m:sty m:val="p"/>
                </m:rPr>
                <m:t>+</m:t>
              </m:r>
              <m:sSup>
                <m:e>
                  <m:r>
                    <m:t>β</m:t>
                  </m:r>
                </m:e>
                <m:sup>
                  <m:r>
                    <m:t>2</m:t>
                  </m:r>
                </m:sup>
              </m:sSup>
            </m:e>
          </m:d>
          <m:r>
            <m:rPr>
              <m:sty m:val="p"/>
            </m:rPr>
            <m:t>⋅</m:t>
          </m:r>
          <m:f>
            <m:fPr>
              <m:type m:val="bar"/>
            </m:fPr>
            <m:num>
              <m:r>
                <m:rPr>
                  <m:nor/>
                  <m:sty m:val="p"/>
                </m:rPr>
                <m:t>Precision</m:t>
              </m:r>
              <m:r>
                <m:rPr>
                  <m:sty m:val="p"/>
                </m:rPr>
                <m:t>⋅</m:t>
              </m:r>
              <m:r>
                <m:rPr>
                  <m:nor/>
                  <m:sty m:val="p"/>
                </m:rPr>
                <m:t>Recall</m:t>
              </m:r>
            </m:num>
            <m:den>
              <m:sSup>
                <m:e>
                  <m:r>
                    <m:t>β</m:t>
                  </m:r>
                </m:e>
                <m:sup>
                  <m:r>
                    <m:t>2</m:t>
                  </m:r>
                </m:sup>
              </m:sSup>
              <m:r>
                <m:rPr>
                  <m:sty m:val="p"/>
                </m:rPr>
                <m:t>⋅</m:t>
              </m:r>
              <m:r>
                <m:rPr>
                  <m:nor/>
                  <m:sty m:val="p"/>
                </m:rPr>
                <m:t>Precision</m:t>
              </m:r>
              <m:r>
                <m:rPr>
                  <m:sty m:val="p"/>
                </m:rPr>
                <m:t>+</m:t>
              </m:r>
              <m:r>
                <m:rPr>
                  <m:nor/>
                  <m:sty m:val="p"/>
                </m:rPr>
                <m:t>Recall</m:t>
              </m:r>
            </m:den>
          </m:f>
        </m:oMath>
      </m:oMathPara>
    </w:p>
    <w:p>
      <w:pPr>
        <w:pStyle w:val="FirstParagraph"/>
      </w:pPr>
      <w:r>
        <w:t xml:space="preserve">where</w:t>
      </w:r>
      <w:r>
        <w:t xml:space="preserve"> </w:t>
      </w:r>
      <m:oMath>
        <m:r>
          <m:t>β</m:t>
        </m:r>
        <m:r>
          <m:rPr>
            <m:sty m:val="p"/>
          </m:rPr>
          <m:t>&gt;</m:t>
        </m:r>
        <m:r>
          <m:t>1</m:t>
        </m:r>
      </m:oMath>
      <w:r>
        <w:t xml:space="preserve"> </w:t>
      </w:r>
      <w:r>
        <w:t xml:space="preserve">penalises false negatives (missed crises) more than false positives, and</w:t>
      </w:r>
      <w:r>
        <w:t xml:space="preserve"> </w:t>
      </w:r>
      <m:oMath>
        <m:r>
          <m:t>β</m:t>
        </m:r>
        <m:r>
          <m:rPr>
            <m:sty m:val="p"/>
          </m:rPr>
          <m:t>&lt;</m:t>
        </m:r>
        <m:r>
          <m:t>1</m:t>
        </m:r>
      </m:oMath>
      <w:r>
        <w:t xml:space="preserve"> </w:t>
      </w:r>
      <w:r>
        <w:t xml:space="preserve">does the opposite.</w:t>
      </w:r>
    </w:p>
    <w:p>
      <w:pPr>
        <w:pStyle w:val="BodyText"/>
      </w:pPr>
      <w:r>
        <w:rPr>
          <w:bCs/>
          <w:b/>
        </w:rPr>
        <w:t xml:space="preserve">Client archetype mapping:</w:t>
      </w:r>
    </w:p>
    <w:tbl>
      <w:tblPr>
        <w:tblStyle w:val="Table"/>
        <w:tblW w:type="pct" w:w="5000"/>
        <w:tblLook w:firstRow="1" w:lastRow="0" w:firstColumn="0" w:lastColumn="0" w:noHBand="0" w:noVBand="0" w:val="0020"/>
        <w:jc w:val="start"/>
      </w:tblPr>
      <w:tblGrid>
        <w:gridCol w:w="1760"/>
        <w:gridCol w:w="1320"/>
        <w:gridCol w:w="1613"/>
        <w:gridCol w:w="3226"/>
      </w:tblGrid>
      <w:tr>
        <w:trPr>
          <w:tblHeader w:val="true"/>
        </w:trPr>
        <w:tc>
          <w:tcPr/>
          <w:p>
            <w:pPr>
              <w:pStyle w:val="Compact"/>
              <w:jc w:val="left"/>
            </w:pPr>
            <w:r>
              <w:t xml:space="preserve">Client Type</w:t>
            </w:r>
          </w:p>
        </w:tc>
        <w:tc>
          <w:tcPr/>
          <w:p>
            <w:pPr>
              <w:pStyle w:val="Compact"/>
              <w:jc w:val="left"/>
            </w:pPr>
            <m:oMath>
              <m:r>
                <m:t>β</m:t>
              </m:r>
            </m:oMath>
          </w:p>
        </w:tc>
        <w:tc>
          <w:tcPr/>
          <w:p>
            <w:pPr>
              <w:pStyle w:val="Compact"/>
              <w:jc w:val="left"/>
            </w:pPr>
            <w:r>
              <w:t xml:space="preserve">Rationale</w:t>
            </w:r>
          </w:p>
        </w:tc>
        <w:tc>
          <w:tcPr/>
          <w:p>
            <w:pPr>
              <w:pStyle w:val="Compact"/>
              <w:jc w:val="left"/>
            </w:pPr>
            <w:r>
              <w:t xml:space="preserve">Optimal</w:t>
            </w:r>
            <w:r>
              <w:t xml:space="preserve"> </w:t>
            </w:r>
            <m:oMath>
              <m:r>
                <m:t>τ</m:t>
              </m:r>
            </m:oMath>
            <w:r>
              <w:t xml:space="preserve"> </w:t>
            </w:r>
            <w:r>
              <w:t xml:space="preserve">Region</w:t>
            </w:r>
          </w:p>
        </w:tc>
      </w:tr>
      <w:tr>
        <w:tc>
          <w:tcPr/>
          <w:p>
            <w:pPr>
              <w:pStyle w:val="Compact"/>
              <w:jc w:val="left"/>
            </w:pPr>
            <w:r>
              <w:rPr>
                <w:bCs/>
                <w:b/>
              </w:rPr>
              <w:t xml:space="preserve">Sovereign wealth fund</w:t>
            </w:r>
            <w:r>
              <w:t xml:space="preserve"> </w:t>
            </w:r>
            <w:r>
              <w:t xml:space="preserve">(multi-decade horizon, low turnover, career risk from missing a crisis)</w:t>
            </w:r>
          </w:p>
        </w:tc>
        <w:tc>
          <w:tcPr/>
          <w:p>
            <w:pPr>
              <w:pStyle w:val="Compact"/>
              <w:jc w:val="left"/>
            </w:pPr>
            <w:r>
              <w:t xml:space="preserve">2.0</w:t>
            </w:r>
          </w:p>
        </w:tc>
        <w:tc>
          <w:tcPr/>
          <w:p>
            <w:pPr>
              <w:pStyle w:val="Compact"/>
              <w:jc w:val="left"/>
            </w:pPr>
            <w:r>
              <w:t xml:space="preserve">Missing a major crisis is catastrophic; false positives are tolerable (they just prompt a portfolio review, not a costly trade)</w:t>
            </w:r>
          </w:p>
        </w:tc>
        <w:tc>
          <w:tcPr/>
          <w:p>
            <w:pPr>
              <w:pStyle w:val="Compact"/>
              <w:jc w:val="left"/>
            </w:pPr>
            <w:r>
              <w:t xml:space="preserve">Higher</w:t>
            </w:r>
            <w:r>
              <w:t xml:space="preserve"> </w:t>
            </w:r>
            <m:oMath>
              <m:r>
                <m:t>τ</m:t>
              </m:r>
            </m:oMath>
            <w:r>
              <w:t xml:space="preserve"> </w:t>
            </w:r>
            <w:r>
              <w:t xml:space="preserve">(more signals, fewer misses)</w:t>
            </w:r>
          </w:p>
        </w:tc>
      </w:tr>
      <w:tr>
        <w:tc>
          <w:tcPr/>
          <w:p>
            <w:pPr>
              <w:pStyle w:val="Compact"/>
              <w:jc w:val="left"/>
            </w:pPr>
            <w:r>
              <w:rPr>
                <w:bCs/>
                <w:b/>
              </w:rPr>
              <w:t xml:space="preserve">Central bank</w:t>
            </w:r>
            <w:r>
              <w:t xml:space="preserve"> </w:t>
            </w:r>
            <w:r>
              <w:t xml:space="preserve">(financial stability mandate, reputational risk both ways)</w:t>
            </w:r>
          </w:p>
        </w:tc>
        <w:tc>
          <w:tcPr/>
          <w:p>
            <w:pPr>
              <w:pStyle w:val="Compact"/>
              <w:jc w:val="left"/>
            </w:pPr>
            <w:r>
              <w:t xml:space="preserve">1.0</w:t>
            </w:r>
          </w:p>
        </w:tc>
        <w:tc>
          <w:tcPr/>
          <w:p>
            <w:pPr>
              <w:pStyle w:val="Compact"/>
              <w:jc w:val="left"/>
            </w:pPr>
            <w:r>
              <w:t xml:space="preserve">Balanced — both false alarms and missed crises are costly</w:t>
            </w:r>
          </w:p>
        </w:tc>
        <w:tc>
          <w:tcPr/>
          <w:p>
            <w:pPr>
              <w:pStyle w:val="Compact"/>
              <w:jc w:val="left"/>
            </w:pPr>
            <w:r>
              <w:t xml:space="preserve">Medium</w:t>
            </w:r>
            <w:r>
              <w:t xml:space="preserve"> </w:t>
            </w:r>
            <m:oMath>
              <m:r>
                <m:t>τ</m:t>
              </m:r>
            </m:oMath>
          </w:p>
        </w:tc>
      </w:tr>
      <w:tr>
        <w:tc>
          <w:tcPr/>
          <w:p>
            <w:pPr>
              <w:pStyle w:val="Compact"/>
              <w:jc w:val="left"/>
            </w:pPr>
            <w:r>
              <w:rPr>
                <w:bCs/>
                <w:b/>
              </w:rPr>
              <w:t xml:space="preserve">Macro hedge fund</w:t>
            </w:r>
            <w:r>
              <w:t xml:space="preserve"> </w:t>
            </w:r>
            <w:r>
              <w:t xml:space="preserve">(high turnover, P&amp;L impact of false signals, can recover from misses)</w:t>
            </w:r>
          </w:p>
        </w:tc>
        <w:tc>
          <w:tcPr/>
          <w:p>
            <w:pPr>
              <w:pStyle w:val="Compact"/>
              <w:jc w:val="left"/>
            </w:pPr>
            <w:r>
              <w:t xml:space="preserve">0.5</w:t>
            </w:r>
          </w:p>
        </w:tc>
        <w:tc>
          <w:tcPr/>
          <w:p>
            <w:pPr>
              <w:pStyle w:val="Compact"/>
              <w:jc w:val="left"/>
            </w:pPr>
            <w:r>
              <w:t xml:space="preserve">False positives directly cost money (unnecessary hedges, missed carry); missed crises are painful but survivable with stops</w:t>
            </w:r>
          </w:p>
        </w:tc>
        <w:tc>
          <w:tcPr/>
          <w:p>
            <w:pPr>
              <w:pStyle w:val="Compact"/>
              <w:jc w:val="left"/>
            </w:pPr>
            <w:r>
              <w:t xml:space="preserve">Lower</w:t>
            </w:r>
            <w:r>
              <w:t xml:space="preserve"> </w:t>
            </w:r>
            <m:oMath>
              <m:r>
                <m:t>τ</m:t>
              </m:r>
            </m:oMath>
            <w:r>
              <w:t xml:space="preserve"> </w:t>
            </w:r>
            <w:r>
              <w:t xml:space="preserve">(fewer signals, higher precision)</w:t>
            </w:r>
          </w:p>
        </w:tc>
      </w:tr>
      <w:tr>
        <w:tc>
          <w:tcPr/>
          <w:p>
            <w:pPr>
              <w:pStyle w:val="Compact"/>
              <w:jc w:val="left"/>
            </w:pPr>
            <w:r>
              <w:rPr>
                <w:bCs/>
                <w:b/>
              </w:rPr>
              <w:t xml:space="preserve">Insurance / pension</w:t>
            </w:r>
            <w:r>
              <w:t xml:space="preserve"> </w:t>
            </w:r>
            <w:r>
              <w:t xml:space="preserve">(long duration, regulatory capital, Solvency II / risk budget constraints)</w:t>
            </w:r>
          </w:p>
        </w:tc>
        <w:tc>
          <w:tcPr/>
          <w:p>
            <w:pPr>
              <w:pStyle w:val="Compact"/>
              <w:jc w:val="left"/>
            </w:pPr>
            <w:r>
              <w:t xml:space="preserve">1.5</w:t>
            </w:r>
          </w:p>
        </w:tc>
        <w:tc>
          <w:tcPr/>
          <w:p>
            <w:pPr>
              <w:pStyle w:val="Compact"/>
              <w:jc w:val="left"/>
            </w:pPr>
            <w:r>
              <w:t xml:space="preserve">Regulatory penalties for inadequate risk management outweigh hedge costs</w:t>
            </w:r>
          </w:p>
        </w:tc>
        <w:tc>
          <w:tcPr/>
          <w:p>
            <w:pPr>
              <w:pStyle w:val="Compact"/>
              <w:jc w:val="left"/>
            </w:pPr>
            <w:r>
              <w:t xml:space="preserve">Medium-high</w:t>
            </w:r>
            <w:r>
              <w:t xml:space="preserve"> </w:t>
            </w:r>
            <m:oMath>
              <m:r>
                <m:t>τ</m:t>
              </m:r>
            </m:oMath>
          </w:p>
        </w:tc>
      </w:tr>
    </w:tbl>
    <w:p>
      <w:pPr>
        <w:pStyle w:val="BodyText"/>
      </w:pPr>
      <w:r>
        <w:t xml:space="preserve">For each</w:t>
      </w:r>
      <w:r>
        <w:t xml:space="preserve"> </w:t>
      </w:r>
      <m:oMath>
        <m:r>
          <m:t>β</m:t>
        </m:r>
      </m:oMath>
      <w:r>
        <w:t xml:space="preserve">, the framework reports the</w:t>
      </w:r>
      <w:r>
        <w:t xml:space="preserve"> </w:t>
      </w:r>
      <m:oMath>
        <m:sSup>
          <m:e>
            <m:r>
              <m:t>τ</m:t>
            </m:r>
          </m:e>
          <m:sup>
            <m:r>
              <m:rPr>
                <m:sty m:val="p"/>
              </m:rPr>
              <m:t>*</m:t>
            </m:r>
          </m:sup>
        </m:sSup>
      </m:oMath>
      <w:r>
        <w:t xml:space="preserve"> </w:t>
      </w:r>
      <w:r>
        <w:t xml:space="preserve">that maximises</w:t>
      </w:r>
      <w:r>
        <w:t xml:space="preserve"> </w:t>
      </w:r>
      <m:oMath>
        <m:sSub>
          <m:e>
            <m:r>
              <m:t>F</m:t>
            </m:r>
          </m:e>
          <m:sub>
            <m:r>
              <m:t>β</m:t>
            </m:r>
          </m:sub>
        </m:sSub>
      </m:oMath>
      <w:r>
        <w:t xml:space="preserve">:</w:t>
      </w:r>
    </w:p>
    <w:p>
      <w:pPr>
        <w:pStyle w:val="BodyText"/>
      </w:pPr>
      <m:oMathPara>
        <m:oMathParaPr>
          <m:jc m:val="center"/>
        </m:oMathParaPr>
        <m:oMath>
          <m:sSup>
            <m:e>
              <m:r>
                <m:t>τ</m:t>
              </m:r>
            </m:e>
            <m:sup>
              <m:r>
                <m:rPr>
                  <m:sty m:val="p"/>
                </m:rPr>
                <m:t>*</m:t>
              </m:r>
            </m:sup>
          </m:sSup>
          <m:d>
            <m:dPr>
              <m:begChr m:val="("/>
              <m:endChr m:val=")"/>
              <m:sepChr m:val=""/>
              <m:grow/>
            </m:dPr>
            <m:e>
              <m:r>
                <m:t>β</m:t>
              </m:r>
            </m:e>
          </m:d>
          <m:r>
            <m:rPr>
              <m:sty m:val="p"/>
            </m:rPr>
            <m:t>=</m:t>
          </m:r>
          <m:r>
            <m:rPr>
              <m:sty m:val="p"/>
            </m:rPr>
            <m:t>arg</m:t>
          </m:r>
          <m:limLow>
            <m:e>
              <m:r>
                <m:rPr>
                  <m:sty m:val="p"/>
                </m:rPr>
                <m:t>max</m:t>
              </m:r>
            </m:e>
            <m:lim>
              <m:r>
                <m:t>τ</m:t>
              </m:r>
            </m:lim>
          </m:limLow>
          <m:sSub>
            <m:e>
              <m:r>
                <m:t>F</m:t>
              </m:r>
            </m:e>
            <m:sub>
              <m:r>
                <m:t>β</m:t>
              </m:r>
            </m:sub>
          </m:sSub>
          <m:d>
            <m:dPr>
              <m:begChr m:val="("/>
              <m:endChr m:val=")"/>
              <m:sepChr m:val=""/>
              <m:grow/>
            </m:dPr>
            <m:e>
              <m:r>
                <m:t>τ</m:t>
              </m:r>
            </m:e>
          </m:d>
        </m:oMath>
      </m:oMathPara>
    </w:p>
    <w:bookmarkEnd w:id="157"/>
    <w:bookmarkStart w:id="158" w:name="X05c23523f2265e3bb67f531e54178256e6062e2"/>
    <w:p>
      <w:pPr>
        <w:pStyle w:val="Heading4"/>
      </w:pPr>
      <w:r>
        <w:t xml:space="preserve">15.6.7 Expected Precision-Recall Characteristics</w:t>
      </w:r>
    </w:p>
    <w:p>
      <w:pPr>
        <w:pStyle w:val="FirstParagraph"/>
      </w:pPr>
      <w:r>
        <w:rPr>
          <w:iCs/>
          <w:i/>
        </w:rPr>
        <w:t xml:space="preserve">[To be populated from backtest. Below are structurally expected patterns based on the framework design.]</w:t>
      </w:r>
    </w:p>
    <w:p>
      <w:pPr>
        <w:pStyle w:val="BodyText"/>
      </w:pPr>
      <w:r>
        <w:rPr>
          <w:bCs/>
          <w:b/>
        </w:rPr>
        <w:t xml:space="preserve">At the default operating point (</w:t>
      </w:r>
      <m:oMath>
        <m:r>
          <m:t>τ</m:t>
        </m:r>
        <m:r>
          <m:rPr>
            <m:sty m:val="p"/>
          </m:rPr>
          <m:t>=</m:t>
        </m:r>
        <m:r>
          <m:t>0.50</m:t>
        </m:r>
      </m:oMath>
      <w:r>
        <w:rPr>
          <w:bCs/>
          <w:b/>
        </w:rPr>
        <w:t xml:space="preserve">, the STRETCHED threshold):</w:t>
      </w:r>
    </w:p>
    <w:p>
      <w:pPr>
        <w:pStyle w:val="BodyText"/>
      </w:pPr>
      <w:r>
        <w:t xml:space="preserve">Expected approximate performance:</w:t>
      </w:r>
      <w:r>
        <w:t xml:space="preserve"> </w:t>
      </w:r>
      <w:r>
        <w:t xml:space="preserve">- Recall: ~0.76 (31/41 — matching the reported TPR)</w:t>
      </w:r>
      <w:r>
        <w:t xml:space="preserve"> </w:t>
      </w:r>
      <w:r>
        <w:t xml:space="preserve">- Precision: ~0.35–0.50 (roughly 1 in 2 to 1 in 3 signals is a genuine crisis)</w:t>
      </w:r>
      <w:r>
        <w:t xml:space="preserve"> </w:t>
      </w:r>
      <w:r>
        <w:t xml:space="preserve">-</w:t>
      </w:r>
      <w:r>
        <w:t xml:space="preserve"> </w:t>
      </w:r>
      <m:oMath>
        <m:sSub>
          <m:e>
            <m:r>
              <m:t>F</m:t>
            </m:r>
          </m:e>
          <m:sub>
            <m:r>
              <m:t>1</m:t>
            </m:r>
          </m:sub>
        </m:sSub>
      </m:oMath>
      <w:r>
        <w:t xml:space="preserve">: ~0.45–0.55</w:t>
      </w:r>
    </w:p>
    <w:p>
      <w:pPr>
        <w:pStyle w:val="BodyText"/>
      </w:pPr>
      <w:r>
        <w:t xml:space="preserve">This precision range is consistent with well-performing financial early warning systems. For comparison, the IMF’s Early Warning Exercise reports precision in the 0.25–0.40 range for banking crises (Alessi &amp; Detken 2011), and the BIS early warning indicators for systemic banking crises achieve precision of ~0.30 at recall of ~0.70 (Borio &amp; Drehmann 2009). A precision of 0.35–0.50 at recall of 0.76 would place the MAC framework in the upper tier of comparable systems.</w:t>
      </w:r>
    </w:p>
    <w:p>
      <w:pPr>
        <w:pStyle w:val="BodyText"/>
      </w:pPr>
      <w:r>
        <w:rPr>
          <w:bCs/>
          <w:b/>
        </w:rPr>
        <w:t xml:space="preserve">Curve shape expectations:</w:t>
      </w:r>
    </w:p>
    <w:p>
      <w:pPr>
        <w:pStyle w:val="BodyText"/>
      </w:pPr>
      <w:r>
        <w:t xml:space="preserve">The precision-recall curve is expected to be concave (standard for well-calibrated classifiers) with three notable features:</w:t>
      </w:r>
    </w:p>
    <w:p>
      <w:pPr>
        <w:numPr>
          <w:ilvl w:val="0"/>
          <w:numId w:val="1015"/>
        </w:numPr>
      </w:pPr>
      <w:r>
        <w:rPr>
          <w:bCs/>
          <w:b/>
        </w:rPr>
        <w:t xml:space="preserve">Steep initial recall gains</w:t>
      </w:r>
      <w:r>
        <w:t xml:space="preserve"> </w:t>
      </w:r>
      <w:r>
        <w:t xml:space="preserve">as</w:t>
      </w:r>
      <w:r>
        <w:t xml:space="preserve"> </w:t>
      </w:r>
      <m:oMath>
        <m:r>
          <m:t>τ</m:t>
        </m:r>
      </m:oMath>
      <w:r>
        <w:t xml:space="preserve"> </w:t>
      </w:r>
      <w:r>
        <w:t xml:space="preserve">increases from 0.20 to 0.40. Many crises produce MAC scores in the 0.20–0.40 range; a small increase in the threshold captures several additional events.</w:t>
      </w:r>
    </w:p>
    <w:p>
      <w:pPr>
        <w:numPr>
          <w:ilvl w:val="0"/>
          <w:numId w:val="1015"/>
        </w:numPr>
      </w:pPr>
      <w:r>
        <w:rPr>
          <w:bCs/>
          <w:b/>
        </w:rPr>
        <w:t xml:space="preserve">Diminishing recall gains</w:t>
      </w:r>
      <w:r>
        <w:t xml:space="preserve"> </w:t>
      </w:r>
      <w:r>
        <w:t xml:space="preserve">above $</w:t>
      </w:r>
      <w:r>
        <w:t xml:space="preserve">= 0.55. The remaining undetected crises (the 10 misses) are predominantly mild events (1910–11 recession, Kennedy Slide, 2015 China devaluation) where MAC never fell below even 0.55. Raising the threshold further captures these marginal events but at rapidly increasing FP cost.</w:t>
      </w:r>
    </w:p>
    <w:p>
      <w:pPr>
        <w:numPr>
          <w:ilvl w:val="0"/>
          <w:numId w:val="1015"/>
        </w:numPr>
      </w:pPr>
      <w:r>
        <w:rPr>
          <w:bCs/>
          <w:b/>
        </w:rPr>
        <w:t xml:space="preserve">Precision floor</w:t>
      </w:r>
      <w:r>
        <w:t xml:space="preserve"> </w:t>
      </w:r>
      <w:r>
        <w:t xml:space="preserve">around 0.15–0.20 at high</w:t>
      </w:r>
      <w:r>
        <w:t xml:space="preserve"> </w:t>
      </w:r>
      <m:oMath>
        <m:r>
          <m:t>τ</m:t>
        </m:r>
      </m:oMath>
      <w:r>
        <w:t xml:space="preserve">. Even at</w:t>
      </w:r>
      <w:r>
        <w:t xml:space="preserve"> </w:t>
      </w:r>
      <m:oMath>
        <m:r>
          <m:t>τ</m:t>
        </m:r>
        <m:r>
          <m:rPr>
            <m:sty m:val="p"/>
          </m:rPr>
          <m:t>=</m:t>
        </m:r>
        <m:r>
          <m:t>0.70</m:t>
        </m:r>
      </m:oMath>
      <w:r>
        <w:t xml:space="preserve">, some signals will correspond to genuine stress periods that don’t formally qualify as</w:t>
      </w:r>
      <w:r>
        <w:t xml:space="preserve"> </w:t>
      </w:r>
      <w:r>
        <w:t xml:space="preserve">“</w:t>
      </w:r>
      <w:r>
        <w:t xml:space="preserve">crises</w:t>
      </w:r>
      <w:r>
        <w:t xml:space="preserve">”</w:t>
      </w:r>
      <w:r>
        <w:t xml:space="preserve"> </w:t>
      </w:r>
      <w:r>
        <w:t xml:space="preserve">in the event catalogue. This floor reflects the conservative bias of the crisis catalogue (41 events over 117 years may undercount genuine stress episodes).</w:t>
      </w:r>
    </w:p>
    <w:bookmarkEnd w:id="158"/>
    <w:bookmarkStart w:id="159" w:name="the-false-positive-taxonomy"/>
    <w:p>
      <w:pPr>
        <w:pStyle w:val="Heading4"/>
      </w:pPr>
      <w:r>
        <w:t xml:space="preserve">15.6.8 The False Positive Taxonomy</w:t>
      </w:r>
    </w:p>
    <w:p>
      <w:pPr>
        <w:pStyle w:val="FirstParagraph"/>
      </w:pPr>
      <w:r>
        <w:t xml:space="preserve">Not all false positives are equal. A signal that fires during a genuine stress period that doesn’t quite meet the formal crisis definition is qualitatively different from a signal during a calm market. The framework classifies false positives into three categories:</w:t>
      </w:r>
    </w:p>
    <w:p>
      <w:pPr>
        <w:pStyle w:val="BodyText"/>
      </w:pPr>
      <w:r>
        <w:rPr>
          <w:bCs/>
          <w:b/>
        </w:rPr>
        <w:t xml:space="preserve">Category 1 —</w:t>
      </w:r>
      <w:r>
        <w:rPr>
          <w:bCs/>
          <w:b/>
        </w:rPr>
        <w:t xml:space="preserve"> </w:t>
      </w:r>
      <w:r>
        <w:rPr>
          <w:bCs/>
          <w:b/>
        </w:rPr>
        <w:t xml:space="preserve">“</w:t>
      </w:r>
      <w:r>
        <w:rPr>
          <w:bCs/>
          <w:b/>
        </w:rPr>
        <w:t xml:space="preserve">Near-miss</w:t>
      </w:r>
      <w:r>
        <w:rPr>
          <w:bCs/>
          <w:b/>
        </w:rPr>
        <w:t xml:space="preserve">”</w:t>
      </w:r>
      <w:r>
        <w:rPr>
          <w:bCs/>
          <w:b/>
        </w:rPr>
        <w:t xml:space="preserve"> </w:t>
      </w:r>
      <w:r>
        <w:rPr>
          <w:bCs/>
          <w:b/>
        </w:rPr>
        <w:t xml:space="preserve">false positives.</w:t>
      </w:r>
      <w:r>
        <w:t xml:space="preserve"> </w:t>
      </w:r>
      <w:r>
        <w:t xml:space="preserve">MAC falls below</w:t>
      </w:r>
      <w:r>
        <w:t xml:space="preserve"> </w:t>
      </w:r>
      <m:oMath>
        <m:r>
          <m:t>τ</m:t>
        </m:r>
      </m:oMath>
      <w:r>
        <w:t xml:space="preserve"> </w:t>
      </w:r>
      <w:r>
        <w:t xml:space="preserve">during a period of genuine but contained stress that doesn’t escalate to a full crisis. Examples: 2015 China devaluation fears (VIX spiked, EM sold off, but the Fed delayed tightening and markets stabilised), 2016 Brexit vote (sharp initial selloff reversed within days), 2018 Q4 selloff (20% drawdown but no market dysfunction).</w:t>
      </w:r>
    </w:p>
    <w:p>
      <w:pPr>
        <w:pStyle w:val="BodyText"/>
      </w:pPr>
      <w:r>
        <w:t xml:space="preserve">These are arguably</w:t>
      </w:r>
      <w:r>
        <w:t xml:space="preserve"> </w:t>
      </w:r>
      <w:r>
        <w:rPr>
          <w:iCs/>
          <w:i/>
        </w:rPr>
        <w:t xml:space="preserve">correct</w:t>
      </w:r>
      <w:r>
        <w:t xml:space="preserve"> </w:t>
      </w:r>
      <w:r>
        <w:t xml:space="preserve">signals — the framework detected genuinely depleted buffers — that were resolved by either policy intervention or stress absorption. From an early warning perspective, a signal that fires before a stress episode that doesn’t escalate is</w:t>
      </w:r>
      <w:r>
        <w:t xml:space="preserve"> </w:t>
      </w:r>
      <w:r>
        <w:rPr>
          <w:iCs/>
          <w:i/>
        </w:rPr>
        <w:t xml:space="preserve">exactly what a well-functioning framework should do</w:t>
      </w:r>
      <w:r>
        <w:t xml:space="preserve">: it flagged the vulnerability; the vulnerability was subsequently managed.</w:t>
      </w:r>
    </w:p>
    <w:p>
      <w:pPr>
        <w:pStyle w:val="BodyText"/>
      </w:pPr>
      <w:r>
        <w:rPr>
          <w:bCs/>
          <w:b/>
        </w:rPr>
        <w:t xml:space="preserve">Category 2 —</w:t>
      </w:r>
      <w:r>
        <w:rPr>
          <w:bCs/>
          <w:b/>
        </w:rPr>
        <w:t xml:space="preserve"> </w:t>
      </w:r>
      <w:r>
        <w:rPr>
          <w:bCs/>
          <w:b/>
        </w:rPr>
        <w:t xml:space="preserve">“</w:t>
      </w:r>
      <w:r>
        <w:rPr>
          <w:bCs/>
          <w:b/>
        </w:rPr>
        <w:t xml:space="preserve">Regime-artefact</w:t>
      </w:r>
      <w:r>
        <w:rPr>
          <w:bCs/>
          <w:b/>
        </w:rPr>
        <w:t xml:space="preserve">”</w:t>
      </w:r>
      <w:r>
        <w:rPr>
          <w:bCs/>
          <w:b/>
        </w:rPr>
        <w:t xml:space="preserve"> </w:t>
      </w:r>
      <w:r>
        <w:rPr>
          <w:bCs/>
          <w:b/>
        </w:rPr>
        <w:t xml:space="preserve">false positives.</w:t>
      </w:r>
      <w:r>
        <w:t xml:space="preserve"> </w:t>
      </w:r>
      <w:r>
        <w:t xml:space="preserve">Persistent low MAC scores driven by structural features of a particular era rather than genuine acute stress. Most common in pre-1971 data where structurally wide spreads (railroad bonds, call money rates) and high Schwert volatility keep pillar scores chronically below modern thresholds.</w:t>
      </w:r>
    </w:p>
    <w:p>
      <w:pPr>
        <w:pStyle w:val="BodyText"/>
      </w:pPr>
      <w:r>
        <w:rPr>
          <w:bCs/>
          <w:b/>
        </w:rPr>
        <w:t xml:space="preserve">Category 3 —</w:t>
      </w:r>
      <w:r>
        <w:rPr>
          <w:bCs/>
          <w:b/>
        </w:rPr>
        <w:t xml:space="preserve"> </w:t>
      </w:r>
      <w:r>
        <w:rPr>
          <w:bCs/>
          <w:b/>
        </w:rPr>
        <w:t xml:space="preserve">“</w:t>
      </w:r>
      <w:r>
        <w:rPr>
          <w:bCs/>
          <w:b/>
        </w:rPr>
        <w:t xml:space="preserve">Genuine</w:t>
      </w:r>
      <w:r>
        <w:rPr>
          <w:bCs/>
          <w:b/>
        </w:rPr>
        <w:t xml:space="preserve">”</w:t>
      </w:r>
      <w:r>
        <w:rPr>
          <w:bCs/>
          <w:b/>
        </w:rPr>
        <w:t xml:space="preserve"> </w:t>
      </w:r>
      <w:r>
        <w:rPr>
          <w:bCs/>
          <w:b/>
        </w:rPr>
        <w:t xml:space="preserve">false positives.</w:t>
      </w:r>
      <w:r>
        <w:t xml:space="preserve"> </w:t>
      </w:r>
      <w:r>
        <w:t xml:space="preserve">MAC falls below</w:t>
      </w:r>
      <w:r>
        <w:t xml:space="preserve"> </w:t>
      </w:r>
      <m:oMath>
        <m:r>
          <m:t>τ</m:t>
        </m:r>
      </m:oMath>
      <w:r>
        <w:t xml:space="preserve"> </w:t>
      </w:r>
      <w:r>
        <w:t xml:space="preserve">during a period with no identifiable stress event, near-miss, or structural artefact. These represent true model failures — the framework flagged a crisis that didn’t exist.</w:t>
      </w:r>
    </w:p>
    <w:p>
      <w:pPr>
        <w:pStyle w:val="BodyText"/>
      </w:pPr>
      <w:r>
        <w:t xml:space="preserve">The distinction matters for client communication. Category 1 false positives can be presented as evidence of framework sensitivity, not failure. Category 2 can be flagged with data quality warnings. Only Category 3 represents genuine actionable model weakness.</w:t>
      </w:r>
    </w:p>
    <w:bookmarkEnd w:id="159"/>
    <w:bookmarkStart w:id="160" w:name="reporting-template"/>
    <w:p>
      <w:pPr>
        <w:pStyle w:val="Heading4"/>
      </w:pPr>
      <w:r>
        <w:t xml:space="preserve">15.6.9 Reporting Template</w:t>
      </w:r>
    </w:p>
    <w:p>
      <w:pPr>
        <w:pStyle w:val="FirstParagraph"/>
      </w:pPr>
      <w:r>
        <w:t xml:space="preserve">The backtest module produces the following output at five standard operating points:</w:t>
      </w:r>
    </w:p>
    <w:tbl>
      <w:tblPr>
        <w:tblStyle w:val="Table"/>
        <w:tblW w:type="pct" w:w="5000"/>
        <w:tblLook w:firstRow="1" w:lastRow="0" w:firstColumn="0" w:lastColumn="0" w:noHBand="0" w:noVBand="0" w:val="0020"/>
        <w:jc w:val="start"/>
      </w:tblPr>
      <w:tblGrid>
        <w:gridCol w:w="1423"/>
        <w:gridCol w:w="711"/>
        <w:gridCol w:w="711"/>
        <w:gridCol w:w="978"/>
        <w:gridCol w:w="622"/>
        <w:gridCol w:w="889"/>
        <w:gridCol w:w="622"/>
        <w:gridCol w:w="800"/>
        <w:gridCol w:w="1156"/>
      </w:tblGrid>
      <w:tr>
        <w:trPr>
          <w:tblHeader w:val="true"/>
        </w:trPr>
        <w:tc>
          <w:tcPr/>
          <w:p>
            <w:pPr>
              <w:pStyle w:val="Compact"/>
              <w:jc w:val="left"/>
            </w:pPr>
            <w:r>
              <w:t xml:space="preserve">Operating Point</w:t>
            </w:r>
          </w:p>
        </w:tc>
        <w:tc>
          <w:tcPr/>
          <w:p>
            <w:pPr>
              <w:pStyle w:val="Compact"/>
              <w:jc w:val="left"/>
            </w:pPr>
            <m:oMath>
              <m:r>
                <m:t>τ</m:t>
              </m:r>
            </m:oMath>
          </w:p>
        </w:tc>
        <w:tc>
          <w:tcPr/>
          <w:p>
            <w:pPr>
              <w:pStyle w:val="Compact"/>
              <w:jc w:val="left"/>
            </w:pPr>
            <w:r>
              <w:t xml:space="preserve">Recall</w:t>
            </w:r>
          </w:p>
        </w:tc>
        <w:tc>
          <w:tcPr/>
          <w:p>
            <w:pPr>
              <w:pStyle w:val="Compact"/>
              <w:jc w:val="left"/>
            </w:pPr>
            <w:r>
              <w:t xml:space="preserve">Precision</w:t>
            </w:r>
          </w:p>
        </w:tc>
        <w:tc>
          <w:tcPr/>
          <w:p>
            <w:pPr>
              <w:pStyle w:val="Compact"/>
              <w:jc w:val="left"/>
            </w:pPr>
            <m:oMath>
              <m:sSub>
                <m:e>
                  <m:r>
                    <m:t>F</m:t>
                  </m:r>
                </m:e>
                <m:sub>
                  <m:r>
                    <m:t>1</m:t>
                  </m:r>
                </m:sub>
              </m:sSub>
            </m:oMath>
          </w:p>
        </w:tc>
        <w:tc>
          <w:tcPr/>
          <w:p>
            <w:pPr>
              <w:pStyle w:val="Compact"/>
              <w:jc w:val="left"/>
            </w:pPr>
            <m:oMath>
              <m:sSub>
                <m:e>
                  <m:r>
                    <m:t>F</m:t>
                  </m:r>
                </m:e>
                <m:sub>
                  <m:r>
                    <m:t>0.5</m:t>
                  </m:r>
                </m:sub>
              </m:sSub>
            </m:oMath>
          </w:p>
        </w:tc>
        <w:tc>
          <w:tcPr/>
          <w:p>
            <w:pPr>
              <w:pStyle w:val="Compact"/>
              <w:jc w:val="left"/>
            </w:pPr>
            <m:oMath>
              <m:sSub>
                <m:e>
                  <m:r>
                    <m:t>F</m:t>
                  </m:r>
                </m:e>
                <m:sub>
                  <m:r>
                    <m:t>2</m:t>
                  </m:r>
                </m:sub>
              </m:sSub>
            </m:oMath>
          </w:p>
        </w:tc>
        <w:tc>
          <w:tcPr/>
          <w:p>
            <w:pPr>
              <w:pStyle w:val="Compact"/>
              <w:jc w:val="left"/>
            </w:pPr>
            <w:r>
              <w:t xml:space="preserve">FP/Year</w:t>
            </w:r>
          </w:p>
        </w:tc>
        <w:tc>
          <w:tcPr/>
          <w:p>
            <w:pPr>
              <w:pStyle w:val="Compact"/>
              <w:jc w:val="left"/>
            </w:pPr>
            <w:r>
              <w:t xml:space="preserve">Signal Weeks</w:t>
            </w:r>
          </w:p>
        </w:tc>
      </w:tr>
      <w:tr>
        <w:tc>
          <w:tcPr/>
          <w:p>
            <w:pPr>
              <w:pStyle w:val="Compact"/>
              <w:jc w:val="left"/>
            </w:pPr>
            <w:r>
              <w:t xml:space="preserve">Conservative</w:t>
            </w:r>
          </w:p>
        </w:tc>
        <w:tc>
          <w:tcPr/>
          <w:p>
            <w:pPr>
              <w:pStyle w:val="Compact"/>
              <w:jc w:val="left"/>
            </w:pPr>
            <w:r>
              <w:t xml:space="preserve">0.30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Moderate</w:t>
            </w:r>
          </w:p>
        </w:tc>
        <w:tc>
          <w:tcPr/>
          <w:p>
            <w:pPr>
              <w:pStyle w:val="Compact"/>
              <w:jc w:val="left"/>
            </w:pPr>
            <w:r>
              <w:t xml:space="preserve">0.40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rPr>
                <w:bCs/>
                <w:b/>
              </w:rPr>
              <w:t xml:space="preserve">Default</w:t>
            </w:r>
          </w:p>
        </w:tc>
        <w:tc>
          <w:tcPr/>
          <w:p>
            <w:pPr>
              <w:pStyle w:val="Compact"/>
              <w:jc w:val="left"/>
            </w:pPr>
            <w:r>
              <w:rPr>
                <w:bCs/>
                <w:b/>
              </w:rPr>
              <w:t xml:space="preserve">0.50</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c>
          <w:tcPr/>
          <w:p>
            <w:pPr>
              <w:pStyle w:val="Compact"/>
              <w:jc w:val="left"/>
            </w:pPr>
            <w:r>
              <w:rPr>
                <w:bCs/>
                <w:b/>
              </w:rPr>
              <w:t xml:space="preserve">—</w:t>
            </w:r>
          </w:p>
        </w:tc>
      </w:tr>
      <w:tr>
        <w:tc>
          <w:tcPr/>
          <w:p>
            <w:pPr>
              <w:pStyle w:val="Compact"/>
              <w:jc w:val="left"/>
            </w:pPr>
            <w:r>
              <w:t xml:space="preserve">Sensitive</w:t>
            </w:r>
          </w:p>
        </w:tc>
        <w:tc>
          <w:tcPr/>
          <w:p>
            <w:pPr>
              <w:pStyle w:val="Compact"/>
              <w:jc w:val="left"/>
            </w:pPr>
            <w:r>
              <w:t xml:space="preserve">0.60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r>
        <w:tc>
          <w:tcPr/>
          <w:p>
            <w:pPr>
              <w:pStyle w:val="Compact"/>
              <w:jc w:val="left"/>
            </w:pPr>
            <w:r>
              <w:t xml:space="preserve">Maximum recall</w:t>
            </w:r>
          </w:p>
        </w:tc>
        <w:tc>
          <w:tcPr/>
          <w:p>
            <w:pPr>
              <w:pStyle w:val="Compact"/>
              <w:jc w:val="left"/>
            </w:pPr>
            <w:r>
              <w:t xml:space="preserve">0.70</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p>
      <w:pPr>
        <w:pStyle w:val="BodyText"/>
      </w:pPr>
      <w:r>
        <w:rPr>
          <w:iCs/>
          <w:i/>
        </w:rPr>
        <w:t xml:space="preserve">[To be populated from backtest execution.]</w:t>
      </w:r>
    </w:p>
    <w:p>
      <w:pPr>
        <w:pStyle w:val="BodyText"/>
      </w:pPr>
      <w:r>
        <w:t xml:space="preserve">Additionally, the full precision-recall curve (71 points from</w:t>
      </w:r>
      <w:r>
        <w:t xml:space="preserve"> </w:t>
      </w:r>
      <m:oMath>
        <m:r>
          <m:t>τ</m:t>
        </m:r>
      </m:oMath>
      <w:r>
        <w:t xml:space="preserve"> </w:t>
      </w:r>
      <w:r>
        <w:t xml:space="preserve">= 0.10 to 0.80) is stored as a JSON artefact and can be rendered as a chart for client presentations.</w:t>
      </w:r>
    </w:p>
    <w:p>
      <w:r>
        <w:pict>
          <v:rect style="width:0;height:1.5pt" o:hralign="center" o:hrstd="t" o:hr="t"/>
        </w:pict>
      </w:r>
    </w:p>
    <w:bookmarkEnd w:id="160"/>
    <w:bookmarkEnd w:id="161"/>
    <w:bookmarkStart w:id="165" w:name="client-configurable-operating-point"/>
    <w:p>
      <w:pPr>
        <w:pStyle w:val="Heading3"/>
      </w:pPr>
      <w:r>
        <w:t xml:space="preserve">15.7 Client-Configurable Operating Point</w:t>
      </w:r>
    </w:p>
    <w:bookmarkStart w:id="162" w:name="architecture-1"/>
    <w:p>
      <w:pPr>
        <w:pStyle w:val="Heading4"/>
      </w:pPr>
      <w:r>
        <w:t xml:space="preserve">15.7.1 Architecture</w:t>
      </w:r>
    </w:p>
    <w:p>
      <w:pPr>
        <w:pStyle w:val="FirstParagraph"/>
      </w:pPr>
      <w:r>
        <w:t xml:space="preserve">The MAC framework exposes the alert threshold</w:t>
      </w:r>
      <w:r>
        <w:t xml:space="preserve"> </w:t>
      </w:r>
      <m:oMath>
        <m:r>
          <m:t>τ</m:t>
        </m:r>
      </m:oMath>
      <w:r>
        <w:t xml:space="preserve"> </w:t>
      </w:r>
      <w:r>
        <w:t xml:space="preserve">as a configurable parameter, enabling clients to select their own operating point on the precision-recall curve based on their loss function. The default (</w:t>
      </w:r>
      <m:oMath>
        <m:r>
          <m:t>τ</m:t>
        </m:r>
        <m:r>
          <m:rPr>
            <m:sty m:val="p"/>
          </m:rPr>
          <m:t>=</m:t>
        </m:r>
        <m:r>
          <m:t>0.50</m:t>
        </m:r>
      </m:oMath>
      <w:r>
        <w:t xml:space="preserve">) is optimised for a balanced</w:t>
      </w:r>
      <w:r>
        <w:t xml:space="preserve"> </w:t>
      </w:r>
      <m:oMath>
        <m:sSub>
          <m:e>
            <m:r>
              <m:t>F</m:t>
            </m:r>
          </m:e>
          <m:sub>
            <m:r>
              <m:t>1</m:t>
            </m:r>
          </m:sub>
        </m:sSub>
      </m:oMath>
      <w:r>
        <w:t xml:space="preserve"> </w:t>
      </w:r>
      <w:r>
        <w:t xml:space="preserve">objective, but clients can adjust:</w:t>
      </w:r>
    </w:p>
    <w:p>
      <w:pPr>
        <w:pStyle w:val="SourceCode"/>
      </w:pPr>
      <w:r>
        <w:rPr>
          <w:rStyle w:val="VerbatimChar"/>
        </w:rPr>
        <w:t xml:space="preserve">mac.set_alert_threshold(tau=0.40)  # Conservative: fewer alerts, higher precision</w:t>
      </w:r>
      <w:r>
        <w:br/>
      </w:r>
      <w:r>
        <w:rPr>
          <w:rStyle w:val="VerbatimChar"/>
        </w:rPr>
        <w:t xml:space="preserve">mac.set_alert_threshold(tau=0.60)  # Sensitive: more alerts, higher recall</w:t>
      </w:r>
    </w:p>
    <w:bookmarkEnd w:id="162"/>
    <w:bookmarkStart w:id="163" w:name="recommended-configuration-by-client-type"/>
    <w:p>
      <w:pPr>
        <w:pStyle w:val="Heading4"/>
      </w:pPr>
      <w:r>
        <w:t xml:space="preserve">15.7.2 Recommended Configuration by Client Type</w:t>
      </w:r>
    </w:p>
    <w:tbl>
      <w:tblPr>
        <w:tblStyle w:val="Table"/>
        <w:tblW w:type="pct" w:w="5000"/>
        <w:tblLook w:firstRow="1" w:lastRow="0" w:firstColumn="0" w:lastColumn="0" w:noHBand="0" w:noVBand="0" w:val="0020"/>
        <w:jc w:val="start"/>
      </w:tblPr>
      <w:tblGrid>
        <w:gridCol w:w="1234"/>
        <w:gridCol w:w="1954"/>
        <w:gridCol w:w="1851"/>
        <w:gridCol w:w="1748"/>
        <w:gridCol w:w="1131"/>
      </w:tblGrid>
      <w:tr>
        <w:trPr>
          <w:tblHeader w:val="true"/>
        </w:trPr>
        <w:tc>
          <w:tcPr/>
          <w:p>
            <w:pPr>
              <w:pStyle w:val="Compact"/>
              <w:jc w:val="left"/>
            </w:pPr>
            <w:r>
              <w:t xml:space="preserve">Client Type</w:t>
            </w:r>
          </w:p>
        </w:tc>
        <w:tc>
          <w:tcPr/>
          <w:p>
            <w:pPr>
              <w:pStyle w:val="Compact"/>
              <w:jc w:val="left"/>
            </w:pPr>
            <w:r>
              <w:t xml:space="preserve">Recommended</w:t>
            </w:r>
            <w:r>
              <w:t xml:space="preserve"> </w:t>
            </w:r>
            <m:oMath>
              <m:r>
                <m:t>τ</m:t>
              </m:r>
            </m:oMath>
          </w:p>
        </w:tc>
        <w:tc>
          <w:tcPr/>
          <w:p>
            <w:pPr>
              <w:pStyle w:val="Compact"/>
              <w:jc w:val="left"/>
            </w:pPr>
            <w:r>
              <w:t xml:space="preserve">Expected FP/Year</w:t>
            </w:r>
          </w:p>
        </w:tc>
        <w:tc>
          <w:tcPr/>
          <w:p>
            <w:pPr>
              <w:pStyle w:val="Compact"/>
              <w:jc w:val="left"/>
            </w:pPr>
            <w:r>
              <w:t xml:space="preserve">Expected Recall</w:t>
            </w:r>
          </w:p>
        </w:tc>
        <w:tc>
          <w:tcPr/>
          <w:p>
            <w:pPr>
              <w:pStyle w:val="Compact"/>
              <w:jc w:val="left"/>
            </w:pPr>
            <w:r>
              <w:t xml:space="preserve">Rationale</w:t>
            </w:r>
          </w:p>
        </w:tc>
      </w:tr>
      <w:tr>
        <w:tc>
          <w:tcPr/>
          <w:p>
            <w:pPr>
              <w:pStyle w:val="Compact"/>
              <w:jc w:val="left"/>
            </w:pPr>
            <w:r>
              <w:t xml:space="preserve">Sovereign wealth fund</w:t>
            </w:r>
          </w:p>
        </w:tc>
        <w:tc>
          <w:tcPr/>
          <w:p>
            <w:pPr>
              <w:pStyle w:val="Compact"/>
              <w:jc w:val="left"/>
            </w:pPr>
            <w:r>
              <w:t xml:space="preserve">0.55–0.60</w:t>
            </w:r>
          </w:p>
        </w:tc>
        <w:tc>
          <w:tcPr/>
          <w:p>
            <w:pPr>
              <w:pStyle w:val="Compact"/>
              <w:jc w:val="left"/>
            </w:pPr>
            <w:r>
              <w:t xml:space="preserve">~3–5</w:t>
            </w:r>
          </w:p>
        </w:tc>
        <w:tc>
          <w:tcPr/>
          <w:p>
            <w:pPr>
              <w:pStyle w:val="Compact"/>
              <w:jc w:val="left"/>
            </w:pPr>
            <w:r>
              <w:t xml:space="preserve">~0.80–0.85</w:t>
            </w:r>
          </w:p>
        </w:tc>
        <w:tc>
          <w:tcPr/>
          <w:p>
            <w:pPr>
              <w:pStyle w:val="Compact"/>
              <w:jc w:val="left"/>
            </w:pPr>
            <w:r>
              <w:t xml:space="preserve">Maximise detection; tolerate false positives</w:t>
            </w:r>
          </w:p>
        </w:tc>
      </w:tr>
      <w:tr>
        <w:tc>
          <w:tcPr/>
          <w:p>
            <w:pPr>
              <w:pStyle w:val="Compact"/>
              <w:jc w:val="left"/>
            </w:pPr>
            <w:r>
              <w:t xml:space="preserve">Central bank (FSR mandate)</w:t>
            </w:r>
          </w:p>
        </w:tc>
        <w:tc>
          <w:tcPr/>
          <w:p>
            <w:pPr>
              <w:pStyle w:val="Compact"/>
              <w:jc w:val="left"/>
            </w:pPr>
            <w:r>
              <w:t xml:space="preserve">0.50 (default)</w:t>
            </w:r>
          </w:p>
        </w:tc>
        <w:tc>
          <w:tcPr/>
          <w:p>
            <w:pPr>
              <w:pStyle w:val="Compact"/>
              <w:jc w:val="left"/>
            </w:pPr>
            <w:r>
              <w:t xml:space="preserve">~2–3</w:t>
            </w:r>
          </w:p>
        </w:tc>
        <w:tc>
          <w:tcPr/>
          <w:p>
            <w:pPr>
              <w:pStyle w:val="Compact"/>
              <w:jc w:val="left"/>
            </w:pPr>
            <w:r>
              <w:t xml:space="preserve">~0.76</w:t>
            </w:r>
          </w:p>
        </w:tc>
        <w:tc>
          <w:tcPr/>
          <w:p>
            <w:pPr>
              <w:pStyle w:val="Compact"/>
              <w:jc w:val="left"/>
            </w:pPr>
            <w:r>
              <w:t xml:space="preserve">Balanced</w:t>
            </w:r>
          </w:p>
        </w:tc>
      </w:tr>
      <w:tr>
        <w:tc>
          <w:tcPr/>
          <w:p>
            <w:pPr>
              <w:pStyle w:val="Compact"/>
              <w:jc w:val="left"/>
            </w:pPr>
            <w:r>
              <w:t xml:space="preserve">Macro hedge fund</w:t>
            </w:r>
          </w:p>
        </w:tc>
        <w:tc>
          <w:tcPr/>
          <w:p>
            <w:pPr>
              <w:pStyle w:val="Compact"/>
              <w:jc w:val="left"/>
            </w:pPr>
            <w:r>
              <w:t xml:space="preserve">0.35–0.40</w:t>
            </w:r>
          </w:p>
        </w:tc>
        <w:tc>
          <w:tcPr/>
          <w:p>
            <w:pPr>
              <w:pStyle w:val="Compact"/>
              <w:jc w:val="left"/>
            </w:pPr>
            <w:r>
              <w:t xml:space="preserve">~0.5–1</w:t>
            </w:r>
          </w:p>
        </w:tc>
        <w:tc>
          <w:tcPr/>
          <w:p>
            <w:pPr>
              <w:pStyle w:val="Compact"/>
              <w:jc w:val="left"/>
            </w:pPr>
            <w:r>
              <w:t xml:space="preserve">~0.55–0.65</w:t>
            </w:r>
          </w:p>
        </w:tc>
        <w:tc>
          <w:tcPr/>
          <w:p>
            <w:pPr>
              <w:pStyle w:val="Compact"/>
              <w:jc w:val="left"/>
            </w:pPr>
            <w:r>
              <w:t xml:space="preserve">Minimise false signals; accept lower recall</w:t>
            </w:r>
          </w:p>
        </w:tc>
      </w:tr>
      <w:tr>
        <w:tc>
          <w:tcPr/>
          <w:p>
            <w:pPr>
              <w:pStyle w:val="Compact"/>
              <w:jc w:val="left"/>
            </w:pPr>
            <w:r>
              <w:t xml:space="preserve">Insurance / pension</w:t>
            </w:r>
          </w:p>
        </w:tc>
        <w:tc>
          <w:tcPr/>
          <w:p>
            <w:pPr>
              <w:pStyle w:val="Compact"/>
              <w:jc w:val="left"/>
            </w:pPr>
            <w:r>
              <w:t xml:space="preserve">0.50–0.55</w:t>
            </w:r>
          </w:p>
        </w:tc>
        <w:tc>
          <w:tcPr/>
          <w:p>
            <w:pPr>
              <w:pStyle w:val="Compact"/>
              <w:jc w:val="left"/>
            </w:pPr>
            <w:r>
              <w:t xml:space="preserve">~2–4</w:t>
            </w:r>
          </w:p>
        </w:tc>
        <w:tc>
          <w:tcPr/>
          <w:p>
            <w:pPr>
              <w:pStyle w:val="Compact"/>
              <w:jc w:val="left"/>
            </w:pPr>
            <w:r>
              <w:t xml:space="preserve">~0.76–0.80</w:t>
            </w:r>
          </w:p>
        </w:tc>
        <w:tc>
          <w:tcPr/>
          <w:p>
            <w:pPr>
              <w:pStyle w:val="Compact"/>
              <w:jc w:val="left"/>
            </w:pPr>
            <w:r>
              <w:t xml:space="preserve">Regulatory mandate favours detection</w:t>
            </w:r>
          </w:p>
        </w:tc>
      </w:tr>
      <w:tr>
        <w:tc>
          <w:tcPr/>
          <w:p>
            <w:pPr>
              <w:pStyle w:val="Compact"/>
              <w:jc w:val="left"/>
            </w:pPr>
            <w:r>
              <w:t xml:space="preserve">Family office</w:t>
            </w:r>
          </w:p>
        </w:tc>
        <w:tc>
          <w:tcPr/>
          <w:p>
            <w:pPr>
              <w:pStyle w:val="Compact"/>
              <w:jc w:val="left"/>
            </w:pPr>
            <w:r>
              <w:t xml:space="preserve">0.45–0.50</w:t>
            </w:r>
          </w:p>
        </w:tc>
        <w:tc>
          <w:tcPr/>
          <w:p>
            <w:pPr>
              <w:pStyle w:val="Compact"/>
              <w:jc w:val="left"/>
            </w:pPr>
            <w:r>
              <w:t xml:space="preserve">~1.5–3</w:t>
            </w:r>
          </w:p>
        </w:tc>
        <w:tc>
          <w:tcPr/>
          <w:p>
            <w:pPr>
              <w:pStyle w:val="Compact"/>
              <w:jc w:val="left"/>
            </w:pPr>
            <w:r>
              <w:t xml:space="preserve">~0.70–0.76</w:t>
            </w:r>
          </w:p>
        </w:tc>
        <w:tc>
          <w:tcPr/>
          <w:p>
            <w:pPr>
              <w:pStyle w:val="Compact"/>
              <w:jc w:val="left"/>
            </w:pPr>
            <w:r>
              <w:t xml:space="preserve">Capital preservation; moderate tolerance</w:t>
            </w:r>
          </w:p>
        </w:tc>
      </w:tr>
    </w:tbl>
    <w:bookmarkEnd w:id="163"/>
    <w:bookmarkStart w:id="164" w:name="the-cost-of-inaction-framing"/>
    <w:p>
      <w:pPr>
        <w:pStyle w:val="Heading4"/>
      </w:pPr>
      <w:r>
        <w:t xml:space="preserve">15.7.3 The</w:t>
      </w:r>
      <w:r>
        <w:t xml:space="preserve"> </w:t>
      </w:r>
      <w:r>
        <w:t xml:space="preserve">“</w:t>
      </w:r>
      <w:r>
        <w:t xml:space="preserve">Cost of Inaction</w:t>
      </w:r>
      <w:r>
        <w:t xml:space="preserve">”</w:t>
      </w:r>
      <w:r>
        <w:t xml:space="preserve"> </w:t>
      </w:r>
      <w:r>
        <w:t xml:space="preserve">Framing</w:t>
      </w:r>
    </w:p>
    <w:p>
      <w:pPr>
        <w:pStyle w:val="FirstParagraph"/>
      </w:pPr>
      <w:r>
        <w:t xml:space="preserve">For client conversations, the precision-recall tradeoff can be reframed as a cost comparison:</w:t>
      </w:r>
    </w:p>
    <w:p>
      <w:pPr>
        <w:pStyle w:val="BodyText"/>
      </w:pPr>
      <w:r>
        <w:rPr>
          <w:bCs/>
          <w:b/>
        </w:rPr>
        <w:t xml:space="preserve">Cost of a false positive (Type I):</w:t>
      </w:r>
      <w:r>
        <w:t xml:space="preserve"> </w:t>
      </w:r>
      <w:r>
        <w:t xml:space="preserve">The client reviews portfolio risk, potentially hedges tail exposure, and (if the stress doesn’t materialise) pays the hedge carry. Typical cost: 20–50 bps of portfolio AUM per false positive for a fund that hedges, effectively zero for a fund that merely reviews.</w:t>
      </w:r>
    </w:p>
    <w:p>
      <w:pPr>
        <w:pStyle w:val="BodyText"/>
      </w:pPr>
      <w:r>
        <w:rPr>
          <w:bCs/>
          <w:b/>
        </w:rPr>
        <w:t xml:space="preserve">Cost of a missed crisis (Type II):</w:t>
      </w:r>
      <w:r>
        <w:t xml:space="preserve"> </w:t>
      </w:r>
      <w:r>
        <w:t xml:space="preserve">The client is unhedged or underhedged entering a genuine crisis. Typical cost: 500–3,000 bps of portfolio drawdown depending on crisis severity and asset allocation.</w:t>
      </w:r>
    </w:p>
    <w:p>
      <w:pPr>
        <w:pStyle w:val="BodyText"/>
      </w:pPr>
      <w:r>
        <w:t xml:space="preserve">The implied breakeven precision is:</w:t>
      </w:r>
    </w:p>
    <w:p>
      <w:pPr>
        <w:pStyle w:val="BodyText"/>
      </w:pPr>
      <m:oMathPara>
        <m:oMathParaPr>
          <m:jc m:val="center"/>
        </m:oMathParaPr>
        <m:oMath>
          <m:sSub>
            <m:e>
              <m:r>
                <m:rPr>
                  <m:nor/>
                  <m:sty m:val="p"/>
                </m:rPr>
                <m:t>Precision</m:t>
              </m:r>
            </m:e>
            <m:sub>
              <m:r>
                <m:rPr>
                  <m:nor/>
                  <m:sty m:val="p"/>
                </m:rPr>
                <m:t>breakeven</m:t>
              </m:r>
            </m:sub>
          </m:sSub>
          <m:r>
            <m:rPr>
              <m:sty m:val="p"/>
            </m:rPr>
            <m:t>=</m:t>
          </m:r>
          <m:f>
            <m:fPr>
              <m:type m:val="bar"/>
            </m:fPr>
            <m:num>
              <m:sSub>
                <m:e>
                  <m:r>
                    <m:rPr>
                      <m:nor/>
                      <m:sty m:val="p"/>
                    </m:rPr>
                    <m:t>Cost</m:t>
                  </m:r>
                </m:e>
                <m:sub>
                  <m:r>
                    <m:rPr>
                      <m:nor/>
                      <m:sty m:val="p"/>
                    </m:rPr>
                    <m:t>FP</m:t>
                  </m:r>
                </m:sub>
              </m:sSub>
            </m:num>
            <m:den>
              <m:sSub>
                <m:e>
                  <m:r>
                    <m:rPr>
                      <m:nor/>
                      <m:sty m:val="p"/>
                    </m:rPr>
                    <m:t>Cost</m:t>
                  </m:r>
                </m:e>
                <m:sub>
                  <m:r>
                    <m:rPr>
                      <m:nor/>
                      <m:sty m:val="p"/>
                    </m:rPr>
                    <m:t>FP</m:t>
                  </m:r>
                </m:sub>
              </m:sSub>
              <m:r>
                <m:rPr>
                  <m:sty m:val="p"/>
                </m:rPr>
                <m:t>+</m:t>
              </m:r>
              <m:sSub>
                <m:e>
                  <m:r>
                    <m:rPr>
                      <m:nor/>
                      <m:sty m:val="p"/>
                    </m:rPr>
                    <m:t>Cost</m:t>
                  </m:r>
                </m:e>
                <m:sub>
                  <m:r>
                    <m:rPr>
                      <m:nor/>
                      <m:sty m:val="p"/>
                    </m:rPr>
                    <m:t>FN</m:t>
                  </m:r>
                </m:sub>
              </m:sSub>
            </m:den>
          </m:f>
        </m:oMath>
      </m:oMathPara>
    </w:p>
    <w:p>
      <w:pPr>
        <w:pStyle w:val="FirstParagraph"/>
      </w:pPr>
      <w:r>
        <w:t xml:space="preserve">For a fund where false positive cost = 30 bps and missed crisis cost = 1,500 bps:</w:t>
      </w:r>
    </w:p>
    <w:p>
      <w:pPr>
        <w:pStyle w:val="BodyText"/>
      </w:pPr>
      <m:oMathPara>
        <m:oMathParaPr>
          <m:jc m:val="center"/>
        </m:oMathParaPr>
        <m:oMath>
          <m:sSub>
            <m:e>
              <m:r>
                <m:rPr>
                  <m:nor/>
                  <m:sty m:val="p"/>
                </m:rPr>
                <m:t>Precision</m:t>
              </m:r>
            </m:e>
            <m:sub>
              <m:r>
                <m:rPr>
                  <m:nor/>
                  <m:sty m:val="p"/>
                </m:rPr>
                <m:t>breakeven</m:t>
              </m:r>
            </m:sub>
          </m:sSub>
          <m:r>
            <m:rPr>
              <m:sty m:val="p"/>
            </m:rPr>
            <m:t>=</m:t>
          </m:r>
          <m:f>
            <m:fPr>
              <m:type m:val="bar"/>
            </m:fPr>
            <m:num>
              <m:r>
                <m:t>30</m:t>
              </m:r>
            </m:num>
            <m:den>
              <m:r>
                <m:t>30</m:t>
              </m:r>
              <m:r>
                <m:rPr>
                  <m:sty m:val="p"/>
                </m:rPr>
                <m:t>+</m:t>
              </m:r>
              <m:r>
                <m:t>1500</m:t>
              </m:r>
            </m:den>
          </m:f>
          <m:r>
            <m:rPr>
              <m:sty m:val="p"/>
            </m:rPr>
            <m:t>=</m:t>
          </m:r>
          <m:r>
            <m:t>0.020</m:t>
          </m:r>
        </m:oMath>
      </m:oMathPara>
    </w:p>
    <w:p>
      <w:pPr>
        <w:pStyle w:val="FirstParagraph"/>
      </w:pPr>
      <w:r>
        <w:t xml:space="preserve">This means that as long as precision exceeds 2%, the framework adds expected value. Even at the most sensitive operating point (</w:t>
      </w:r>
      <m:oMath>
        <m:r>
          <m:t>τ</m:t>
        </m:r>
        <m:r>
          <m:rPr>
            <m:sty m:val="p"/>
          </m:rPr>
          <m:t>=</m:t>
        </m:r>
        <m:r>
          <m:t>0.70</m:t>
        </m:r>
      </m:oMath>
      <w:r>
        <w:t xml:space="preserve">), the expected precision of ~0.15–0.20 is an order of magnitude above the breakeven — strongly supporting the use of the framework even with aggressive (high-recall) settings.</w:t>
      </w:r>
    </w:p>
    <w:p>
      <w:pPr>
        <w:pStyle w:val="BodyText"/>
      </w:pPr>
      <w:r>
        <w:t xml:space="preserve">This calculation is intentionally conservative (understates precision requirement) because it ignores the option value of early warning even when no crisis materialises — being alert to depleted buffers has informational value beyond the binary crisis/no-crisis outcome.</w:t>
      </w:r>
    </w:p>
    <w:p>
      <w:r>
        <w:pict>
          <v:rect style="width:0;height:1.5pt" o:hralign="center" o:hrstd="t" o:hr="t"/>
        </w:pict>
      </w:r>
    </w:p>
    <w:bookmarkEnd w:id="164"/>
    <w:bookmarkEnd w:id="165"/>
    <w:bookmarkStart w:id="166" w:name="cross-reference-updates"/>
    <w:p>
      <w:pPr>
        <w:pStyle w:val="Heading3"/>
      </w:pPr>
      <w:r>
        <w:t xml:space="preserve">Cross-Reference Updates</w:t>
      </w:r>
    </w:p>
    <w:p>
      <w:r>
        <w:pict>
          <v:rect style="width:0;height:1.5pt" o:hralign="center" o:hrstd="t" o:hr="t"/>
        </w:pict>
      </w:r>
    </w:p>
    <w:bookmarkEnd w:id="166"/>
    <w:bookmarkEnd w:id="167"/>
    <w:bookmarkStart w:id="179" w:name="multi-country-extension"/>
    <w:p>
      <w:pPr>
        <w:pStyle w:val="Heading2"/>
      </w:pPr>
      <w:r>
        <w:t xml:space="preserve">16. Multi-Country Extension</w:t>
      </w:r>
    </w:p>
    <w:bookmarkStart w:id="168" w:name="current-status-and-roadmap"/>
    <w:p>
      <w:pPr>
        <w:pStyle w:val="Heading3"/>
      </w:pPr>
      <w:r>
        <w:t xml:space="preserve">16.1 Current Status and Roadmap</w:t>
      </w:r>
    </w:p>
    <w:p>
      <w:pPr>
        <w:pStyle w:val="FirstParagraph"/>
      </w:pPr>
      <w:r>
        <w:t xml:space="preserve">The multi-country extension of the MAC framework is under active development. The current version supports five economies (US, EU, CN, JP, UK) with limited indicator coverage — primarily modern data sources (post-1990) adapted to country-specific threshold structures. A full multi-country MAC with deep historical coverage, validated cross-country calibration, and formal contagion pathway estimation is</w:t>
      </w:r>
      <w:r>
        <w:t xml:space="preserve"> </w:t>
      </w:r>
      <w:r>
        <w:rPr>
          <w:bCs/>
          <w:b/>
        </w:rPr>
        <w:t xml:space="preserve">forthcoming in Version 6.0</w:t>
      </w:r>
      <w:r>
        <w:t xml:space="preserve">.</w:t>
      </w:r>
    </w:p>
    <w:p>
      <w:pPr>
        <w:pStyle w:val="BodyText"/>
      </w:pPr>
      <w:r>
        <w:t xml:space="preserve">This section describes the architecture of the forthcoming extension, the sovereign bond proxy framework that makes deep historical coverage feasible, and the cross-country comparison methodology.</w:t>
      </w:r>
    </w:p>
    <w:bookmarkEnd w:id="168"/>
    <w:bookmarkStart w:id="175" w:name="the-sovereign-bond-proxy-framework"/>
    <w:p>
      <w:pPr>
        <w:pStyle w:val="Heading3"/>
      </w:pPr>
      <w:r>
        <w:t xml:space="preserve">16.2 The Sovereign Bond Proxy Framework</w:t>
      </w:r>
    </w:p>
    <w:bookmarkStart w:id="169" w:name="motivation-5"/>
    <w:p>
      <w:pPr>
        <w:pStyle w:val="Heading4"/>
      </w:pPr>
      <w:r>
        <w:t xml:space="preserve">16.2.1 Motivation</w:t>
      </w:r>
    </w:p>
    <w:p>
      <w:pPr>
        <w:pStyle w:val="FirstParagraph"/>
      </w:pPr>
      <w:r>
        <w:t xml:space="preserve">Constructing a full 7-pillar MAC for non-US economies across the full 1907–2025 backtest period faces an immediate data problem: most of the modern data sources that populate US pillars (CFTC COT, BDC discounts, SLOOS, SOFR) have no foreign equivalents before the 1990s, and even the US-specific indicators thin dramatically before 1954. Building a 7-pillar framework for the UK, France, Germany, or Japan back to 1907 using direct indicator data is not feasible.</w:t>
      </w:r>
    </w:p>
    <w:p>
      <w:pPr>
        <w:pStyle w:val="BodyText"/>
      </w:pPr>
      <w:r>
        <w:t xml:space="preserve">However, a single asset class provides a remarkably rich proxy for aggregate absorption capacity across all major economies with deep historical coverage:</w:t>
      </w:r>
      <w:r>
        <w:t xml:space="preserve"> </w:t>
      </w:r>
      <w:r>
        <w:rPr>
          <w:bCs/>
          <w:b/>
        </w:rPr>
        <w:t xml:space="preserve">sovereign bonds</w:t>
      </w:r>
      <w:r>
        <w:t xml:space="preserve">.</w:t>
      </w:r>
    </w:p>
    <w:p>
      <w:pPr>
        <w:pStyle w:val="BodyText"/>
      </w:pPr>
      <w:r>
        <w:t xml:space="preserve">The yield on a sovereign bond — and, more informatively, the</w:t>
      </w:r>
      <w:r>
        <w:t xml:space="preserve"> </w:t>
      </w:r>
      <w:r>
        <w:rPr>
          <w:iCs/>
          <w:i/>
        </w:rPr>
        <w:t xml:space="preserve">spread</w:t>
      </w:r>
      <w:r>
        <w:t xml:space="preserve"> </w:t>
      </w:r>
      <w:r>
        <w:t xml:space="preserve">between a sovereign bond and a benchmark risk-free rate — embeds information about:</w:t>
      </w:r>
    </w:p>
    <w:p>
      <w:pPr>
        <w:numPr>
          <w:ilvl w:val="0"/>
          <w:numId w:val="1016"/>
        </w:numPr>
        <w:pStyle w:val="Compact"/>
      </w:pPr>
      <w:r>
        <w:rPr>
          <w:bCs/>
          <w:b/>
        </w:rPr>
        <w:t xml:space="preserve">Credit risk</w:t>
      </w:r>
      <w:r>
        <w:t xml:space="preserve"> </w:t>
      </w:r>
      <w:r>
        <w:t xml:space="preserve">— the market’s assessment of default probability (maps to valuation, private credit)</w:t>
      </w:r>
    </w:p>
    <w:p>
      <w:pPr>
        <w:numPr>
          <w:ilvl w:val="0"/>
          <w:numId w:val="1016"/>
        </w:numPr>
        <w:pStyle w:val="Compact"/>
      </w:pPr>
      <w:r>
        <w:rPr>
          <w:bCs/>
          <w:b/>
        </w:rPr>
        <w:t xml:space="preserve">Inflation expectations</w:t>
      </w:r>
      <w:r>
        <w:t xml:space="preserve"> </w:t>
      </w:r>
      <w:r>
        <w:t xml:space="preserve">— expected monetary erosion of real returns (maps to policy)</w:t>
      </w:r>
    </w:p>
    <w:p>
      <w:pPr>
        <w:numPr>
          <w:ilvl w:val="0"/>
          <w:numId w:val="1016"/>
        </w:numPr>
        <w:pStyle w:val="Compact"/>
      </w:pPr>
      <w:r>
        <w:rPr>
          <w:bCs/>
          <w:b/>
        </w:rPr>
        <w:t xml:space="preserve">Liquidity premium</w:t>
      </w:r>
      <w:r>
        <w:t xml:space="preserve"> </w:t>
      </w:r>
      <w:r>
        <w:t xml:space="preserve">— compensation for illiquidity risk (maps to liquidity)</w:t>
      </w:r>
    </w:p>
    <w:p>
      <w:pPr>
        <w:numPr>
          <w:ilvl w:val="0"/>
          <w:numId w:val="1016"/>
        </w:numPr>
        <w:pStyle w:val="Compact"/>
      </w:pPr>
      <w:r>
        <w:rPr>
          <w:bCs/>
          <w:b/>
        </w:rPr>
        <w:t xml:space="preserve">Contagion premium</w:t>
      </w:r>
      <w:r>
        <w:t xml:space="preserve"> </w:t>
      </w:r>
      <w:r>
        <w:t xml:space="preserve">— spillover from global stress events (maps to contagion)</w:t>
      </w:r>
    </w:p>
    <w:p>
      <w:pPr>
        <w:numPr>
          <w:ilvl w:val="0"/>
          <w:numId w:val="1016"/>
        </w:numPr>
        <w:pStyle w:val="Compact"/>
      </w:pPr>
      <w:r>
        <w:rPr>
          <w:bCs/>
          <w:b/>
        </w:rPr>
        <w:t xml:space="preserve">Term premium</w:t>
      </w:r>
      <w:r>
        <w:t xml:space="preserve"> </w:t>
      </w:r>
      <w:r>
        <w:t xml:space="preserve">— compensation for duration risk under uncertainty (maps to volatility)</w:t>
      </w:r>
    </w:p>
    <w:p>
      <w:pPr>
        <w:numPr>
          <w:ilvl w:val="0"/>
          <w:numId w:val="1016"/>
        </w:numPr>
        <w:pStyle w:val="Compact"/>
      </w:pPr>
      <w:r>
        <w:rPr>
          <w:bCs/>
          <w:b/>
        </w:rPr>
        <w:t xml:space="preserve">Capital flow dynamics</w:t>
      </w:r>
      <w:r>
        <w:t xml:space="preserve"> </w:t>
      </w:r>
      <w:r>
        <w:t xml:space="preserve">— sudden stops, surges, and flight-to-quality (maps to positioning, contagion)</w:t>
      </w:r>
    </w:p>
    <w:p>
      <w:pPr>
        <w:pStyle w:val="FirstParagraph"/>
      </w:pPr>
      <w:r>
        <w:t xml:space="preserve">A sovereign bond spread is, in effect, a market-implied aggregate absorption capacity indicator — a single number that the bond market prices by integrating across the same risk dimensions that the MAC pillars measure individually. This does not make sovereign spreads a substitute for the full pillar architecture (they lose the decomposition into individual buffer dimensions), but it makes them a powerful proxy for aggregate MAC levels where pillar-level data is unavailable.</w:t>
      </w:r>
    </w:p>
    <w:bookmarkEnd w:id="169"/>
    <w:bookmarkStart w:id="170" w:name="data-sources"/>
    <w:p>
      <w:pPr>
        <w:pStyle w:val="Heading4"/>
      </w:pPr>
      <w:r>
        <w:t xml:space="preserve">16.2.2 Data Sources</w:t>
      </w:r>
    </w:p>
    <w:p>
      <w:pPr>
        <w:pStyle w:val="FirstParagraph"/>
      </w:pPr>
      <w:r>
        <w:t xml:space="preserve">The following datasets provide sovereign bond data with sufficient historical depth:</w:t>
      </w:r>
    </w:p>
    <w:tbl>
      <w:tblPr>
        <w:tblStyle w:val="Table"/>
        <w:tblW w:type="pct" w:w="5000"/>
        <w:tblLook w:firstRow="1" w:lastRow="0" w:firstColumn="0" w:lastColumn="0" w:noHBand="0" w:noVBand="0" w:val="0020"/>
        <w:jc w:val="start"/>
      </w:tblPr>
      <w:tblGrid>
        <w:gridCol w:w="1293"/>
        <w:gridCol w:w="1616"/>
        <w:gridCol w:w="1293"/>
        <w:gridCol w:w="1777"/>
        <w:gridCol w:w="1939"/>
      </w:tblGrid>
      <w:tr>
        <w:trPr>
          <w:tblHeader w:val="true"/>
        </w:trPr>
        <w:tc>
          <w:tcPr/>
          <w:p>
            <w:pPr>
              <w:pStyle w:val="Compact"/>
              <w:jc w:val="left"/>
            </w:pPr>
            <w:r>
              <w:t xml:space="preserve">Source</w:t>
            </w:r>
          </w:p>
        </w:tc>
        <w:tc>
          <w:tcPr/>
          <w:p>
            <w:pPr>
              <w:pStyle w:val="Compact"/>
              <w:jc w:val="left"/>
            </w:pPr>
            <w:r>
              <w:t xml:space="preserve">Coverage</w:t>
            </w:r>
          </w:p>
        </w:tc>
        <w:tc>
          <w:tcPr/>
          <w:p>
            <w:pPr>
              <w:pStyle w:val="Compact"/>
              <w:jc w:val="left"/>
            </w:pPr>
            <w:r>
              <w:t xml:space="preserve">Period</w:t>
            </w:r>
          </w:p>
        </w:tc>
        <w:tc>
          <w:tcPr/>
          <w:p>
            <w:pPr>
              <w:pStyle w:val="Compact"/>
              <w:jc w:val="left"/>
            </w:pPr>
            <w:r>
              <w:t xml:space="preserve">Frequency</w:t>
            </w:r>
          </w:p>
        </w:tc>
        <w:tc>
          <w:tcPr/>
          <w:p>
            <w:pPr>
              <w:pStyle w:val="Compact"/>
              <w:jc w:val="left"/>
            </w:pPr>
            <w:r>
              <w:t xml:space="preserve">Key Series</w:t>
            </w:r>
          </w:p>
        </w:tc>
      </w:tr>
      <w:tr>
        <w:tc>
          <w:tcPr/>
          <w:p>
            <w:pPr>
              <w:pStyle w:val="Compact"/>
              <w:jc w:val="left"/>
            </w:pPr>
            <w:r>
              <w:rPr>
                <w:bCs/>
                <w:b/>
              </w:rPr>
              <w:t xml:space="preserve">Bank of England</w:t>
            </w:r>
            <w:r>
              <w:rPr>
                <w:bCs/>
                <w:b/>
              </w:rPr>
              <w:t xml:space="preserve"> </w:t>
            </w:r>
            <w:r>
              <w:rPr>
                <w:bCs/>
                <w:b/>
              </w:rPr>
              <w:t xml:space="preserve">“</w:t>
            </w:r>
            <w:r>
              <w:rPr>
                <w:bCs/>
                <w:b/>
              </w:rPr>
              <w:t xml:space="preserve">Millennium of Macroeconomic Data</w:t>
            </w:r>
            <w:r>
              <w:rPr>
                <w:bCs/>
                <w:b/>
              </w:rPr>
              <w:t xml:space="preserve">”</w:t>
            </w:r>
          </w:p>
        </w:tc>
        <w:tc>
          <w:tcPr/>
          <w:p>
            <w:pPr>
              <w:pStyle w:val="Compact"/>
              <w:jc w:val="left"/>
            </w:pPr>
            <w:r>
              <w:t xml:space="preserve">UK</w:t>
            </w:r>
          </w:p>
        </w:tc>
        <w:tc>
          <w:tcPr/>
          <w:p>
            <w:pPr>
              <w:pStyle w:val="Compact"/>
              <w:jc w:val="left"/>
            </w:pPr>
            <w:r>
              <w:t xml:space="preserve">1694–2016</w:t>
            </w:r>
          </w:p>
        </w:tc>
        <w:tc>
          <w:tcPr/>
          <w:p>
            <w:pPr>
              <w:pStyle w:val="Compact"/>
              <w:jc w:val="left"/>
            </w:pPr>
            <w:r>
              <w:t xml:space="preserve">Annual (some monthly)</w:t>
            </w:r>
          </w:p>
        </w:tc>
        <w:tc>
          <w:tcPr/>
          <w:p>
            <w:pPr>
              <w:pStyle w:val="Compact"/>
              <w:jc w:val="left"/>
            </w:pPr>
            <w:r>
              <w:t xml:space="preserve">Consol yields (from ~1729), Bank Rate (from 1694), gilt yields, inflation, GDP</w:t>
            </w:r>
          </w:p>
        </w:tc>
      </w:tr>
      <w:tr>
        <w:tc>
          <w:tcPr/>
          <w:p>
            <w:pPr>
              <w:pStyle w:val="Compact"/>
              <w:jc w:val="left"/>
            </w:pPr>
            <w:r>
              <w:rPr>
                <w:bCs/>
                <w:b/>
              </w:rPr>
              <w:t xml:space="preserve">Shiller (Yale Online Data)</w:t>
            </w:r>
          </w:p>
        </w:tc>
        <w:tc>
          <w:tcPr/>
          <w:p>
            <w:pPr>
              <w:pStyle w:val="Compact"/>
              <w:jc w:val="left"/>
            </w:pPr>
            <w:r>
              <w:t xml:space="preserve">US</w:t>
            </w:r>
          </w:p>
        </w:tc>
        <w:tc>
          <w:tcPr/>
          <w:p>
            <w:pPr>
              <w:pStyle w:val="Compact"/>
              <w:jc w:val="left"/>
            </w:pPr>
            <w:r>
              <w:t xml:space="preserve">1871–present</w:t>
            </w:r>
          </w:p>
        </w:tc>
        <w:tc>
          <w:tcPr/>
          <w:p>
            <w:pPr>
              <w:pStyle w:val="Compact"/>
              <w:jc w:val="left"/>
            </w:pPr>
            <w:r>
              <w:t xml:space="preserve">Monthly</w:t>
            </w:r>
          </w:p>
        </w:tc>
        <w:tc>
          <w:tcPr/>
          <w:p>
            <w:pPr>
              <w:pStyle w:val="Compact"/>
              <w:jc w:val="left"/>
            </w:pPr>
            <w:r>
              <w:t xml:space="preserve">Long-term government bond yield, S&amp;P composite, CPI, earnings</w:t>
            </w:r>
          </w:p>
        </w:tc>
      </w:tr>
      <w:tr>
        <w:tc>
          <w:tcPr/>
          <w:p>
            <w:pPr>
              <w:pStyle w:val="Compact"/>
              <w:jc w:val="left"/>
            </w:pPr>
            <w:r>
              <w:rPr>
                <w:bCs/>
                <w:b/>
              </w:rPr>
              <w:t xml:space="preserve">NBER Macrohistory Database</w:t>
            </w:r>
          </w:p>
        </w:tc>
        <w:tc>
          <w:tcPr/>
          <w:p>
            <w:pPr>
              <w:pStyle w:val="Compact"/>
              <w:jc w:val="left"/>
            </w:pPr>
            <w:r>
              <w:t xml:space="preserve">US, UK</w:t>
            </w:r>
          </w:p>
        </w:tc>
        <w:tc>
          <w:tcPr/>
          <w:p>
            <w:pPr>
              <w:pStyle w:val="Compact"/>
              <w:jc w:val="left"/>
            </w:pPr>
            <w:r>
              <w:t xml:space="preserve">1857–1968</w:t>
            </w:r>
          </w:p>
        </w:tc>
        <w:tc>
          <w:tcPr/>
          <w:p>
            <w:pPr>
              <w:pStyle w:val="Compact"/>
              <w:jc w:val="left"/>
            </w:pPr>
            <w:r>
              <w:t xml:space="preserve">Monthly</w:t>
            </w:r>
          </w:p>
        </w:tc>
        <w:tc>
          <w:tcPr/>
          <w:p>
            <w:pPr>
              <w:pStyle w:val="Compact"/>
              <w:jc w:val="left"/>
            </w:pPr>
            <w:r>
              <w:t xml:space="preserve">Railroad bond yields, government bond yields, call money rates, gold stocks</w:t>
            </w:r>
          </w:p>
        </w:tc>
      </w:tr>
      <w:tr>
        <w:tc>
          <w:tcPr/>
          <w:p>
            <w:pPr>
              <w:pStyle w:val="Compact"/>
              <w:jc w:val="left"/>
            </w:pPr>
            <w:r>
              <w:rPr>
                <w:bCs/>
                <w:b/>
              </w:rPr>
              <w:t xml:space="preserve">Homer &amp; Sylla (2005),</w:t>
            </w:r>
            <w:r>
              <w:rPr>
                <w:bCs/>
                <w:b/>
              </w:rPr>
              <w:t xml:space="preserve"> </w:t>
            </w:r>
            <w:r>
              <w:rPr>
                <w:iCs/>
                <w:i/>
                <w:bCs/>
                <w:b/>
              </w:rPr>
              <w:t xml:space="preserve">A History of Interest Rates</w:t>
            </w:r>
          </w:p>
        </w:tc>
        <w:tc>
          <w:tcPr/>
          <w:p>
            <w:pPr>
              <w:pStyle w:val="Compact"/>
              <w:jc w:val="left"/>
            </w:pPr>
            <w:r>
              <w:t xml:space="preserve">Global</w:t>
            </w:r>
          </w:p>
        </w:tc>
        <w:tc>
          <w:tcPr/>
          <w:p>
            <w:pPr>
              <w:pStyle w:val="Compact"/>
              <w:jc w:val="left"/>
            </w:pPr>
            <w:r>
              <w:t xml:space="preserve">Antiquity–2005</w:t>
            </w:r>
          </w:p>
        </w:tc>
        <w:tc>
          <w:tcPr/>
          <w:p>
            <w:pPr>
              <w:pStyle w:val="Compact"/>
              <w:jc w:val="left"/>
            </w:pPr>
            <w:r>
              <w:t xml:space="preserve">Varies</w:t>
            </w:r>
          </w:p>
        </w:tc>
        <w:tc>
          <w:tcPr/>
          <w:p>
            <w:pPr>
              <w:pStyle w:val="Compact"/>
              <w:jc w:val="left"/>
            </w:pPr>
            <w:r>
              <w:t xml:space="preserve">Sovereign yields for UK, France, Netherlands, Germany, Italy, Japan</w:t>
            </w:r>
          </w:p>
        </w:tc>
      </w:tr>
      <w:tr>
        <w:tc>
          <w:tcPr/>
          <w:p>
            <w:pPr>
              <w:pStyle w:val="Compact"/>
              <w:jc w:val="left"/>
            </w:pPr>
            <w:r>
              <w:rPr>
                <w:bCs/>
                <w:b/>
              </w:rPr>
              <w:t xml:space="preserve">Meyer, Reinhart &amp; Trebesch (2019),</w:t>
            </w:r>
            <w:r>
              <w:rPr>
                <w:bCs/>
                <w:b/>
              </w:rPr>
              <w:t xml:space="preserve"> </w:t>
            </w:r>
            <w:r>
              <w:rPr>
                <w:bCs/>
                <w:b/>
              </w:rPr>
              <w:t xml:space="preserve">“</w:t>
            </w:r>
            <w:r>
              <w:rPr>
                <w:bCs/>
                <w:b/>
              </w:rPr>
              <w:t xml:space="preserve">Sovereign Bonds Since Waterloo</w:t>
            </w:r>
            <w:r>
              <w:rPr>
                <w:bCs/>
                <w:b/>
              </w:rPr>
              <w:t xml:space="preserve">”</w:t>
            </w:r>
          </w:p>
        </w:tc>
        <w:tc>
          <w:tcPr/>
          <w:p>
            <w:pPr>
              <w:pStyle w:val="Compact"/>
              <w:jc w:val="left"/>
            </w:pPr>
            <w:r>
              <w:t xml:space="preserve">91 countries</w:t>
            </w:r>
          </w:p>
        </w:tc>
        <w:tc>
          <w:tcPr/>
          <w:p>
            <w:pPr>
              <w:pStyle w:val="Compact"/>
              <w:jc w:val="left"/>
            </w:pPr>
            <w:r>
              <w:t xml:space="preserve">1815–2016</w:t>
            </w:r>
          </w:p>
        </w:tc>
        <w:tc>
          <w:tcPr/>
          <w:p>
            <w:pPr>
              <w:pStyle w:val="Compact"/>
              <w:jc w:val="left"/>
            </w:pPr>
            <w:r>
              <w:t xml:space="preserve">Annual/monthly</w:t>
            </w:r>
          </w:p>
        </w:tc>
        <w:tc>
          <w:tcPr/>
          <w:p>
            <w:pPr>
              <w:pStyle w:val="Compact"/>
              <w:jc w:val="left"/>
            </w:pPr>
            <w:r>
              <w:t xml:space="preserve">Sovereign bond prices, yields, total returns, haircuts, default events</w:t>
            </w:r>
          </w:p>
        </w:tc>
      </w:tr>
      <w:tr>
        <w:tc>
          <w:tcPr/>
          <w:p>
            <w:pPr>
              <w:pStyle w:val="Compact"/>
              <w:jc w:val="left"/>
            </w:pPr>
            <w:r>
              <w:rPr>
                <w:bCs/>
                <w:b/>
              </w:rPr>
              <w:t xml:space="preserve">Reinhart &amp; Rogoff (2009),</w:t>
            </w:r>
            <w:r>
              <w:rPr>
                <w:bCs/>
                <w:b/>
              </w:rPr>
              <w:t xml:space="preserve"> </w:t>
            </w:r>
            <w:r>
              <w:rPr>
                <w:iCs/>
                <w:i/>
                <w:bCs/>
                <w:b/>
              </w:rPr>
              <w:t xml:space="preserve">This Time Is Different</w:t>
            </w:r>
          </w:p>
        </w:tc>
        <w:tc>
          <w:tcPr/>
          <w:p>
            <w:pPr>
              <w:pStyle w:val="Compact"/>
              <w:jc w:val="left"/>
            </w:pPr>
            <w:r>
              <w:t xml:space="preserve">66 countries</w:t>
            </w:r>
          </w:p>
        </w:tc>
        <w:tc>
          <w:tcPr/>
          <w:p>
            <w:pPr>
              <w:pStyle w:val="Compact"/>
              <w:jc w:val="left"/>
            </w:pPr>
            <w:r>
              <w:t xml:space="preserve">1800–2008</w:t>
            </w:r>
          </w:p>
        </w:tc>
        <w:tc>
          <w:tcPr/>
          <w:p>
            <w:pPr>
              <w:pStyle w:val="Compact"/>
              <w:jc w:val="left"/>
            </w:pPr>
            <w:r>
              <w:t xml:space="preserve">Annual</w:t>
            </w:r>
          </w:p>
        </w:tc>
        <w:tc>
          <w:tcPr/>
          <w:p>
            <w:pPr>
              <w:pStyle w:val="Compact"/>
              <w:jc w:val="left"/>
            </w:pPr>
            <w:r>
              <w:t xml:space="preserve">Sovereign default dates, debt/GDP, banking crisis dates, inflation crises</w:t>
            </w:r>
          </w:p>
        </w:tc>
      </w:tr>
      <w:tr>
        <w:tc>
          <w:tcPr/>
          <w:p>
            <w:pPr>
              <w:pStyle w:val="Compact"/>
              <w:jc w:val="left"/>
            </w:pPr>
            <w:r>
              <w:rPr>
                <w:bCs/>
                <w:b/>
              </w:rPr>
              <w:t xml:space="preserve">FRED</w:t>
            </w:r>
          </w:p>
        </w:tc>
        <w:tc>
          <w:tcPr/>
          <w:p>
            <w:pPr>
              <w:pStyle w:val="Compact"/>
              <w:jc w:val="left"/>
            </w:pPr>
            <w:r>
              <w:t xml:space="preserve">US, major economies</w:t>
            </w:r>
          </w:p>
        </w:tc>
        <w:tc>
          <w:tcPr/>
          <w:p>
            <w:pPr>
              <w:pStyle w:val="Compact"/>
              <w:jc w:val="left"/>
            </w:pPr>
            <w:r>
              <w:t xml:space="preserve">1913–present</w:t>
            </w:r>
          </w:p>
        </w:tc>
        <w:tc>
          <w:tcPr/>
          <w:p>
            <w:pPr>
              <w:pStyle w:val="Compact"/>
              <w:jc w:val="left"/>
            </w:pPr>
            <w:r>
              <w:t xml:space="preserve">Daily/weekly</w:t>
            </w:r>
          </w:p>
        </w:tc>
        <w:tc>
          <w:tcPr/>
          <w:p>
            <w:pPr>
              <w:pStyle w:val="Compact"/>
              <w:jc w:val="left"/>
            </w:pPr>
            <w:r>
              <w:t xml:space="preserve">DGS10, IRLTLT01 (OECD long-term rates for 30+ countries)</w:t>
            </w:r>
          </w:p>
        </w:tc>
      </w:tr>
      <w:tr>
        <w:tc>
          <w:tcPr/>
          <w:p>
            <w:pPr>
              <w:pStyle w:val="Compact"/>
              <w:jc w:val="left"/>
            </w:pPr>
            <w:r>
              <w:rPr>
                <w:bCs/>
                <w:b/>
              </w:rPr>
              <w:t xml:space="preserve">IMF IFS</w:t>
            </w:r>
          </w:p>
        </w:tc>
        <w:tc>
          <w:tcPr/>
          <w:p>
            <w:pPr>
              <w:pStyle w:val="Compact"/>
              <w:jc w:val="left"/>
            </w:pPr>
            <w:r>
              <w:t xml:space="preserve">180+ countries</w:t>
            </w:r>
          </w:p>
        </w:tc>
        <w:tc>
          <w:tcPr/>
          <w:p>
            <w:pPr>
              <w:pStyle w:val="Compact"/>
              <w:jc w:val="left"/>
            </w:pPr>
            <w:r>
              <w:t xml:space="preserve">1948–present</w:t>
            </w:r>
          </w:p>
        </w:tc>
        <w:tc>
          <w:tcPr/>
          <w:p>
            <w:pPr>
              <w:pStyle w:val="Compact"/>
              <w:jc w:val="left"/>
            </w:pPr>
            <w:r>
              <w:t xml:space="preserve">Monthly/quarterly</w:t>
            </w:r>
          </w:p>
        </w:tc>
        <w:tc>
          <w:tcPr/>
          <w:p>
            <w:pPr>
              <w:pStyle w:val="Compact"/>
              <w:jc w:val="left"/>
            </w:pPr>
            <w:r>
              <w:t xml:space="preserve">Government bond yields, CPI, reserves, exchange rates</w:t>
            </w:r>
          </w:p>
        </w:tc>
      </w:tr>
      <w:tr>
        <w:tc>
          <w:tcPr/>
          <w:p>
            <w:pPr>
              <w:pStyle w:val="Compact"/>
              <w:jc w:val="left"/>
            </w:pPr>
            <w:r>
              <w:rPr>
                <w:bCs/>
                <w:b/>
              </w:rPr>
              <w:t xml:space="preserve">ECB SDW</w:t>
            </w:r>
          </w:p>
        </w:tc>
        <w:tc>
          <w:tcPr/>
          <w:p>
            <w:pPr>
              <w:pStyle w:val="Compact"/>
              <w:jc w:val="left"/>
            </w:pPr>
            <w:r>
              <w:t xml:space="preserve">Euro area</w:t>
            </w:r>
          </w:p>
        </w:tc>
        <w:tc>
          <w:tcPr/>
          <w:p>
            <w:pPr>
              <w:pStyle w:val="Compact"/>
              <w:jc w:val="left"/>
            </w:pPr>
            <w:r>
              <w:t xml:space="preserve">1970–present</w:t>
            </w:r>
          </w:p>
        </w:tc>
        <w:tc>
          <w:tcPr/>
          <w:p>
            <w:pPr>
              <w:pStyle w:val="Compact"/>
              <w:jc w:val="left"/>
            </w:pPr>
            <w:r>
              <w:t xml:space="preserve">Daily</w:t>
            </w:r>
          </w:p>
        </w:tc>
        <w:tc>
          <w:tcPr/>
          <w:p>
            <w:pPr>
              <w:pStyle w:val="Compact"/>
              <w:jc w:val="left"/>
            </w:pPr>
            <w:r>
              <w:t xml:space="preserve">Euro area government bond yields by country</w:t>
            </w:r>
          </w:p>
        </w:tc>
      </w:tr>
    </w:tbl>
    <w:bookmarkEnd w:id="170"/>
    <w:bookmarkStart w:id="171" w:name="sovereign-spread-construction"/>
    <w:p>
      <w:pPr>
        <w:pStyle w:val="Heading4"/>
      </w:pPr>
      <w:r>
        <w:t xml:space="preserve">16.2.3 Sovereign Spread Construction</w:t>
      </w:r>
    </w:p>
    <w:p>
      <w:pPr>
        <w:pStyle w:val="FirstParagraph"/>
      </w:pPr>
      <w:r>
        <w:t xml:space="preserve">For each target country</w:t>
      </w:r>
      <w:r>
        <w:t xml:space="preserve"> </w:t>
      </w:r>
      <m:oMath>
        <m:r>
          <m:t>j</m:t>
        </m:r>
      </m:oMath>
      <w:r>
        <w:t xml:space="preserve">, we construct a</w:t>
      </w:r>
      <w:r>
        <w:t xml:space="preserve"> </w:t>
      </w:r>
      <w:r>
        <w:rPr>
          <w:bCs/>
          <w:b/>
        </w:rPr>
        <w:t xml:space="preserve">sovereign stress spread</w:t>
      </w:r>
      <w:r>
        <w:t xml:space="preserve"> </w:t>
      </w:r>
      <w:r>
        <w:t xml:space="preserve">relative to a benchmark:</w:t>
      </w:r>
    </w:p>
    <w:p>
      <w:pPr>
        <w:pStyle w:val="BodyText"/>
      </w:pPr>
      <m:oMathPara>
        <m:oMathParaPr>
          <m:jc m:val="center"/>
        </m:oMathParaPr>
        <m:oMath>
          <m:sSub>
            <m:e>
              <m:r>
                <m:rPr>
                  <m:nor/>
                  <m:sty m:val="p"/>
                </m:rPr>
                <m:t>SS</m:t>
              </m:r>
            </m:e>
            <m:sub>
              <m:r>
                <m:t>j</m:t>
              </m:r>
              <m:r>
                <m:rPr>
                  <m:sty m:val="p"/>
                </m:rPr>
                <m:t>,</m:t>
              </m:r>
              <m:r>
                <m:t>t</m:t>
              </m:r>
            </m:sub>
          </m:sSub>
          <m:r>
            <m:rPr>
              <m:sty m:val="p"/>
            </m:rPr>
            <m:t>=</m:t>
          </m:r>
          <m:sSubSup>
            <m:e>
              <m:r>
                <m:t>y</m:t>
              </m:r>
            </m:e>
            <m:sub>
              <m:r>
                <m:t>j</m:t>
              </m:r>
              <m:r>
                <m:rPr>
                  <m:sty m:val="p"/>
                </m:rPr>
                <m:t>,</m:t>
              </m:r>
              <m:r>
                <m:t>t</m:t>
              </m:r>
            </m:sub>
            <m:sup>
              <m:r>
                <m:rPr>
                  <m:nor/>
                  <m:sty m:val="p"/>
                </m:rPr>
                <m:t>gov</m:t>
              </m:r>
            </m:sup>
          </m:sSubSup>
          <m:r>
            <m:rPr>
              <m:sty m:val="p"/>
            </m:rPr>
            <m:t>−</m:t>
          </m:r>
          <m:sSub>
            <m:e>
              <m:r>
                <m:t>y</m:t>
              </m:r>
            </m:e>
            <m:sub>
              <m:r>
                <m:rPr>
                  <m:nor/>
                  <m:sty m:val="p"/>
                </m:rPr>
                <m:t>bench</m:t>
              </m:r>
              <m:r>
                <m:rPr>
                  <m:sty m:val="p"/>
                </m:rPr>
                <m:t>,</m:t>
              </m:r>
              <m:r>
                <m:t>t</m:t>
              </m:r>
            </m:sub>
          </m:sSub>
        </m:oMath>
      </m:oMathPara>
    </w:p>
    <w:p>
      <w:pPr>
        <w:pStyle w:val="FirstParagraph"/>
      </w:pPr>
      <w:r>
        <w:t xml:space="preserve">The benchmark depends on the era:</w:t>
      </w:r>
    </w:p>
    <w:tbl>
      <w:tblPr>
        <w:tblStyle w:val="Table"/>
        <w:tblW w:type="pct" w:w="5000"/>
        <w:tblLook w:firstRow="1" w:lastRow="0" w:firstColumn="0" w:lastColumn="0" w:noHBand="0" w:noVBand="0" w:val="0020"/>
        <w:jc w:val="start"/>
      </w:tblPr>
      <w:tblGrid>
        <w:gridCol w:w="2112"/>
        <w:gridCol w:w="2904"/>
        <w:gridCol w:w="2904"/>
      </w:tblGrid>
      <w:tr>
        <w:trPr>
          <w:tblHeader w:val="true"/>
        </w:trPr>
        <w:tc>
          <w:tcPr/>
          <w:p>
            <w:pPr>
              <w:pStyle w:val="Compact"/>
              <w:jc w:val="left"/>
            </w:pPr>
            <w:r>
              <w:t xml:space="preserve">Period</w:t>
            </w:r>
          </w:p>
        </w:tc>
        <w:tc>
          <w:tcPr/>
          <w:p>
            <w:pPr>
              <w:pStyle w:val="Compact"/>
              <w:jc w:val="left"/>
            </w:pPr>
            <w:r>
              <w:t xml:space="preserve">Benchmark</w:t>
            </w:r>
          </w:p>
        </w:tc>
        <w:tc>
          <w:tcPr/>
          <w:p>
            <w:pPr>
              <w:pStyle w:val="Compact"/>
              <w:jc w:val="left"/>
            </w:pPr>
            <w:r>
              <w:t xml:space="preserve">Rationale</w:t>
            </w:r>
          </w:p>
        </w:tc>
      </w:tr>
      <w:tr>
        <w:tc>
          <w:tcPr/>
          <w:p>
            <w:pPr>
              <w:pStyle w:val="Compact"/>
              <w:jc w:val="left"/>
            </w:pPr>
            <w:r>
              <w:t xml:space="preserve">1815–1913</w:t>
            </w:r>
          </w:p>
        </w:tc>
        <w:tc>
          <w:tcPr/>
          <w:p>
            <w:pPr>
              <w:pStyle w:val="Compact"/>
              <w:jc w:val="left"/>
            </w:pPr>
            <w:r>
              <w:t xml:space="preserve">UK Consol yield</w:t>
            </w:r>
          </w:p>
        </w:tc>
        <w:tc>
          <w:tcPr/>
          <w:p>
            <w:pPr>
              <w:pStyle w:val="Compact"/>
              <w:jc w:val="left"/>
            </w:pPr>
            <w:r>
              <w:t xml:space="preserve">Sterling was the global reserve currency; Consols were the risk-free benchmark</w:t>
            </w:r>
          </w:p>
        </w:tc>
      </w:tr>
      <w:tr>
        <w:tc>
          <w:tcPr/>
          <w:p>
            <w:pPr>
              <w:pStyle w:val="Compact"/>
              <w:jc w:val="left"/>
            </w:pPr>
            <w:r>
              <w:t xml:space="preserve">1914–1944</w:t>
            </w:r>
          </w:p>
        </w:tc>
        <w:tc>
          <w:tcPr/>
          <w:p>
            <w:pPr>
              <w:pStyle w:val="Compact"/>
              <w:jc w:val="left"/>
            </w:pPr>
            <w:r>
              <w:t xml:space="preserve">Blend: UK gilt (50%) + US Treasury (50%)</w:t>
            </w:r>
          </w:p>
        </w:tc>
        <w:tc>
          <w:tcPr/>
          <w:p>
            <w:pPr>
              <w:pStyle w:val="Compact"/>
              <w:jc w:val="left"/>
            </w:pPr>
            <w:r>
              <w:t xml:space="preserve">Transition period; sterling declining, dollar rising</w:t>
            </w:r>
          </w:p>
        </w:tc>
      </w:tr>
      <w:tr>
        <w:tc>
          <w:tcPr/>
          <w:p>
            <w:pPr>
              <w:pStyle w:val="Compact"/>
              <w:jc w:val="left"/>
            </w:pPr>
            <w:r>
              <w:t xml:space="preserve">1945–present</w:t>
            </w:r>
          </w:p>
        </w:tc>
        <w:tc>
          <w:tcPr/>
          <w:p>
            <w:pPr>
              <w:pStyle w:val="Compact"/>
              <w:jc w:val="left"/>
            </w:pPr>
            <w:r>
              <w:t xml:space="preserve">US 10Y Treasury yield (DGS10 or Shiller proxy)</w:t>
            </w:r>
          </w:p>
        </w:tc>
        <w:tc>
          <w:tcPr/>
          <w:p>
            <w:pPr>
              <w:pStyle w:val="Compact"/>
              <w:jc w:val="left"/>
            </w:pPr>
            <w:r>
              <w:t xml:space="preserve">Dollar hegemony; Treasuries are the global risk-free benchmark</w:t>
            </w:r>
          </w:p>
        </w:tc>
      </w:tr>
    </w:tbl>
    <w:p>
      <w:pPr>
        <w:pStyle w:val="BodyText"/>
      </w:pPr>
      <w:r>
        <w:t xml:space="preserve">For the</w:t>
      </w:r>
      <w:r>
        <w:t xml:space="preserve"> </w:t>
      </w:r>
      <w:r>
        <w:rPr>
          <w:bCs/>
          <w:b/>
        </w:rPr>
        <w:t xml:space="preserve">US itself</w:t>
      </w:r>
      <w:r>
        <w:t xml:space="preserve">, the sovereign stress spread is not meaningful (the US</w:t>
      </w:r>
      <w:r>
        <w:t xml:space="preserve"> </w:t>
      </w:r>
      <w:r>
        <w:rPr>
          <w:iCs/>
          <w:i/>
        </w:rPr>
        <w:t xml:space="preserve">is</w:t>
      </w:r>
      <w:r>
        <w:t xml:space="preserve"> </w:t>
      </w:r>
      <w:r>
        <w:t xml:space="preserve">the benchmark from 1945). Instead, we use the US MAC framework directly for the post-1945 period, and the spread over UK Consols for the pre-1914 period (when the US was a net debtor and its sovereign bonds traded at a premium to gilts reflecting higher perceived credit risk).</w:t>
      </w:r>
    </w:p>
    <w:bookmarkEnd w:id="171"/>
    <w:bookmarkStart w:id="172" w:name="Xa329d171bfdfc5c4c6e4a5ffc5121af6e877fe0"/>
    <w:p>
      <w:pPr>
        <w:pStyle w:val="Heading4"/>
      </w:pPr>
      <w:r>
        <w:t xml:space="preserve">16.2.4 Sovereign Spread → Aggregate MAC Proxy Mapping</w:t>
      </w:r>
    </w:p>
    <w:p>
      <w:pPr>
        <w:pStyle w:val="FirstParagraph"/>
      </w:pPr>
      <w:r>
        <w:t xml:space="preserve">The sovereign stress spread is mapped to an approximate aggregate MAC score through a calibrated transfer function. The calibration is performed over overlap periods where both the full pillar-level MAC and the sovereign spread are available:</w:t>
      </w:r>
    </w:p>
    <w:p>
      <w:pPr>
        <w:pStyle w:val="BodyText"/>
      </w:pPr>
      <w:r>
        <w:rPr>
          <w:bCs/>
          <w:b/>
        </w:rPr>
        <w:t xml:space="preserve">Step 1 — Overlap calibration (1990–2025 for EU, JP, UK).</w:t>
      </w:r>
    </w:p>
    <w:p>
      <w:pPr>
        <w:pStyle w:val="BodyText"/>
      </w:pPr>
      <w:r>
        <w:t xml:space="preserve">For each country with modern data, compute the correlation between the full multi-indicator MAC score and the sovereign stress spread over the overlap period. Estimate a mapping function:</w:t>
      </w:r>
    </w:p>
    <w:p>
      <w:pPr>
        <w:pStyle w:val="BodyText"/>
      </w:pPr>
      <m:oMathPara>
        <m:oMathParaPr>
          <m:jc m:val="center"/>
        </m:oMathParaPr>
        <m:oMath>
          <m:sSubSup>
            <m:e>
              <m:acc>
                <m:accPr>
                  <m:chr m:val="̂"/>
                </m:accPr>
                <m:e>
                  <m:r>
                    <m:rPr>
                      <m:nor/>
                      <m:sty m:val="p"/>
                    </m:rPr>
                    <m:t>MAC</m:t>
                  </m:r>
                </m:e>
              </m:acc>
            </m:e>
            <m:sub>
              <m:r>
                <m:t>j</m:t>
              </m:r>
              <m:r>
                <m:rPr>
                  <m:sty m:val="p"/>
                </m:rPr>
                <m:t>,</m:t>
              </m:r>
              <m:r>
                <m:t>t</m:t>
              </m:r>
            </m:sub>
            <m:sup>
              <m:r>
                <m:rPr>
                  <m:nor/>
                  <m:sty m:val="p"/>
                </m:rPr>
                <m:t>proxy</m:t>
              </m:r>
            </m:sup>
          </m:sSubSup>
          <m:r>
            <m:rPr>
              <m:sty m:val="p"/>
            </m:rPr>
            <m:t>=</m:t>
          </m:r>
          <m:r>
            <m:t>f</m:t>
          </m:r>
          <m:d>
            <m:dPr>
              <m:begChr m:val="("/>
              <m:endChr m:val=")"/>
              <m:sepChr m:val=""/>
              <m:grow/>
            </m:dPr>
            <m:e>
              <m:sSub>
                <m:e>
                  <m:r>
                    <m:rPr>
                      <m:nor/>
                      <m:sty m:val="p"/>
                    </m:rPr>
                    <m:t>SS</m:t>
                  </m:r>
                </m:e>
                <m:sub>
                  <m:r>
                    <m:t>j</m:t>
                  </m:r>
                  <m:r>
                    <m:rPr>
                      <m:sty m:val="p"/>
                    </m:rPr>
                    <m:t>,</m:t>
                  </m:r>
                  <m:r>
                    <m:t>t</m:t>
                  </m:r>
                </m:sub>
              </m:sSub>
            </m:e>
          </m:d>
          <m:r>
            <m:rPr>
              <m:sty m:val="p"/>
            </m:rPr>
            <m:t>=</m:t>
          </m:r>
          <m:sSub>
            <m:e>
              <m:r>
                <m:t>a</m:t>
              </m:r>
            </m:e>
            <m:sub>
              <m:r>
                <m:t>j</m:t>
              </m:r>
            </m:sub>
          </m:sSub>
          <m:r>
            <m:rPr>
              <m:sty m:val="p"/>
            </m:rPr>
            <m:t>−</m:t>
          </m:r>
          <m:sSub>
            <m:e>
              <m:r>
                <m:t>b</m:t>
              </m:r>
            </m:e>
            <m:sub>
              <m:r>
                <m:t>j</m:t>
              </m:r>
            </m:sub>
          </m:sSub>
          <m:r>
            <m:rPr>
              <m:sty m:val="p"/>
            </m:rPr>
            <m:t>⋅</m:t>
          </m:r>
          <m:sSub>
            <m:e>
              <m:r>
                <m:rPr>
                  <m:nor/>
                  <m:sty m:val="p"/>
                </m:rPr>
                <m:t>SS</m:t>
              </m:r>
            </m:e>
            <m:sub>
              <m:r>
                <m:t>j</m:t>
              </m:r>
              <m:r>
                <m:rPr>
                  <m:sty m:val="p"/>
                </m:rPr>
                <m:t>,</m:t>
              </m:r>
              <m:r>
                <m:t>t</m:t>
              </m:r>
            </m:sub>
          </m:sSub>
          <m:r>
            <m:rPr>
              <m:sty m:val="p"/>
            </m:rPr>
            <m:t>+</m:t>
          </m:r>
          <m:sSub>
            <m:e>
              <m:r>
                <m:t>c</m:t>
              </m:r>
            </m:e>
            <m:sub>
              <m:r>
                <m:t>j</m:t>
              </m:r>
            </m:sub>
          </m:sSub>
          <m:r>
            <m:rPr>
              <m:sty m:val="p"/>
            </m:rPr>
            <m:t>⋅</m:t>
          </m:r>
          <m:sSubSup>
            <m:e>
              <m:r>
                <m:rPr>
                  <m:nor/>
                  <m:sty m:val="p"/>
                </m:rPr>
                <m:t>SS</m:t>
              </m:r>
            </m:e>
            <m:sub>
              <m:r>
                <m:t>j</m:t>
              </m:r>
              <m:r>
                <m:rPr>
                  <m:sty m:val="p"/>
                </m:rPr>
                <m:t>,</m:t>
              </m:r>
              <m:r>
                <m:t>t</m:t>
              </m:r>
            </m:sub>
            <m:sup>
              <m:r>
                <m:t>2</m:t>
              </m:r>
            </m:sup>
          </m:sSubSup>
        </m:oMath>
      </m:oMathPara>
    </w:p>
    <w:p>
      <w:pPr>
        <w:pStyle w:val="FirstParagraph"/>
      </w:pPr>
      <w:r>
        <w:t xml:space="preserve">The quadratic term captures the non-linearity observed at the extremes: very wide spreads (crisis) compress MAC scores non-linearly, while very narrow spreads (complacency) may warrant mild penalisation (analogous to the two-sided valuation scoring in §4.2).</w:t>
      </w:r>
    </w:p>
    <w:p>
      <w:pPr>
        <w:pStyle w:val="BodyText"/>
      </w:pPr>
      <w:r>
        <w:rPr>
          <w:bCs/>
          <w:b/>
        </w:rPr>
        <w:t xml:space="preserve">Step 2 — Historical extrapolation.</w:t>
      </w:r>
    </w:p>
    <w:p>
      <w:pPr>
        <w:pStyle w:val="BodyText"/>
      </w:pPr>
      <w:r>
        <w:t xml:space="preserve">The calibrated mapping function is applied to the historical sovereign spread series, producing proxy MAC scores for periods where pillar-level data is unavailable. The quadratic coefficients (</w:t>
      </w:r>
      <m:oMath>
        <m:sSub>
          <m:e>
            <m:r>
              <m:t>a</m:t>
            </m:r>
          </m:e>
          <m:sub>
            <m:r>
              <m:t>j</m:t>
            </m:r>
          </m:sub>
        </m:sSub>
      </m:oMath>
      <w:r>
        <w:t xml:space="preserve">,</w:t>
      </w:r>
      <w:r>
        <w:t xml:space="preserve"> </w:t>
      </w:r>
      <m:oMath>
        <m:sSub>
          <m:e>
            <m:r>
              <m:t>b</m:t>
            </m:r>
          </m:e>
          <m:sub>
            <m:r>
              <m:t>j</m:t>
            </m:r>
          </m:sub>
        </m:sSub>
      </m:oMath>
      <w:r>
        <w:t xml:space="preserve">,</w:t>
      </w:r>
      <w:r>
        <w:t xml:space="preserve"> </w:t>
      </w:r>
      <m:oMath>
        <m:sSub>
          <m:e>
            <m:r>
              <m:t>c</m:t>
            </m:r>
          </m:e>
          <m:sub>
            <m:r>
              <m:t>j</m:t>
            </m:r>
          </m:sub>
        </m:sSub>
      </m:oMath>
      <w:r>
        <w:t xml:space="preserve">) are estimated per-country, reflecting that 100 bps of spread means different things for Germany (historically low-spread) versus Italy (historically higher-spread).</w:t>
      </w:r>
    </w:p>
    <w:p>
      <w:pPr>
        <w:pStyle w:val="BodyText"/>
      </w:pPr>
      <w:r>
        <w:rPr>
          <w:bCs/>
          <w:b/>
        </w:rPr>
        <w:t xml:space="preserve">Step 3 — Uncertainty bands.</w:t>
      </w:r>
    </w:p>
    <w:p>
      <w:pPr>
        <w:pStyle w:val="BodyText"/>
      </w:pPr>
      <w:r>
        <w:t xml:space="preserve">The proxy MAC carries inherent estimation uncertainty. The framework reports proxy MAC scores with 80% confidence bands derived from the residual standard error of the overlap-period regression. Typical band widths are ±0.08 to ±0.12, narrower than the MAC threshold bands (0.20) but wide enough to warrant caution for scores near boundaries.</w:t>
      </w:r>
    </w:p>
    <w:bookmarkEnd w:id="172"/>
    <w:bookmarkStart w:id="173" w:name="country-specific-application"/>
    <w:p>
      <w:pPr>
        <w:pStyle w:val="Heading4"/>
      </w:pPr>
      <w:r>
        <w:t xml:space="preserve">16.2.5 Country-Specific Application</w:t>
      </w:r>
    </w:p>
    <w:p>
      <w:pPr>
        <w:pStyle w:val="FirstParagraph"/>
      </w:pPr>
      <w:r>
        <w:rPr>
          <w:bCs/>
          <w:b/>
        </w:rPr>
        <w:t xml:space="preserve">United Kingdom — The Deepest Historical Series</w:t>
      </w:r>
    </w:p>
    <w:p>
      <w:pPr>
        <w:pStyle w:val="BodyText"/>
      </w:pPr>
      <w:r>
        <w:t xml:space="preserve">UK sovereign bond data is the richest historical source available. Consol yields exist from approximately 1729 (annual) and are considered reliable from approximately 1753. Combined with Bank Rate (from 1694), RPI (from 1750 via BoE Millennium dataset), and nominal GDP (from 1700), the UK has sufficient data for a multi-century sovereign proxy MAC.</w:t>
      </w:r>
    </w:p>
    <w:p>
      <w:pPr>
        <w:pStyle w:val="BodyText"/>
      </w:pPr>
      <w:r>
        <w:t xml:space="preserve">Key UK-specific thresholds would be calibrated against known stress episodes:</w:t>
      </w:r>
    </w:p>
    <w:tbl>
      <w:tblPr>
        <w:tblStyle w:val="Table"/>
        <w:tblW w:type="pct" w:w="5000"/>
        <w:tblLook w:firstRow="1" w:lastRow="0" w:firstColumn="0" w:lastColumn="0" w:noHBand="0" w:noVBand="0" w:val="0020"/>
        <w:jc w:val="start"/>
      </w:tblPr>
      <w:tblGrid>
        <w:gridCol w:w="1425"/>
        <w:gridCol w:w="950"/>
        <w:gridCol w:w="3484"/>
        <w:gridCol w:w="2059"/>
      </w:tblGrid>
      <w:tr>
        <w:trPr>
          <w:tblHeader w:val="true"/>
        </w:trPr>
        <w:tc>
          <w:tcPr/>
          <w:p>
            <w:pPr>
              <w:pStyle w:val="Compact"/>
              <w:jc w:val="left"/>
            </w:pPr>
            <w:r>
              <w:t xml:space="preserve">Episode</w:t>
            </w:r>
          </w:p>
        </w:tc>
        <w:tc>
          <w:tcPr/>
          <w:p>
            <w:pPr>
              <w:pStyle w:val="Compact"/>
              <w:jc w:val="left"/>
            </w:pPr>
            <w:r>
              <w:t xml:space="preserve">Date</w:t>
            </w:r>
          </w:p>
        </w:tc>
        <w:tc>
          <w:tcPr/>
          <w:p>
            <w:pPr>
              <w:pStyle w:val="Compact"/>
              <w:jc w:val="left"/>
            </w:pPr>
            <w:r>
              <w:t xml:space="preserve">Consol Yield / Spread</w:t>
            </w:r>
          </w:p>
        </w:tc>
        <w:tc>
          <w:tcPr/>
          <w:p>
            <w:pPr>
              <w:pStyle w:val="Compact"/>
              <w:jc w:val="left"/>
            </w:pPr>
            <w:r>
              <w:t xml:space="preserve">Expected MAC</w:t>
            </w:r>
          </w:p>
        </w:tc>
      </w:tr>
      <w:tr>
        <w:tc>
          <w:tcPr/>
          <w:p>
            <w:pPr>
              <w:pStyle w:val="Compact"/>
              <w:jc w:val="left"/>
            </w:pPr>
            <w:r>
              <w:t xml:space="preserve">South Sea Bubble</w:t>
            </w:r>
          </w:p>
        </w:tc>
        <w:tc>
          <w:tcPr/>
          <w:p>
            <w:pPr>
              <w:pStyle w:val="Compact"/>
              <w:jc w:val="left"/>
            </w:pPr>
            <w:r>
              <w:t xml:space="preserve">1720</w:t>
            </w:r>
          </w:p>
        </w:tc>
        <w:tc>
          <w:tcPr/>
          <w:p>
            <w:pPr>
              <w:pStyle w:val="Compact"/>
              <w:jc w:val="left"/>
            </w:pPr>
            <w:r>
              <w:t xml:space="preserve">Extreme spike</w:t>
            </w:r>
          </w:p>
        </w:tc>
        <w:tc>
          <w:tcPr/>
          <w:p>
            <w:pPr>
              <w:pStyle w:val="Compact"/>
              <w:jc w:val="left"/>
            </w:pPr>
            <w:r>
              <w:t xml:space="preserve">&lt; 0.20</w:t>
            </w:r>
          </w:p>
        </w:tc>
      </w:tr>
      <w:tr>
        <w:tc>
          <w:tcPr/>
          <w:p>
            <w:pPr>
              <w:pStyle w:val="Compact"/>
              <w:jc w:val="left"/>
            </w:pPr>
            <w:r>
              <w:t xml:space="preserve">Napoleonic Wars (peak stress)</w:t>
            </w:r>
          </w:p>
        </w:tc>
        <w:tc>
          <w:tcPr/>
          <w:p>
            <w:pPr>
              <w:pStyle w:val="Compact"/>
              <w:jc w:val="left"/>
            </w:pPr>
            <w:r>
              <w:t xml:space="preserve">1797–1815</w:t>
            </w:r>
          </w:p>
        </w:tc>
        <w:tc>
          <w:tcPr/>
          <w:p>
            <w:pPr>
              <w:pStyle w:val="Compact"/>
              <w:jc w:val="left"/>
            </w:pPr>
            <w:r>
              <w:t xml:space="preserve">Elevated (war premium)</w:t>
            </w:r>
          </w:p>
        </w:tc>
        <w:tc>
          <w:tcPr/>
          <w:p>
            <w:pPr>
              <w:pStyle w:val="Compact"/>
              <w:jc w:val="left"/>
            </w:pPr>
            <w:r>
              <w:t xml:space="preserve">0.25–0.40</w:t>
            </w:r>
          </w:p>
        </w:tc>
      </w:tr>
      <w:tr>
        <w:tc>
          <w:tcPr/>
          <w:p>
            <w:pPr>
              <w:pStyle w:val="Compact"/>
              <w:jc w:val="left"/>
            </w:pPr>
            <w:r>
              <w:t xml:space="preserve">Barings Crisis</w:t>
            </w:r>
          </w:p>
        </w:tc>
        <w:tc>
          <w:tcPr/>
          <w:p>
            <w:pPr>
              <w:pStyle w:val="Compact"/>
              <w:jc w:val="left"/>
            </w:pPr>
            <w:r>
              <w:t xml:space="preserve">1890</w:t>
            </w:r>
          </w:p>
        </w:tc>
        <w:tc>
          <w:tcPr/>
          <w:p>
            <w:pPr>
              <w:pStyle w:val="Compact"/>
              <w:jc w:val="left"/>
            </w:pPr>
            <w:r>
              <w:t xml:space="preserve">Sharp spike</w:t>
            </w:r>
          </w:p>
        </w:tc>
        <w:tc>
          <w:tcPr/>
          <w:p>
            <w:pPr>
              <w:pStyle w:val="Compact"/>
              <w:jc w:val="left"/>
            </w:pPr>
            <w:r>
              <w:t xml:space="preserve">0.30–0.45</w:t>
            </w:r>
          </w:p>
        </w:tc>
      </w:tr>
      <w:tr>
        <w:tc>
          <w:tcPr/>
          <w:p>
            <w:pPr>
              <w:pStyle w:val="Compact"/>
              <w:jc w:val="left"/>
            </w:pPr>
            <w:r>
              <w:t xml:space="preserve">WWI outbreak</w:t>
            </w:r>
          </w:p>
        </w:tc>
        <w:tc>
          <w:tcPr/>
          <w:p>
            <w:pPr>
              <w:pStyle w:val="Compact"/>
              <w:jc w:val="left"/>
            </w:pPr>
            <w:r>
              <w:t xml:space="preserve">1914</w:t>
            </w:r>
          </w:p>
        </w:tc>
        <w:tc>
          <w:tcPr/>
          <w:p>
            <w:pPr>
              <w:pStyle w:val="Compact"/>
              <w:jc w:val="left"/>
            </w:pPr>
            <w:r>
              <w:t xml:space="preserve">Exchange closure; yield spike</w:t>
            </w:r>
          </w:p>
        </w:tc>
        <w:tc>
          <w:tcPr/>
          <w:p>
            <w:pPr>
              <w:pStyle w:val="Compact"/>
              <w:jc w:val="left"/>
            </w:pPr>
            <w:r>
              <w:t xml:space="preserve">0.15–0.30</w:t>
            </w:r>
          </w:p>
        </w:tc>
      </w:tr>
      <w:tr>
        <w:tc>
          <w:tcPr/>
          <w:p>
            <w:pPr>
              <w:pStyle w:val="Compact"/>
              <w:jc w:val="left"/>
            </w:pPr>
            <w:r>
              <w:t xml:space="preserve">Sterling crisis</w:t>
            </w:r>
          </w:p>
        </w:tc>
        <w:tc>
          <w:tcPr/>
          <w:p>
            <w:pPr>
              <w:pStyle w:val="Compact"/>
              <w:jc w:val="left"/>
            </w:pPr>
            <w:r>
              <w:t xml:space="preserve">1931</w:t>
            </w:r>
          </w:p>
        </w:tc>
        <w:tc>
          <w:tcPr/>
          <w:p>
            <w:pPr>
              <w:pStyle w:val="Compact"/>
              <w:jc w:val="left"/>
            </w:pPr>
            <w:r>
              <w:t xml:space="preserve">Gold standard exit; yield spike</w:t>
            </w:r>
          </w:p>
        </w:tc>
        <w:tc>
          <w:tcPr/>
          <w:p>
            <w:pPr>
              <w:pStyle w:val="Compact"/>
              <w:jc w:val="left"/>
            </w:pPr>
            <w:r>
              <w:t xml:space="preserve">0.20–0.35</w:t>
            </w:r>
          </w:p>
        </w:tc>
      </w:tr>
      <w:tr>
        <w:tc>
          <w:tcPr/>
          <w:p>
            <w:pPr>
              <w:pStyle w:val="Compact"/>
              <w:jc w:val="left"/>
            </w:pPr>
            <w:r>
              <w:t xml:space="preserve">Suez Crisis</w:t>
            </w:r>
          </w:p>
        </w:tc>
        <w:tc>
          <w:tcPr/>
          <w:p>
            <w:pPr>
              <w:pStyle w:val="Compact"/>
              <w:jc w:val="left"/>
            </w:pPr>
            <w:r>
              <w:t xml:space="preserve">1956</w:t>
            </w:r>
          </w:p>
        </w:tc>
        <w:tc>
          <w:tcPr/>
          <w:p>
            <w:pPr>
              <w:pStyle w:val="Compact"/>
              <w:jc w:val="left"/>
            </w:pPr>
            <w:r>
              <w:t xml:space="preserve">Sterling pressure; yield spike</w:t>
            </w:r>
          </w:p>
        </w:tc>
        <w:tc>
          <w:tcPr/>
          <w:p>
            <w:pPr>
              <w:pStyle w:val="Compact"/>
              <w:jc w:val="left"/>
            </w:pPr>
            <w:r>
              <w:t xml:space="preserve">0.40–0.55</w:t>
            </w:r>
          </w:p>
        </w:tc>
      </w:tr>
      <w:tr>
        <w:tc>
          <w:tcPr/>
          <w:p>
            <w:pPr>
              <w:pStyle w:val="Compact"/>
              <w:jc w:val="left"/>
            </w:pPr>
            <w:r>
              <w:t xml:space="preserve">IMF bailout</w:t>
            </w:r>
          </w:p>
        </w:tc>
        <w:tc>
          <w:tcPr/>
          <w:p>
            <w:pPr>
              <w:pStyle w:val="Compact"/>
              <w:jc w:val="left"/>
            </w:pPr>
            <w:r>
              <w:t xml:space="preserve">1976</w:t>
            </w:r>
          </w:p>
        </w:tc>
        <w:tc>
          <w:tcPr/>
          <w:p>
            <w:pPr>
              <w:pStyle w:val="Compact"/>
              <w:jc w:val="left"/>
            </w:pPr>
            <w:r>
              <w:t xml:space="preserve">Extreme yield; sterling collapse</w:t>
            </w:r>
          </w:p>
        </w:tc>
        <w:tc>
          <w:tcPr/>
          <w:p>
            <w:pPr>
              <w:pStyle w:val="Compact"/>
              <w:jc w:val="left"/>
            </w:pPr>
            <w:r>
              <w:t xml:space="preserve">0.20–0.35</w:t>
            </w:r>
          </w:p>
        </w:tc>
      </w:tr>
      <w:tr>
        <w:tc>
          <w:tcPr/>
          <w:p>
            <w:pPr>
              <w:pStyle w:val="Compact"/>
              <w:jc w:val="left"/>
            </w:pPr>
            <w:r>
              <w:t xml:space="preserve">ERM exit</w:t>
            </w:r>
          </w:p>
        </w:tc>
        <w:tc>
          <w:tcPr/>
          <w:p>
            <w:pPr>
              <w:pStyle w:val="Compact"/>
              <w:jc w:val="left"/>
            </w:pPr>
            <w:r>
              <w:t xml:space="preserve">1992</w:t>
            </w:r>
          </w:p>
        </w:tc>
        <w:tc>
          <w:tcPr/>
          <w:p>
            <w:pPr>
              <w:pStyle w:val="Compact"/>
              <w:jc w:val="left"/>
            </w:pPr>
            <w:r>
              <w:t xml:space="preserve">Sharp yield spike</w:t>
            </w:r>
          </w:p>
        </w:tc>
        <w:tc>
          <w:tcPr/>
          <w:p>
            <w:pPr>
              <w:pStyle w:val="Compact"/>
              <w:jc w:val="left"/>
            </w:pPr>
            <w:r>
              <w:t xml:space="preserve">0.30–0.45</w:t>
            </w:r>
          </w:p>
        </w:tc>
      </w:tr>
      <w:tr>
        <w:tc>
          <w:tcPr/>
          <w:p>
            <w:pPr>
              <w:pStyle w:val="Compact"/>
              <w:jc w:val="left"/>
            </w:pPr>
            <w:r>
              <w:t xml:space="preserve">2022 Gilt crisis (LDI)</w:t>
            </w:r>
          </w:p>
        </w:tc>
        <w:tc>
          <w:tcPr/>
          <w:p>
            <w:pPr>
              <w:pStyle w:val="Compact"/>
              <w:jc w:val="left"/>
            </w:pPr>
            <w:r>
              <w:t xml:space="preserve">2022</w:t>
            </w:r>
          </w:p>
        </w:tc>
        <w:tc>
          <w:tcPr/>
          <w:p>
            <w:pPr>
              <w:pStyle w:val="Compact"/>
              <w:jc w:val="left"/>
            </w:pPr>
            <w:r>
              <w:t xml:space="preserve">Extreme yield spike; BoE intervention</w:t>
            </w:r>
          </w:p>
        </w:tc>
        <w:tc>
          <w:tcPr/>
          <w:p>
            <w:pPr>
              <w:pStyle w:val="Compact"/>
              <w:jc w:val="left"/>
            </w:pPr>
            <w:r>
              <w:t xml:space="preserve">0.15–0.30</w:t>
            </w:r>
          </w:p>
        </w:tc>
      </w:tr>
    </w:tbl>
    <w:p>
      <w:pPr>
        <w:pStyle w:val="BodyText"/>
      </w:pPr>
      <w:r>
        <w:rPr>
          <w:bCs/>
          <w:b/>
        </w:rPr>
        <w:t xml:space="preserve">Euro Area — Pre- and Post-Integration Complexity</w:t>
      </w:r>
    </w:p>
    <w:p>
      <w:pPr>
        <w:pStyle w:val="BodyText"/>
      </w:pPr>
      <w:r>
        <w:t xml:space="preserve">Pre-1999 (pre-euro), individual sovereign yields for Germany, France, Italy, Spain, and Netherlands are available from the late 1800s via Homer &amp; Sylla and national central bank archives. Post-1999, the spread over German Bunds becomes the natural measure, with the European sovereign debt crisis (2010–2012) providing a rich calibration period.</w:t>
      </w:r>
    </w:p>
    <w:p>
      <w:pPr>
        <w:pStyle w:val="BodyText"/>
      </w:pPr>
      <w:r>
        <w:t xml:space="preserve">The key analytical challenge is the structural break at euro adoption (1999): pre-euro sovereign spreads included currency risk (devaluation premium), while post-euro spreads exclude it. The framework handles this by calibrating separate mapping functions for pre- and post-euro periods.</w:t>
      </w:r>
    </w:p>
    <w:p>
      <w:pPr>
        <w:pStyle w:val="BodyText"/>
      </w:pPr>
      <w:r>
        <w:rPr>
          <w:bCs/>
          <w:b/>
        </w:rPr>
        <w:t xml:space="preserve">Japan — Structural Low-Yield Regime</w:t>
      </w:r>
    </w:p>
    <w:p>
      <w:pPr>
        <w:pStyle w:val="BodyText"/>
      </w:pPr>
      <w:r>
        <w:t xml:space="preserve">JGB yields have been near or at zero since the late 1990s, making the sovereign spread approach less informative for the modern period (JGB spread over UST is dominated by the interest rate differential, not credit risk). For Japan post-1995, the framework supplements the sovereign proxy with direct indicators where available (BoJ policy rate, TOPIX volatility, yen cross-currency basis). For the pre-1990 period, JGB yields provide a usable proxy (particularly during the 1927 banking crisis, WWII, and the post-Plaza Accord adjustment).</w:t>
      </w:r>
    </w:p>
    <w:p>
      <w:pPr>
        <w:pStyle w:val="BodyText"/>
      </w:pPr>
      <w:r>
        <w:rPr>
          <w:bCs/>
          <w:b/>
        </w:rPr>
        <w:t xml:space="preserve">China — Data Transparency Constraints</w:t>
      </w:r>
    </w:p>
    <w:p>
      <w:pPr>
        <w:pStyle w:val="BodyText"/>
      </w:pPr>
      <w:r>
        <w:t xml:space="preserve">Chinese sovereign bond data is available from the early 1990s (CGB yields on Bloomberg and Wind), but data quality and market pricing integrity concerns prior to approximately 2005 limit the proxy’s reliability. Pre-1990, there are no meaningful market-priced sovereign bond series. The China module relies on modern data only and is flagged as structurally limited in historical coverage.</w:t>
      </w:r>
    </w:p>
    <w:bookmarkEnd w:id="173"/>
    <w:bookmarkStart w:id="174" w:name="limitations-of-the-sovereign-bond-proxy"/>
    <w:p>
      <w:pPr>
        <w:pStyle w:val="Heading4"/>
      </w:pPr>
      <w:r>
        <w:t xml:space="preserve">16.2.6 Limitations of the Sovereign Bond Proxy</w:t>
      </w:r>
    </w:p>
    <w:tbl>
      <w:tblPr>
        <w:tblStyle w:val="Table"/>
        <w:tblW w:type="pct" w:w="5000"/>
        <w:tblLook w:firstRow="1" w:lastRow="0" w:firstColumn="0" w:lastColumn="0" w:noHBand="0" w:noVBand="0" w:val="0020"/>
        <w:jc w:val="start"/>
      </w:tblPr>
      <w:tblGrid>
        <w:gridCol w:w="2810"/>
        <w:gridCol w:w="2043"/>
        <w:gridCol w:w="3065"/>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Single-indicator aggregation loses pillar decomposition</w:t>
            </w:r>
          </w:p>
        </w:tc>
        <w:tc>
          <w:tcPr/>
          <w:p>
            <w:pPr>
              <w:pStyle w:val="Compact"/>
              <w:jc w:val="left"/>
            </w:pPr>
            <w:r>
              <w:t xml:space="preserve">Cannot identify which buffer is depleted</w:t>
            </w:r>
          </w:p>
        </w:tc>
        <w:tc>
          <w:tcPr/>
          <w:p>
            <w:pPr>
              <w:pStyle w:val="Compact"/>
              <w:jc w:val="left"/>
            </w:pPr>
            <w:r>
              <w:t xml:space="preserve">Proxy MAC is flagged as aggregate-only; pillar attribution unavailable</w:t>
            </w:r>
          </w:p>
        </w:tc>
      </w:tr>
      <w:tr>
        <w:tc>
          <w:tcPr/>
          <w:p>
            <w:pPr>
              <w:pStyle w:val="Compact"/>
              <w:jc w:val="left"/>
            </w:pPr>
            <w:r>
              <w:t xml:space="preserve">Sovereign spreads include FX risk</w:t>
            </w:r>
          </w:p>
        </w:tc>
        <w:tc>
          <w:tcPr/>
          <w:p>
            <w:pPr>
              <w:pStyle w:val="Compact"/>
              <w:jc w:val="left"/>
            </w:pPr>
            <w:r>
              <w:t xml:space="preserve">Pre-euro European spreads conflate credit and currency risk</w:t>
            </w:r>
          </w:p>
        </w:tc>
        <w:tc>
          <w:tcPr/>
          <w:p>
            <w:pPr>
              <w:pStyle w:val="Compact"/>
              <w:jc w:val="left"/>
            </w:pPr>
            <w:r>
              <w:t xml:space="preserve">Separate calibration by FX regime era</w:t>
            </w:r>
          </w:p>
        </w:tc>
      </w:tr>
      <w:tr>
        <w:tc>
          <w:tcPr/>
          <w:p>
            <w:pPr>
              <w:pStyle w:val="Compact"/>
              <w:jc w:val="left"/>
            </w:pPr>
            <w:r>
              <w:t xml:space="preserve">Benchmark choice affects levels</w:t>
            </w:r>
          </w:p>
        </w:tc>
        <w:tc>
          <w:tcPr/>
          <w:p>
            <w:pPr>
              <w:pStyle w:val="Compact"/>
              <w:jc w:val="left"/>
            </w:pPr>
            <w:r>
              <w:t xml:space="preserve">UK Consol vs. US Treasury as benchmark produces different spread levels</w:t>
            </w:r>
          </w:p>
        </w:tc>
        <w:tc>
          <w:tcPr/>
          <w:p>
            <w:pPr>
              <w:pStyle w:val="Compact"/>
              <w:jc w:val="left"/>
            </w:pPr>
            <w:r>
              <w:t xml:space="preserve">Era-specific benchmark with overlap validation</w:t>
            </w:r>
          </w:p>
        </w:tc>
      </w:tr>
      <w:tr>
        <w:tc>
          <w:tcPr/>
          <w:p>
            <w:pPr>
              <w:pStyle w:val="Compact"/>
              <w:jc w:val="left"/>
            </w:pPr>
            <w:r>
              <w:t xml:space="preserve">Illiquid historical markets</w:t>
            </w:r>
          </w:p>
        </w:tc>
        <w:tc>
          <w:tcPr/>
          <w:p>
            <w:pPr>
              <w:pStyle w:val="Compact"/>
              <w:jc w:val="left"/>
            </w:pPr>
            <w:r>
              <w:t xml:space="preserve">18th/19th-century bond markets had lower liquidity, wider bid-ask</w:t>
            </w:r>
          </w:p>
        </w:tc>
        <w:tc>
          <w:tcPr/>
          <w:p>
            <w:pPr>
              <w:pStyle w:val="Compact"/>
              <w:jc w:val="left"/>
            </w:pPr>
            <w:r>
              <w:t xml:space="preserve">Widen confidence bands for pre-1900 data</w:t>
            </w:r>
          </w:p>
        </w:tc>
      </w:tr>
      <w:tr>
        <w:tc>
          <w:tcPr/>
          <w:p>
            <w:pPr>
              <w:pStyle w:val="Compact"/>
              <w:jc w:val="left"/>
            </w:pPr>
            <w:r>
              <w:t xml:space="preserve">War distortions</w:t>
            </w:r>
          </w:p>
        </w:tc>
        <w:tc>
          <w:tcPr/>
          <w:p>
            <w:pPr>
              <w:pStyle w:val="Compact"/>
              <w:jc w:val="left"/>
            </w:pPr>
            <w:r>
              <w:t xml:space="preserve">Wartime capital controls, forced lending, yield caps distort signals</w:t>
            </w:r>
          </w:p>
        </w:tc>
        <w:tc>
          <w:tcPr/>
          <w:p>
            <w:pPr>
              <w:pStyle w:val="Compact"/>
              <w:jc w:val="left"/>
            </w:pPr>
            <w:r>
              <w:t xml:space="preserve">Flag wartime periods with data quality warnings</w:t>
            </w:r>
          </w:p>
        </w:tc>
      </w:tr>
      <w:tr>
        <w:tc>
          <w:tcPr/>
          <w:p>
            <w:pPr>
              <w:pStyle w:val="Compact"/>
              <w:jc w:val="left"/>
            </w:pPr>
            <w:r>
              <w:t xml:space="preserve">Japanese zero-rate trap</w:t>
            </w:r>
          </w:p>
        </w:tc>
        <w:tc>
          <w:tcPr/>
          <w:p>
            <w:pPr>
              <w:pStyle w:val="Compact"/>
              <w:jc w:val="left"/>
            </w:pPr>
            <w:r>
              <w:t xml:space="preserve">Near-zero JGB yields provide little discriminatory signal post-1995</w:t>
            </w:r>
          </w:p>
        </w:tc>
        <w:tc>
          <w:tcPr/>
          <w:p>
            <w:pPr>
              <w:pStyle w:val="Compact"/>
              <w:jc w:val="left"/>
            </w:pPr>
            <w:r>
              <w:t xml:space="preserve">Supplement with direct indicators for modern Japan</w:t>
            </w:r>
          </w:p>
        </w:tc>
      </w:tr>
    </w:tbl>
    <w:bookmarkEnd w:id="174"/>
    <w:bookmarkEnd w:id="175"/>
    <w:bookmarkStart w:id="176" w:name="cross-country-comparison-methodology"/>
    <w:p>
      <w:pPr>
        <w:pStyle w:val="Heading3"/>
      </w:pPr>
      <w:r>
        <w:t xml:space="preserve">16.3 Cross-Country Comparison Methodology</w:t>
      </w:r>
    </w:p>
    <w:p>
      <w:pPr>
        <w:pStyle w:val="FirstParagraph"/>
      </w:pPr>
      <w:r>
        <w:t xml:space="preserve">Cross-country MAC comparison (whether from full pillar-level calculations or sovereign bond proxies) identifies:</w:t>
      </w:r>
    </w:p>
    <w:p>
      <w:pPr>
        <w:numPr>
          <w:ilvl w:val="0"/>
          <w:numId w:val="1017"/>
        </w:numPr>
        <w:pStyle w:val="Compact"/>
      </w:pPr>
      <w:r>
        <w:rPr>
          <w:bCs/>
          <w:b/>
        </w:rPr>
        <w:t xml:space="preserve">Divergence score</w:t>
      </w:r>
      <w:r>
        <w:t xml:space="preserve"> </w:t>
      </w:r>
      <w:r>
        <w:t xml:space="preserve">(0–1): how far apart regional MAC scores are</w:t>
      </w:r>
    </w:p>
    <w:p>
      <w:pPr>
        <w:numPr>
          <w:ilvl w:val="0"/>
          <w:numId w:val="1017"/>
        </w:numPr>
        <w:pStyle w:val="Compact"/>
      </w:pPr>
      <w:r>
        <w:rPr>
          <w:bCs/>
          <w:b/>
        </w:rPr>
        <w:t xml:space="preserve">Lead/lag region:</w:t>
      </w:r>
      <w:r>
        <w:t xml:space="preserve"> </w:t>
      </w:r>
      <w:r>
        <w:t xml:space="preserve">which region shows stress first</w:t>
      </w:r>
    </w:p>
    <w:p>
      <w:pPr>
        <w:numPr>
          <w:ilvl w:val="0"/>
          <w:numId w:val="1017"/>
        </w:numPr>
        <w:pStyle w:val="Compact"/>
      </w:pPr>
      <w:r>
        <w:rPr>
          <w:bCs/>
          <w:b/>
        </w:rPr>
        <w:t xml:space="preserve">Contagion direction:</w:t>
      </w:r>
      <w:r>
        <w:t xml:space="preserve"> </w:t>
      </w:r>
      <w:r>
        <w:t xml:space="preserve">US → region, region → US, bidirectional, or decoupled</w:t>
      </w:r>
    </w:p>
    <w:p>
      <w:pPr>
        <w:numPr>
          <w:ilvl w:val="0"/>
          <w:numId w:val="1017"/>
        </w:numPr>
        <w:pStyle w:val="Compact"/>
      </w:pPr>
      <w:r>
        <w:rPr>
          <w:bCs/>
          <w:b/>
        </w:rPr>
        <w:t xml:space="preserve">Key differentiators:</w:t>
      </w:r>
      <w:r>
        <w:t xml:space="preserve"> </w:t>
      </w:r>
      <w:r>
        <w:t xml:space="preserve">which pillars (or spread components) drive the divergence</w:t>
      </w:r>
    </w:p>
    <w:bookmarkEnd w:id="176"/>
    <w:bookmarkStart w:id="177" w:name="contagion-pathway-analysis"/>
    <w:p>
      <w:pPr>
        <w:pStyle w:val="Heading3"/>
      </w:pPr>
      <w:r>
        <w:t xml:space="preserve">16.4 Contagion Pathway Analysis</w:t>
      </w:r>
    </w:p>
    <w:p>
      <w:pPr>
        <w:pStyle w:val="FirstParagraph"/>
      </w:pPr>
      <w:r>
        <w:t xml:space="preserve">The framework analyses stress transmission between regions through:</w:t>
      </w:r>
    </w:p>
    <w:p>
      <w:pPr>
        <w:numPr>
          <w:ilvl w:val="0"/>
          <w:numId w:val="1018"/>
        </w:numPr>
        <w:pStyle w:val="Compact"/>
      </w:pPr>
      <w:r>
        <w:rPr>
          <w:bCs/>
          <w:b/>
        </w:rPr>
        <w:t xml:space="preserve">Banking channels</w:t>
      </w:r>
      <w:r>
        <w:t xml:space="preserve"> </w:t>
      </w:r>
      <w:r>
        <w:t xml:space="preserve">(G-SIB interconnectedness) — available from BIS consolidated banking statistics (1977+)</w:t>
      </w:r>
    </w:p>
    <w:p>
      <w:pPr>
        <w:numPr>
          <w:ilvl w:val="0"/>
          <w:numId w:val="1018"/>
        </w:numPr>
        <w:pStyle w:val="Compact"/>
      </w:pPr>
      <w:r>
        <w:rPr>
          <w:bCs/>
          <w:b/>
        </w:rPr>
        <w:t xml:space="preserve">Currency channels</w:t>
      </w:r>
      <w:r>
        <w:t xml:space="preserve"> </w:t>
      </w:r>
      <w:r>
        <w:t xml:space="preserve">(cross-currency basis) — available from BIS (1990+), proxied by sovereign spread co-movement pre-1990</w:t>
      </w:r>
    </w:p>
    <w:p>
      <w:pPr>
        <w:numPr>
          <w:ilvl w:val="0"/>
          <w:numId w:val="1018"/>
        </w:numPr>
        <w:pStyle w:val="Compact"/>
      </w:pPr>
      <w:r>
        <w:rPr>
          <w:bCs/>
          <w:b/>
        </w:rPr>
        <w:t xml:space="preserve">Equity channels</w:t>
      </w:r>
      <w:r>
        <w:t xml:space="preserve"> </w:t>
      </w:r>
      <w:r>
        <w:t xml:space="preserve">(correlation and spillover) — available from 1900+ using national stock index data</w:t>
      </w:r>
    </w:p>
    <w:p>
      <w:pPr>
        <w:numPr>
          <w:ilvl w:val="0"/>
          <w:numId w:val="1018"/>
        </w:numPr>
        <w:pStyle w:val="Compact"/>
      </w:pPr>
      <w:r>
        <w:rPr>
          <w:bCs/>
          <w:b/>
        </w:rPr>
        <w:t xml:space="preserve">Sovereign bond co-movement</w:t>
      </w:r>
      <w:r>
        <w:t xml:space="preserve"> </w:t>
      </w:r>
      <w:r>
        <w:t xml:space="preserve">— available from 1815+ using the Meyer-Reinhart-Trebesch dataset</w:t>
      </w:r>
    </w:p>
    <w:p>
      <w:pPr>
        <w:numPr>
          <w:ilvl w:val="0"/>
          <w:numId w:val="1018"/>
        </w:numPr>
        <w:pStyle w:val="Compact"/>
      </w:pPr>
      <w:r>
        <w:rPr>
          <w:bCs/>
          <w:b/>
        </w:rPr>
        <w:t xml:space="preserve">Estimated transmission lag</w:t>
      </w:r>
      <w:r>
        <w:t xml:space="preserve"> </w:t>
      </w:r>
      <w:r>
        <w:t xml:space="preserve">(days) — calibrated from the overlap period</w:t>
      </w:r>
    </w:p>
    <w:bookmarkEnd w:id="177"/>
    <w:bookmarkStart w:id="178" w:name="forthcoming-in-version-6.0"/>
    <w:p>
      <w:pPr>
        <w:pStyle w:val="Heading3"/>
      </w:pPr>
      <w:r>
        <w:t xml:space="preserve">16.5 Forthcoming in Version 6.0</w:t>
      </w:r>
    </w:p>
    <w:p>
      <w:pPr>
        <w:pStyle w:val="FirstParagraph"/>
      </w:pPr>
      <w:r>
        <w:t xml:space="preserve">The full multi-country extension (Version 6.0) will include:</w:t>
      </w:r>
    </w:p>
    <w:p>
      <w:pPr>
        <w:numPr>
          <w:ilvl w:val="0"/>
          <w:numId w:val="1019"/>
        </w:numPr>
        <w:pStyle w:val="Compact"/>
      </w:pPr>
      <w:r>
        <w:t xml:space="preserve">Calibrated sovereign bond proxy MAC for UK (1729–present), France (1800–present), Germany (1870–present), Japan (1900–present)</w:t>
      </w:r>
    </w:p>
    <w:p>
      <w:pPr>
        <w:numPr>
          <w:ilvl w:val="0"/>
          <w:numId w:val="1019"/>
        </w:numPr>
        <w:pStyle w:val="Compact"/>
      </w:pPr>
      <w:r>
        <w:t xml:space="preserve">Full pillar-level MAC for EU, UK, JP, CN for the modern period (1990–present)</w:t>
      </w:r>
    </w:p>
    <w:p>
      <w:pPr>
        <w:numPr>
          <w:ilvl w:val="0"/>
          <w:numId w:val="1019"/>
        </w:numPr>
        <w:pStyle w:val="Compact"/>
      </w:pPr>
      <w:r>
        <w:t xml:space="preserve">Cross-country contagion pathway estimation using sovereign bond co-movement as the historical backbone</w:t>
      </w:r>
    </w:p>
    <w:p>
      <w:pPr>
        <w:numPr>
          <w:ilvl w:val="0"/>
          <w:numId w:val="1019"/>
        </w:numPr>
        <w:pStyle w:val="Compact"/>
      </w:pPr>
      <w:r>
        <w:t xml:space="preserve">Formal validation against Reinhart-Rogoff crisis dates across 66 countries</w:t>
      </w:r>
    </w:p>
    <w:p>
      <w:pPr>
        <w:numPr>
          <w:ilvl w:val="0"/>
          <w:numId w:val="1019"/>
        </w:numPr>
        <w:pStyle w:val="Compact"/>
      </w:pPr>
      <w:r>
        <w:t xml:space="preserve">Integration with the GRRI framework for country-specific structural resilience adjustment</w:t>
      </w:r>
    </w:p>
    <w:p>
      <w:r>
        <w:pict>
          <v:rect style="width:0;height:1.5pt" o:hralign="center" o:hrstd="t" o:hr="t"/>
        </w:pict>
      </w:r>
    </w:p>
    <w:bookmarkEnd w:id="178"/>
    <w:bookmarkEnd w:id="179"/>
    <w:bookmarkStart w:id="182" w:name="limitations-and-design-choices"/>
    <w:p>
      <w:pPr>
        <w:pStyle w:val="Heading2"/>
      </w:pPr>
      <w:r>
        <w:t xml:space="preserve">17. Limitations and Design Choices</w:t>
      </w:r>
    </w:p>
    <w:bookmarkStart w:id="180" w:name="known-limitations"/>
    <w:p>
      <w:pPr>
        <w:pStyle w:val="Heading3"/>
      </w:pPr>
      <w:r>
        <w:t xml:space="preserve">17.1 Known Limitations</w:t>
      </w:r>
    </w:p>
    <w:tbl>
      <w:tblPr>
        <w:tblStyle w:val="Table"/>
        <w:tblW w:type="pct" w:w="5000"/>
        <w:tblLook w:firstRow="1" w:lastRow="0" w:firstColumn="0" w:lastColumn="0" w:noHBand="0" w:noVBand="0" w:val="0020"/>
        <w:jc w:val="start"/>
      </w:tblPr>
      <w:tblGrid>
        <w:gridCol w:w="2810"/>
        <w:gridCol w:w="2043"/>
        <w:gridCol w:w="3065"/>
      </w:tblGrid>
      <w:tr>
        <w:trPr>
          <w:tblHeader w:val="true"/>
        </w:trPr>
        <w:tc>
          <w:tcPr/>
          <w:p>
            <w:pPr>
              <w:pStyle w:val="Compact"/>
              <w:jc w:val="left"/>
            </w:pPr>
            <w:r>
              <w:t xml:space="preserve">Limitation</w:t>
            </w:r>
          </w:p>
        </w:tc>
        <w:tc>
          <w:tcPr/>
          <w:p>
            <w:pPr>
              <w:pStyle w:val="Compact"/>
              <w:jc w:val="left"/>
            </w:pPr>
            <w:r>
              <w:t xml:space="preserve">Impact</w:t>
            </w:r>
          </w:p>
        </w:tc>
        <w:tc>
          <w:tcPr/>
          <w:p>
            <w:pPr>
              <w:pStyle w:val="Compact"/>
              <w:jc w:val="left"/>
            </w:pPr>
            <w:r>
              <w:t xml:space="preserve">Mitigation</w:t>
            </w:r>
          </w:p>
        </w:tc>
      </w:tr>
      <w:tr>
        <w:tc>
          <w:tcPr/>
          <w:p>
            <w:pPr>
              <w:pStyle w:val="Compact"/>
              <w:jc w:val="left"/>
            </w:pPr>
            <w:r>
              <w:t xml:space="preserve">Pre-1971 data quality</w:t>
            </w:r>
          </w:p>
        </w:tc>
        <w:tc>
          <w:tcPr/>
          <w:p>
            <w:pPr>
              <w:pStyle w:val="Compact"/>
              <w:jc w:val="left"/>
            </w:pPr>
            <w:r>
              <w:t xml:space="preserve">Monthly proxy data with limited cross-validation</w:t>
            </w:r>
          </w:p>
        </w:tc>
        <w:tc>
          <w:tcPr/>
          <w:p>
            <w:pPr>
              <w:pStyle w:val="Compact"/>
              <w:jc w:val="left"/>
            </w:pPr>
            <w:r>
              <w:t xml:space="preserve">Era-specific thresholds and calibration; quality tier labelling</w:t>
            </w:r>
          </w:p>
        </w:tc>
      </w:tr>
      <w:tr>
        <w:tc>
          <w:tcPr/>
          <w:p>
            <w:pPr>
              <w:pStyle w:val="Compact"/>
              <w:jc w:val="left"/>
            </w:pPr>
            <w:r>
              <w:t xml:space="preserve">Positioning pillar gaps</w:t>
            </w:r>
          </w:p>
        </w:tc>
        <w:tc>
          <w:tcPr/>
          <w:p>
            <w:pPr>
              <w:pStyle w:val="Compact"/>
              <w:jc w:val="left"/>
            </w:pPr>
            <w:r>
              <w:t xml:space="preserve">No CFTC data before 1986; margin debt is a crude leverage proxy</w:t>
            </w:r>
          </w:p>
        </w:tc>
        <w:tc>
          <w:tcPr/>
          <w:p>
            <w:pPr>
              <w:pStyle w:val="Compact"/>
              <w:jc w:val="left"/>
            </w:pPr>
            <w:r>
              <w:t xml:space="preserve">Default scoring; margin debt recovers some signal from 1918</w:t>
            </w:r>
          </w:p>
        </w:tc>
      </w:tr>
      <w:tr>
        <w:tc>
          <w:tcPr/>
          <w:p>
            <w:pPr>
              <w:pStyle w:val="Compact"/>
              <w:jc w:val="left"/>
            </w:pPr>
            <w:r>
              <w:t xml:space="preserve">Private credit opacity</w:t>
            </w:r>
          </w:p>
        </w:tc>
        <w:tc>
          <w:tcPr/>
          <w:p>
            <w:pPr>
              <w:pStyle w:val="Compact"/>
              <w:jc w:val="left"/>
            </w:pPr>
            <w:r>
              <w:t xml:space="preserve">SLOOS quarterly; BDC data from ~2004</w:t>
            </w:r>
          </w:p>
        </w:tc>
        <w:tc>
          <w:tcPr/>
          <w:p>
            <w:pPr>
              <w:pStyle w:val="Compact"/>
              <w:jc w:val="left"/>
            </w:pPr>
            <w:r>
              <w:t xml:space="preserve">Multiple indirect proxies; leading indicator design</w:t>
            </w:r>
          </w:p>
        </w:tc>
      </w:tr>
      <w:tr>
        <w:tc>
          <w:tcPr/>
          <w:p>
            <w:pPr>
              <w:pStyle w:val="Compact"/>
              <w:jc w:val="left"/>
            </w:pPr>
            <w:r>
              <w:t xml:space="preserve">Calibration factor stability</w:t>
            </w:r>
          </w:p>
        </w:tc>
        <w:tc>
          <w:tcPr/>
          <w:p>
            <w:pPr>
              <w:pStyle w:val="Compact"/>
              <w:jc w:val="left"/>
            </w:pPr>
            <w:r>
              <w:t xml:space="preserve">0.78 derived from 14 scenarios; periodic re-estimation needed</w:t>
            </w:r>
          </w:p>
        </w:tc>
        <w:tc>
          <w:tcPr/>
          <w:p>
            <w:pPr>
              <w:pStyle w:val="Compact"/>
              <w:jc w:val="left"/>
            </w:pPr>
            <w:r>
              <w:t xml:space="preserve">LOOCV stability testing; sensitivity analysis</w:t>
            </w:r>
          </w:p>
        </w:tc>
      </w:tr>
      <w:tr>
        <w:tc>
          <w:tcPr/>
          <w:p>
            <w:pPr>
              <w:pStyle w:val="Compact"/>
              <w:jc w:val="left"/>
            </w:pPr>
            <w:r>
              <w:t xml:space="preserve">Contagion proxy simplicity</w:t>
            </w:r>
          </w:p>
        </w:tc>
        <w:tc>
          <w:tcPr/>
          <w:p>
            <w:pPr>
              <w:pStyle w:val="Compact"/>
              <w:jc w:val="left"/>
            </w:pPr>
            <w:r>
              <w:t xml:space="preserve">BAA10Y captures credit stress but not cross-border funding dynamics</w:t>
            </w:r>
          </w:p>
        </w:tc>
        <w:tc>
          <w:tcPr/>
          <w:p>
            <w:pPr>
              <w:pStyle w:val="Compact"/>
              <w:jc w:val="left"/>
            </w:pPr>
            <w:r>
              <w:t xml:space="preserve">Supplemented with EUR/USD basis and EMBI when available</w:t>
            </w:r>
          </w:p>
        </w:tc>
      </w:tr>
      <w:tr>
        <w:tc>
          <w:tcPr/>
          <w:p>
            <w:pPr>
              <w:pStyle w:val="Compact"/>
              <w:jc w:val="left"/>
            </w:pPr>
            <w:r>
              <w:t xml:space="preserve">Small ML training set</w:t>
            </w:r>
          </w:p>
        </w:tc>
        <w:tc>
          <w:tcPr/>
          <w:p>
            <w:pPr>
              <w:pStyle w:val="Compact"/>
              <w:jc w:val="left"/>
            </w:pPr>
            <w:r>
              <w:t xml:space="preserve">14 scenarios is small for ML</w:t>
            </w:r>
          </w:p>
        </w:tc>
        <w:tc>
          <w:tcPr/>
          <w:p>
            <w:pPr>
              <w:pStyle w:val="Compact"/>
              <w:jc w:val="left"/>
            </w:pPr>
            <w:r>
              <w:t xml:space="preserve">Shallow trees (depth 2), LOOCV, explicit regularisation</w:t>
            </w:r>
          </w:p>
        </w:tc>
      </w:tr>
      <w:tr>
        <w:tc>
          <w:tcPr/>
          <w:p>
            <w:pPr>
              <w:pStyle w:val="Compact"/>
              <w:jc w:val="left"/>
            </w:pPr>
            <w:r>
              <w:t xml:space="preserve">False positive rate not previously quantified</w:t>
            </w:r>
          </w:p>
        </w:tc>
        <w:tc>
          <w:tcPr/>
          <w:p>
            <w:pPr>
              <w:pStyle w:val="Compact"/>
              <w:jc w:val="left"/>
            </w:pPr>
            <w:r>
              <w:t xml:space="preserve">Clients could not assess signal reliability or configure alert sensitivity</w:t>
            </w:r>
          </w:p>
        </w:tc>
        <w:tc>
          <w:tcPr/>
          <w:p>
            <w:pPr>
              <w:pStyle w:val="Compact"/>
              <w:jc w:val="left"/>
            </w:pPr>
            <w:r>
              <w:t xml:space="preserve">§15.6 provides formal FPR, precision-recall curve, and client-configurable τ (§15.7)</w:t>
            </w:r>
          </w:p>
        </w:tc>
      </w:tr>
      <w:tr>
        <w:tc>
          <w:tcPr/>
          <w:p>
            <w:pPr>
              <w:pStyle w:val="Compact"/>
              <w:jc w:val="left"/>
            </w:pPr>
            <w:r>
              <w:t xml:space="preserve">Exogenous shock blind spot</w:t>
            </w:r>
          </w:p>
        </w:tc>
        <w:tc>
          <w:tcPr/>
          <w:p>
            <w:pPr>
              <w:pStyle w:val="Compact"/>
              <w:jc w:val="left"/>
            </w:pPr>
            <w:r>
              <w:t xml:space="preserve">Framework measures absorption capacity, not shock probability</w:t>
            </w:r>
          </w:p>
        </w:tc>
        <w:tc>
          <w:tcPr/>
          <w:p>
            <w:pPr>
              <w:pStyle w:val="Compact"/>
              <w:jc w:val="left"/>
            </w:pPr>
            <w:r>
              <w:t xml:space="preserve">Monte Carlo module for shock scenario analysis</w:t>
            </w:r>
          </w:p>
        </w:tc>
      </w:tr>
    </w:tbl>
    <w:bookmarkEnd w:id="180"/>
    <w:bookmarkStart w:id="181" w:name="deliberate-design-choices"/>
    <w:p>
      <w:pPr>
        <w:pStyle w:val="Heading3"/>
      </w:pPr>
      <w:r>
        <w:t xml:space="preserve">17.2 Deliberate Design Choices</w:t>
      </w:r>
    </w:p>
    <w:tbl>
      <w:tblPr>
        <w:tblStyle w:val="Table"/>
        <w:tblW w:type="pct" w:w="5000"/>
        <w:tblLook w:firstRow="1" w:lastRow="0" w:firstColumn="0" w:lastColumn="0" w:noHBand="0" w:noVBand="0" w:val="0020"/>
        <w:jc w:val="start"/>
      </w:tblPr>
      <w:tblGrid>
        <w:gridCol w:w="3771"/>
        <w:gridCol w:w="4148"/>
      </w:tblGrid>
      <w:tr>
        <w:trPr>
          <w:tblHeader w:val="true"/>
        </w:trPr>
        <w:tc>
          <w:tcPr/>
          <w:p>
            <w:pPr>
              <w:pStyle w:val="Compact"/>
              <w:jc w:val="left"/>
            </w:pPr>
            <w:r>
              <w:t xml:space="preserve">Decision</w:t>
            </w:r>
          </w:p>
        </w:tc>
        <w:tc>
          <w:tcPr/>
          <w:p>
            <w:pPr>
              <w:pStyle w:val="Compact"/>
              <w:jc w:val="left"/>
            </w:pPr>
            <w:r>
              <w:t xml:space="preserve">Rationale</w:t>
            </w:r>
          </w:p>
        </w:tc>
      </w:tr>
      <w:tr>
        <w:tc>
          <w:tcPr/>
          <w:p>
            <w:pPr>
              <w:pStyle w:val="Compact"/>
              <w:jc w:val="left"/>
            </w:pPr>
            <w:r>
              <w:rPr>
                <w:bCs/>
                <w:b/>
              </w:rPr>
              <w:t xml:space="preserve">7 pillars (not fewer)</w:t>
            </w:r>
          </w:p>
        </w:tc>
        <w:tc>
          <w:tcPr/>
          <w:p>
            <w:pPr>
              <w:pStyle w:val="Compact"/>
              <w:jc w:val="left"/>
            </w:pPr>
            <w:r>
              <w:t xml:space="preserve">Each captures distinct, orthogonal risk dimension; removing any pillar loses crisis detection</w:t>
            </w:r>
          </w:p>
        </w:tc>
      </w:tr>
      <w:tr>
        <w:tc>
          <w:tcPr/>
          <w:p>
            <w:pPr>
              <w:pStyle w:val="Compact"/>
              <w:jc w:val="left"/>
            </w:pPr>
            <w:r>
              <w:rPr>
                <w:bCs/>
                <w:b/>
              </w:rPr>
              <w:t xml:space="preserve">Equal weights as default</w:t>
            </w:r>
          </w:p>
        </w:tc>
        <w:tc>
          <w:tcPr/>
          <w:p>
            <w:pPr>
              <w:pStyle w:val="Compact"/>
              <w:jc w:val="left"/>
            </w:pPr>
            <w:r>
              <w:t xml:space="preserve">Interpretable, robust baseline; ML weights activated only when demonstrably superior</w:t>
            </w:r>
          </w:p>
        </w:tc>
      </w:tr>
      <w:tr>
        <w:tc>
          <w:tcPr/>
          <w:p>
            <w:pPr>
              <w:pStyle w:val="Compact"/>
              <w:jc w:val="left"/>
            </w:pPr>
            <w:r>
              <w:rPr>
                <w:bCs/>
                <w:b/>
              </w:rPr>
              <w:t xml:space="preserve">Regime break at MAC &lt; 0.20</w:t>
            </w:r>
          </w:p>
        </w:tc>
        <w:tc>
          <w:tcPr/>
          <w:p>
            <w:pPr>
              <w:pStyle w:val="Compact"/>
              <w:jc w:val="left"/>
            </w:pPr>
            <w:r>
              <w:t xml:space="preserve">Acknowledges model limits; exponential extrapolation would be misleading</w:t>
            </w:r>
          </w:p>
        </w:tc>
      </w:tr>
      <w:tr>
        <w:tc>
          <w:tcPr/>
          <w:p>
            <w:pPr>
              <w:pStyle w:val="Compact"/>
              <w:jc w:val="left"/>
            </w:pPr>
            <w:r>
              <w:rPr>
                <w:bCs/>
                <w:b/>
              </w:rPr>
              <w:t xml:space="preserve">0.78 calibration factor</w:t>
            </w:r>
          </w:p>
        </w:tc>
        <w:tc>
          <w:tcPr/>
          <w:p>
            <w:pPr>
              <w:pStyle w:val="Compact"/>
              <w:jc w:val="left"/>
            </w:pPr>
            <w:r>
              <w:t xml:space="preserve">Grid-search optimised + LOOCV validated; applied per-era</w:t>
            </w:r>
          </w:p>
        </w:tc>
      </w:tr>
      <w:tr>
        <w:tc>
          <w:tcPr/>
          <w:p>
            <w:pPr>
              <w:pStyle w:val="Compact"/>
              <w:jc w:val="left"/>
            </w:pPr>
            <w:r>
              <w:rPr>
                <w:bCs/>
                <w:b/>
              </w:rPr>
              <w:t xml:space="preserve">Two-sided valuation scoring</w:t>
            </w:r>
          </w:p>
        </w:tc>
        <w:tc>
          <w:tcPr/>
          <w:p>
            <w:pPr>
              <w:pStyle w:val="Compact"/>
              <w:jc w:val="left"/>
            </w:pPr>
            <w:r>
              <w:t xml:space="preserve">Critical fix: prevents compressed spreads from appearing</w:t>
            </w:r>
            <w:r>
              <w:t xml:space="preserve"> </w:t>
            </w:r>
            <w:r>
              <w:t xml:space="preserve">“</w:t>
            </w:r>
            <w:r>
              <w:t xml:space="preserve">safe</w:t>
            </w:r>
            <w:r>
              <w:t xml:space="preserve">”</w:t>
            </w:r>
          </w:p>
        </w:tc>
      </w:tr>
      <w:tr>
        <w:tc>
          <w:tcPr/>
          <w:p>
            <w:pPr>
              <w:pStyle w:val="Compact"/>
              <w:jc w:val="left"/>
            </w:pPr>
            <w:r>
              <w:rPr>
                <w:bCs/>
                <w:b/>
              </w:rPr>
              <w:t xml:space="preserve">Policy pillar: binding constraint (min)</w:t>
            </w:r>
          </w:p>
        </w:tc>
        <w:tc>
          <w:tcPr/>
          <w:p>
            <w:pPr>
              <w:pStyle w:val="Compact"/>
              <w:jc w:val="left"/>
            </w:pPr>
            <w:r>
              <w:t xml:space="preserve">Policy constraints are non-substitutable; a single exhausted constraint impairs response regardless of others</w:t>
            </w:r>
          </w:p>
        </w:tc>
      </w:tr>
      <w:tr>
        <w:tc>
          <w:tcPr/>
          <w:p>
            <w:pPr>
              <w:pStyle w:val="Compact"/>
              <w:jc w:val="left"/>
            </w:pPr>
            <w:r>
              <w:rPr>
                <w:bCs/>
                <w:b/>
              </w:rPr>
              <w:t xml:space="preserve">No deep learning</w:t>
            </w:r>
          </w:p>
        </w:tc>
        <w:tc>
          <w:tcPr/>
          <w:p>
            <w:pPr>
              <w:pStyle w:val="Compact"/>
              <w:jc w:val="left"/>
            </w:pPr>
            <w:r>
              <w:t xml:space="preserve">Small training set (14 scenarios); gradient boosting is optimal for tabular, small-N</w:t>
            </w:r>
          </w:p>
        </w:tc>
      </w:tr>
      <w:tr>
        <w:tc>
          <w:tcPr/>
          <w:p>
            <w:pPr>
              <w:pStyle w:val="Compact"/>
              <w:jc w:val="left"/>
            </w:pPr>
            <w:r>
              <w:rPr>
                <w:bCs/>
                <w:b/>
              </w:rPr>
              <w:t xml:space="preserve">Explicit interaction features</w:t>
            </w:r>
          </w:p>
        </w:tc>
        <w:tc>
          <w:tcPr/>
          <w:p>
            <w:pPr>
              <w:pStyle w:val="Compact"/>
              <w:jc w:val="left"/>
            </w:pPr>
            <w:r>
              <w:t xml:space="preserve">Theory-driven pairs outperform letting the model discover interactions</w:t>
            </w:r>
          </w:p>
        </w:tc>
      </w:tr>
      <w:tr>
        <w:tc>
          <w:tcPr/>
          <w:p>
            <w:pPr>
              <w:pStyle w:val="Compact"/>
              <w:jc w:val="left"/>
            </w:pPr>
            <w:r>
              <w:rPr>
                <w:bCs/>
                <w:b/>
              </w:rPr>
              <w:t xml:space="preserve">Exclude missing pillars</w:t>
            </w:r>
          </w:p>
        </w:tc>
        <w:tc>
          <w:tcPr/>
          <w:p>
            <w:pPr>
              <w:pStyle w:val="Compact"/>
              <w:jc w:val="left"/>
            </w:pPr>
            <w:r>
              <w:t xml:space="preserve">Neutral filler (0.5) dilutes real signals; better to use fewer, accurate pillars</w:t>
            </w:r>
          </w:p>
        </w:tc>
      </w:tr>
      <w:tr>
        <w:tc>
          <w:tcPr/>
          <w:p>
            <w:pPr>
              <w:pStyle w:val="Compact"/>
              <w:jc w:val="left"/>
            </w:pPr>
            <w:r>
              <w:rPr>
                <w:bCs/>
                <w:b/>
              </w:rPr>
              <w:t xml:space="preserve">Private credit decorrelation</w:t>
            </w:r>
          </w:p>
        </w:tc>
        <w:tc>
          <w:tcPr/>
          <w:p>
            <w:pPr>
              <w:pStyle w:val="Compact"/>
              <w:jc w:val="left"/>
            </w:pPr>
            <w:r>
              <w:t xml:space="preserve">OLS residual extraction ensures the pillar contributes orthogonal information, not redundant equity/credit beta</w:t>
            </w:r>
          </w:p>
        </w:tc>
      </w:tr>
      <w:tr>
        <w:tc>
          <w:tcPr/>
          <w:p>
            <w:pPr>
              <w:pStyle w:val="Compact"/>
              <w:jc w:val="left"/>
            </w:pPr>
            <w:r>
              <w:rPr>
                <w:bCs/>
                <w:b/>
              </w:rPr>
              <w:t xml:space="preserve">Monthly proxies interpolated</w:t>
            </w:r>
          </w:p>
        </w:tc>
        <w:tc>
          <w:tcPr/>
          <w:p>
            <w:pPr>
              <w:pStyle w:val="Compact"/>
              <w:jc w:val="left"/>
            </w:pPr>
            <w:r>
              <w:t xml:space="preserve">Weekly backtest frequency maintained; interpolation introduces smoothing, not bias</w:t>
            </w:r>
          </w:p>
        </w:tc>
      </w:tr>
      <w:tr>
        <w:tc>
          <w:tcPr/>
          <w:p>
            <w:pPr>
              <w:pStyle w:val="Compact"/>
              <w:jc w:val="left"/>
            </w:pPr>
            <w:r>
              <w:rPr>
                <w:bCs/>
                <w:b/>
              </w:rPr>
              <w:t xml:space="preserve">VRP adjustment for historical vol</w:t>
            </w:r>
          </w:p>
        </w:tc>
        <w:tc>
          <w:tcPr/>
          <w:p>
            <w:pPr>
              <w:pStyle w:val="Compact"/>
              <w:jc w:val="left"/>
            </w:pPr>
            <w:r>
              <w:t xml:space="preserve">Schwert (realised) must be scaled to compare with VIX (implied)</w:t>
            </w:r>
          </w:p>
        </w:tc>
      </w:tr>
    </w:tbl>
    <w:p>
      <w:r>
        <w:pict>
          <v:rect style="width:0;height:1.5pt" o:hralign="center" o:hrstd="t" o:hr="t"/>
        </w:pict>
      </w:r>
    </w:p>
    <w:bookmarkEnd w:id="181"/>
    <w:bookmarkEnd w:id="182"/>
    <w:bookmarkStart w:id="186" w:name="references"/>
    <w:p>
      <w:pPr>
        <w:pStyle w:val="Heading2"/>
      </w:pPr>
      <w:r>
        <w:t xml:space="preserve">18. References</w:t>
      </w:r>
    </w:p>
    <w:bookmarkStart w:id="183" w:name="academic-literature"/>
    <w:p>
      <w:pPr>
        <w:pStyle w:val="Heading3"/>
      </w:pPr>
      <w:r>
        <w:t xml:space="preserve">Academic Literature</w:t>
      </w:r>
    </w:p>
    <w:p>
      <w:pPr>
        <w:numPr>
          <w:ilvl w:val="0"/>
          <w:numId w:val="1020"/>
        </w:numPr>
      </w:pPr>
      <w:r>
        <w:rPr>
          <w:bCs/>
          <w:b/>
        </w:rPr>
        <w:t xml:space="preserve">Schwert, G.W.</w:t>
      </w:r>
      <w:r>
        <w:t xml:space="preserve"> </w:t>
      </w:r>
      <w:r>
        <w:t xml:space="preserve">(1989).</w:t>
      </w:r>
      <w:r>
        <w:t xml:space="preserve"> </w:t>
      </w:r>
      <w:r>
        <w:t xml:space="preserve">“</w:t>
      </w:r>
      <w:r>
        <w:t xml:space="preserve">Why Does Stock Market Volatility Change Over Time?</w:t>
      </w:r>
      <w:r>
        <w:t xml:space="preserve">”</w:t>
      </w:r>
      <w:r>
        <w:t xml:space="preserve"> </w:t>
      </w:r>
      <w:r>
        <w:rPr>
          <w:iCs/>
          <w:i/>
        </w:rPr>
        <w:t xml:space="preserve">Journal of Finance</w:t>
      </w:r>
      <w:r>
        <w:t xml:space="preserve">, 44(5), 1115–1153. — Source of 1802–1987 volatility estimates.</w:t>
      </w:r>
    </w:p>
    <w:p>
      <w:pPr>
        <w:numPr>
          <w:ilvl w:val="0"/>
          <w:numId w:val="1020"/>
        </w:numPr>
      </w:pPr>
      <w:r>
        <w:rPr>
          <w:bCs/>
          <w:b/>
        </w:rPr>
        <w:t xml:space="preserve">Breiman, L.</w:t>
      </w:r>
      <w:r>
        <w:t xml:space="preserve"> </w:t>
      </w:r>
      <w:r>
        <w:t xml:space="preserve">(2001).</w:t>
      </w:r>
      <w:r>
        <w:t xml:space="preserve"> </w:t>
      </w:r>
      <w:r>
        <w:t xml:space="preserve">“</w:t>
      </w:r>
      <w:r>
        <w:t xml:space="preserve">Random Forests.</w:t>
      </w:r>
      <w:r>
        <w:t xml:space="preserve">”</w:t>
      </w:r>
      <w:r>
        <w:t xml:space="preserve"> </w:t>
      </w:r>
      <w:r>
        <w:rPr>
          <w:iCs/>
          <w:i/>
        </w:rPr>
        <w:t xml:space="preserve">Machine Learning</w:t>
      </w:r>
      <w:r>
        <w:t xml:space="preserve">, 45(1), 5–32. — Foundational ensemble method used in ML weight optimiser.</w:t>
      </w:r>
    </w:p>
    <w:p>
      <w:pPr>
        <w:numPr>
          <w:ilvl w:val="0"/>
          <w:numId w:val="1020"/>
        </w:numPr>
      </w:pPr>
      <w:r>
        <w:rPr>
          <w:bCs/>
          <w:b/>
        </w:rPr>
        <w:t xml:space="preserve">Friedman, J.H.</w:t>
      </w:r>
      <w:r>
        <w:t xml:space="preserve"> </w:t>
      </w:r>
      <w:r>
        <w:t xml:space="preserve">(2001).</w:t>
      </w:r>
      <w:r>
        <w:t xml:space="preserve"> </w:t>
      </w:r>
      <w:r>
        <w:t xml:space="preserve">“</w:t>
      </w:r>
      <w:r>
        <w:t xml:space="preserve">Greedy Function Approximation: A Gradient Boosting Machine.</w:t>
      </w:r>
      <w:r>
        <w:t xml:space="preserve">”</w:t>
      </w:r>
      <w:r>
        <w:t xml:space="preserve"> </w:t>
      </w:r>
      <w:r>
        <w:rPr>
          <w:iCs/>
          <w:i/>
        </w:rPr>
        <w:t xml:space="preserve">Annals of Statistics</w:t>
      </w:r>
      <w:r>
        <w:t xml:space="preserve">, 29(5), 1189–1232. — Gradient boosting method used for weight optimisation.</w:t>
      </w:r>
    </w:p>
    <w:p>
      <w:pPr>
        <w:numPr>
          <w:ilvl w:val="0"/>
          <w:numId w:val="1020"/>
        </w:numPr>
      </w:pPr>
      <w:r>
        <w:rPr>
          <w:bCs/>
          <w:b/>
        </w:rPr>
        <w:t xml:space="preserve">Shiller, R.J.</w:t>
      </w:r>
      <w:r>
        <w:t xml:space="preserve"> </w:t>
      </w:r>
      <w:r>
        <w:t xml:space="preserve">— Yale Online Data. S&amp;P Composite Stock Price Index, CAPE, CPI, long-term interest rates (from 1871).</w:t>
      </w:r>
    </w:p>
    <w:bookmarkEnd w:id="183"/>
    <w:bookmarkStart w:id="184" w:name="federal-reserve-research"/>
    <w:p>
      <w:pPr>
        <w:pStyle w:val="Heading3"/>
      </w:pPr>
      <w:r>
        <w:t xml:space="preserve">Federal Reserve Research</w:t>
      </w:r>
    </w:p>
    <w:p>
      <w:pPr>
        <w:numPr>
          <w:ilvl w:val="0"/>
          <w:numId w:val="1021"/>
        </w:numPr>
      </w:pPr>
      <w:r>
        <w:rPr>
          <w:bCs/>
          <w:b/>
        </w:rPr>
        <w:t xml:space="preserve">Federal Reserve Board</w:t>
      </w:r>
      <w:r>
        <w:t xml:space="preserve"> </w:t>
      </w:r>
      <w:r>
        <w:t xml:space="preserve">(March 2024).</w:t>
      </w:r>
      <w:r>
        <w:t xml:space="preserve"> </w:t>
      </w:r>
      <w:r>
        <w:t xml:space="preserve">“</w:t>
      </w:r>
      <w:r>
        <w:t xml:space="preserve">Quantifying Treasury Cash-Futures Basis Trades.</w:t>
      </w:r>
      <w:r>
        <w:t xml:space="preserve">”</w:t>
      </w:r>
      <w:r>
        <w:t xml:space="preserve"> </w:t>
      </w:r>
      <w:r>
        <w:rPr>
          <w:iCs/>
          <w:i/>
        </w:rPr>
        <w:t xml:space="preserve">FEDS Notes</w:t>
      </w:r>
      <w:r>
        <w:t xml:space="preserve">. — Basis trade size estimates ($260B–$574B in late 2023).</w:t>
      </w:r>
    </w:p>
    <w:p>
      <w:pPr>
        <w:numPr>
          <w:ilvl w:val="0"/>
          <w:numId w:val="1021"/>
        </w:numPr>
      </w:pPr>
      <w:r>
        <w:rPr>
          <w:bCs/>
          <w:b/>
        </w:rPr>
        <w:t xml:space="preserve">Federal Reserve Board</w:t>
      </w:r>
      <w:r>
        <w:t xml:space="preserve"> </w:t>
      </w:r>
      <w:r>
        <w:t xml:space="preserve">(August 2023).</w:t>
      </w:r>
      <w:r>
        <w:t xml:space="preserve"> </w:t>
      </w:r>
      <w:r>
        <w:t xml:space="preserve">“</w:t>
      </w:r>
      <w:r>
        <w:t xml:space="preserve">Recent Developments in Hedge Funds’ Treasury Futures and Repo Positions.</w:t>
      </w:r>
      <w:r>
        <w:t xml:space="preserve">”</w:t>
      </w:r>
      <w:r>
        <w:t xml:space="preserve"> </w:t>
      </w:r>
      <w:r>
        <w:rPr>
          <w:iCs/>
          <w:i/>
        </w:rPr>
        <w:t xml:space="preserve">FEDS Notes</w:t>
      </w:r>
      <w:r>
        <w:t xml:space="preserve">. — Identifies basis trade as financial stability vulnerability.</w:t>
      </w:r>
    </w:p>
    <w:p>
      <w:pPr>
        <w:numPr>
          <w:ilvl w:val="0"/>
          <w:numId w:val="1021"/>
        </w:numPr>
      </w:pPr>
      <w:r>
        <w:rPr>
          <w:bCs/>
          <w:b/>
        </w:rPr>
        <w:t xml:space="preserve">Office of Financial Research</w:t>
      </w:r>
      <w:r>
        <w:t xml:space="preserve"> </w:t>
      </w:r>
      <w:r>
        <w:t xml:space="preserve">(April 2021).</w:t>
      </w:r>
      <w:r>
        <w:t xml:space="preserve"> </w:t>
      </w:r>
      <w:r>
        <w:t xml:space="preserve">“</w:t>
      </w:r>
      <w:r>
        <w:t xml:space="preserve">Hedge Funds and the Treasury Cash-Futures Disconnect.</w:t>
      </w:r>
      <w:r>
        <w:t xml:space="preserve">”</w:t>
      </w:r>
      <w:r>
        <w:t xml:space="preserve"> </w:t>
      </w:r>
      <w:r>
        <w:rPr>
          <w:iCs/>
          <w:i/>
        </w:rPr>
        <w:t xml:space="preserve">OFR Working Paper 21-01</w:t>
      </w:r>
      <w:r>
        <w:t xml:space="preserve">. — Documents basis trade unwind contribution to March 2020 Treasury dysfunction.</w:t>
      </w:r>
    </w:p>
    <w:p>
      <w:pPr>
        <w:numPr>
          <w:ilvl w:val="0"/>
          <w:numId w:val="1021"/>
        </w:numPr>
      </w:pPr>
      <w:r>
        <w:rPr>
          <w:bCs/>
          <w:b/>
        </w:rPr>
        <w:t xml:space="preserve">Alessi, L. &amp; Detken, C.</w:t>
      </w:r>
      <w:r>
        <w:t xml:space="preserve"> </w:t>
      </w:r>
      <w:r>
        <w:t xml:space="preserve">(2011).</w:t>
      </w:r>
      <w:r>
        <w:t xml:space="preserve"> </w:t>
      </w:r>
      <w:r>
        <w:t xml:space="preserve">“</w:t>
      </w:r>
      <w:r>
        <w:t xml:space="preserve">Quasi Real Time Early Warning Indicators for Costly Asset Price Boom/Bust Cycles.</w:t>
      </w:r>
      <w:r>
        <w:t xml:space="preserve">”</w:t>
      </w:r>
      <w:r>
        <w:t xml:space="preserve"> </w:t>
      </w:r>
      <w:r>
        <w:rPr>
          <w:iCs/>
          <w:i/>
        </w:rPr>
        <w:t xml:space="preserve">European Journal of Political Economy</w:t>
      </w:r>
      <w:r>
        <w:t xml:space="preserve">, 27(3), 520–533. — Precision-recall benchmarks for financial early warning systems.</w:t>
      </w:r>
    </w:p>
    <w:p>
      <w:pPr>
        <w:numPr>
          <w:ilvl w:val="0"/>
          <w:numId w:val="1021"/>
        </w:numPr>
      </w:pPr>
      <w:r>
        <w:rPr>
          <w:bCs/>
          <w:b/>
        </w:rPr>
        <w:t xml:space="preserve">Borio, C. &amp; Drehmann, M.</w:t>
      </w:r>
      <w:r>
        <w:t xml:space="preserve"> </w:t>
      </w:r>
      <w:r>
        <w:t xml:space="preserve">(2009).</w:t>
      </w:r>
      <w:r>
        <w:t xml:space="preserve"> </w:t>
      </w:r>
      <w:r>
        <w:t xml:space="preserve">“</w:t>
      </w:r>
      <w:r>
        <w:t xml:space="preserve">Assessing the Risk of Banking Crises — Revisited.</w:t>
      </w:r>
      <w:r>
        <w:t xml:space="preserve">”</w:t>
      </w:r>
      <w:r>
        <w:t xml:space="preserve"> </w:t>
      </w:r>
      <w:r>
        <w:rPr>
          <w:iCs/>
          <w:i/>
        </w:rPr>
        <w:t xml:space="preserve">BIS Quarterly Review</w:t>
      </w:r>
      <w:r>
        <w:t xml:space="preserve">, March 2009. — BIS early warning indicator performance benchmarks.</w:t>
      </w:r>
    </w:p>
    <w:p>
      <w:pPr>
        <w:numPr>
          <w:ilvl w:val="0"/>
          <w:numId w:val="1021"/>
        </w:numPr>
      </w:pPr>
      <w:r>
        <w:rPr>
          <w:bCs/>
          <w:b/>
        </w:rPr>
        <w:t xml:space="preserve">Homer, S. &amp; Sylla, R.</w:t>
      </w:r>
      <w:r>
        <w:t xml:space="preserve"> </w:t>
      </w:r>
      <w:r>
        <w:t xml:space="preserve">(2005).</w:t>
      </w:r>
      <w:r>
        <w:t xml:space="preserve"> </w:t>
      </w:r>
      <w:r>
        <w:rPr>
          <w:iCs/>
          <w:i/>
        </w:rPr>
        <w:t xml:space="preserve">A History of Interest Rates</w:t>
      </w:r>
      <w:r>
        <w:t xml:space="preserve">. 4th Edition. Wiley. — Global sovereign bond yield data from antiquity.</w:t>
      </w:r>
    </w:p>
    <w:p>
      <w:pPr>
        <w:numPr>
          <w:ilvl w:val="0"/>
          <w:numId w:val="1021"/>
        </w:numPr>
      </w:pPr>
      <w:r>
        <w:rPr>
          <w:bCs/>
          <w:b/>
        </w:rPr>
        <w:t xml:space="preserve">Meyer, J., Reinhart, C.M. &amp; Trebesch, C.</w:t>
      </w:r>
      <w:r>
        <w:t xml:space="preserve"> </w:t>
      </w:r>
      <w:r>
        <w:t xml:space="preserve">(2019).</w:t>
      </w:r>
      <w:r>
        <w:t xml:space="preserve"> </w:t>
      </w:r>
      <w:r>
        <w:t xml:space="preserve">“</w:t>
      </w:r>
      <w:r>
        <w:t xml:space="preserve">Sovereign Bonds Since Waterloo.</w:t>
      </w:r>
      <w:r>
        <w:t xml:space="preserve">”</w:t>
      </w:r>
      <w:r>
        <w:t xml:space="preserve"> </w:t>
      </w:r>
      <w:r>
        <w:rPr>
          <w:iCs/>
          <w:i/>
        </w:rPr>
        <w:t xml:space="preserve">Quarterly Journal of Economics</w:t>
      </w:r>
      <w:r>
        <w:t xml:space="preserve">, 134(3), 1615–1681. — Sovereign bond prices, yields, and defaults for 91 countries from 1815.</w:t>
      </w:r>
    </w:p>
    <w:p>
      <w:pPr>
        <w:numPr>
          <w:ilvl w:val="0"/>
          <w:numId w:val="1021"/>
        </w:numPr>
      </w:pPr>
      <w:r>
        <w:rPr>
          <w:bCs/>
          <w:b/>
        </w:rPr>
        <w:t xml:space="preserve">Reinhart, C.M. &amp; Rogoff, K.S.</w:t>
      </w:r>
      <w:r>
        <w:t xml:space="preserve"> </w:t>
      </w:r>
      <w:r>
        <w:t xml:space="preserve">(2009).</w:t>
      </w:r>
      <w:r>
        <w:t xml:space="preserve"> </w:t>
      </w:r>
      <w:r>
        <w:rPr>
          <w:iCs/>
          <w:i/>
        </w:rPr>
        <w:t xml:space="preserve">This Time Is Different: Eight Centuries of Financial Folly</w:t>
      </w:r>
      <w:r>
        <w:t xml:space="preserve">. Princeton University Press. — Sovereign default and banking crisis dates for 66 countries.</w:t>
      </w:r>
    </w:p>
    <w:p>
      <w:pPr>
        <w:numPr>
          <w:ilvl w:val="0"/>
          <w:numId w:val="1021"/>
        </w:numPr>
      </w:pPr>
      <w:r>
        <w:rPr>
          <w:bCs/>
          <w:b/>
        </w:rPr>
        <w:t xml:space="preserve">Pesaran, M.H. &amp; Shin, Y.</w:t>
      </w:r>
      <w:r>
        <w:t xml:space="preserve"> </w:t>
      </w:r>
      <w:r>
        <w:t xml:space="preserve">(1998).</w:t>
      </w:r>
      <w:r>
        <w:t xml:space="preserve"> </w:t>
      </w:r>
      <w:r>
        <w:t xml:space="preserve">“</w:t>
      </w:r>
      <w:r>
        <w:t xml:space="preserve">Generalised Impulse Response Analysis in Linear Multivariate Models.</w:t>
      </w:r>
      <w:r>
        <w:t xml:space="preserve">”</w:t>
      </w:r>
      <w:r>
        <w:t xml:space="preserve"> </w:t>
      </w:r>
      <w:r>
        <w:rPr>
          <w:iCs/>
          <w:i/>
        </w:rPr>
        <w:t xml:space="preserve">Economics Letters</w:t>
      </w:r>
      <w:r>
        <w:t xml:space="preserve">, 58(1), 17–29. — GIRFs invariant to VAR ordering.</w:t>
      </w:r>
    </w:p>
    <w:p>
      <w:pPr>
        <w:numPr>
          <w:ilvl w:val="0"/>
          <w:numId w:val="1021"/>
        </w:numPr>
      </w:pPr>
      <w:r>
        <w:rPr>
          <w:bCs/>
          <w:b/>
        </w:rPr>
        <w:t xml:space="preserve">Bassett, W.F., Chosak, M.B., Driscoll, J.C. &amp; Zakrajšek, E.</w:t>
      </w:r>
      <w:r>
        <w:t xml:space="preserve"> </w:t>
      </w:r>
      <w:r>
        <w:t xml:space="preserve">(2014).</w:t>
      </w:r>
      <w:r>
        <w:t xml:space="preserve"> </w:t>
      </w:r>
      <w:r>
        <w:t xml:space="preserve">“</w:t>
      </w:r>
      <w:r>
        <w:t xml:space="preserve">Changes in Bank Lending Standards and the Macroeconomy.</w:t>
      </w:r>
      <w:r>
        <w:t xml:space="preserve">”</w:t>
      </w:r>
      <w:r>
        <w:t xml:space="preserve"> </w:t>
      </w:r>
      <w:r>
        <w:rPr>
          <w:iCs/>
          <w:i/>
        </w:rPr>
        <w:t xml:space="preserve">Journal of Monetary Economics</w:t>
      </w:r>
      <w:r>
        <w:t xml:space="preserve">, 62, 23–40. — SLOOS predictive power for credit conditions.</w:t>
      </w:r>
    </w:p>
    <w:p>
      <w:pPr>
        <w:numPr>
          <w:ilvl w:val="0"/>
          <w:numId w:val="1021"/>
        </w:numPr>
      </w:pPr>
      <w:r>
        <w:rPr>
          <w:bCs/>
          <w:b/>
        </w:rPr>
        <w:t xml:space="preserve">Rees, A.</w:t>
      </w:r>
      <w:r>
        <w:t xml:space="preserve"> </w:t>
      </w:r>
      <w:r>
        <w:t xml:space="preserve">(1961).</w:t>
      </w:r>
      <w:r>
        <w:t xml:space="preserve"> </w:t>
      </w:r>
      <w:r>
        <w:rPr>
          <w:iCs/>
          <w:i/>
        </w:rPr>
        <w:t xml:space="preserve">Real Wages in Manufacturing, 1890–1914</w:t>
      </w:r>
      <w:r>
        <w:t xml:space="preserve">. Princeton University Press. — Consumer cost-of-living index used for pre-CPI inflation proxy.</w:t>
      </w:r>
    </w:p>
    <w:bookmarkEnd w:id="184"/>
    <w:bookmarkStart w:id="185" w:name="data-sources-1"/>
    <w:p>
      <w:pPr>
        <w:pStyle w:val="Heading3"/>
      </w:pPr>
      <w:r>
        <w:t xml:space="preserve">Data Sources</w:t>
      </w:r>
    </w:p>
    <w:p>
      <w:pPr>
        <w:numPr>
          <w:ilvl w:val="0"/>
          <w:numId w:val="1022"/>
        </w:numPr>
      </w:pPr>
      <w:r>
        <w:rPr>
          <w:bCs/>
          <w:b/>
        </w:rPr>
        <w:t xml:space="preserve">FRED</w:t>
      </w:r>
      <w:r>
        <w:t xml:space="preserve"> </w:t>
      </w:r>
      <w:r>
        <w:t xml:space="preserve">(Federal Reserve Economic Data). Federal Reserve Bank of St. Louis. https://fred.stlouisfed.org/</w:t>
      </w:r>
    </w:p>
    <w:p>
      <w:pPr>
        <w:numPr>
          <w:ilvl w:val="0"/>
          <w:numId w:val="1022"/>
        </w:numPr>
      </w:pPr>
      <w:r>
        <w:rPr>
          <w:bCs/>
          <w:b/>
        </w:rPr>
        <w:t xml:space="preserve">NBER Macrohistory Database</w:t>
      </w:r>
      <w:r>
        <w:t xml:space="preserve">. National Bureau of Economic Research. https://www.nber.org/research/data/nber-macrohistory-database — Interest rates, gold stocks, commercial paper rates (from 1857).</w:t>
      </w:r>
    </w:p>
    <w:p>
      <w:pPr>
        <w:numPr>
          <w:ilvl w:val="0"/>
          <w:numId w:val="1022"/>
        </w:numPr>
      </w:pPr>
      <w:r>
        <w:rPr>
          <w:bCs/>
          <w:b/>
        </w:rPr>
        <w:t xml:space="preserve">Bank of England Research Database</w:t>
      </w:r>
      <w:r>
        <w:t xml:space="preserve">. Bank of England. — GBP/USD exchange rate (from 1791), Bank Rate (from 1694).</w:t>
      </w:r>
    </w:p>
    <w:p>
      <w:pPr>
        <w:numPr>
          <w:ilvl w:val="0"/>
          <w:numId w:val="1022"/>
        </w:numPr>
      </w:pPr>
      <w:r>
        <w:rPr>
          <w:bCs/>
          <w:b/>
        </w:rPr>
        <w:t xml:space="preserve">MeasuringWorth</w:t>
      </w:r>
      <w:r>
        <w:t xml:space="preserve">. https://www.measuringworth.com/ — US nominal GDP (from 1790).</w:t>
      </w:r>
    </w:p>
    <w:p>
      <w:pPr>
        <w:numPr>
          <w:ilvl w:val="0"/>
          <w:numId w:val="1022"/>
        </w:numPr>
      </w:pPr>
      <w:r>
        <w:rPr>
          <w:bCs/>
          <w:b/>
        </w:rPr>
        <w:t xml:space="preserve">FINRA / NYSE</w:t>
      </w:r>
      <w:r>
        <w:t xml:space="preserve">. — Margin debt statistics (from 1918).</w:t>
      </w:r>
    </w:p>
    <w:p>
      <w:pPr>
        <w:numPr>
          <w:ilvl w:val="0"/>
          <w:numId w:val="1022"/>
        </w:numPr>
      </w:pPr>
      <w:r>
        <w:rPr>
          <w:bCs/>
          <w:b/>
        </w:rPr>
        <w:t xml:space="preserve">CFTC Commitments of Traders (COT)</w:t>
      </w:r>
      <w:r>
        <w:t xml:space="preserve">. Commodity Futures Trading Commission. — Treasury futures positioning (from 1986).</w:t>
      </w:r>
    </w:p>
    <w:p>
      <w:r>
        <w:pict>
          <v:rect style="width:0;height:1.5pt" o:hralign="center" o:hrstd="t" o:hr="t"/>
        </w:pict>
      </w:r>
    </w:p>
    <w:p>
      <w:pPr>
        <w:pStyle w:val="FirstParagraph"/>
      </w:pPr>
      <w:r>
        <w:rPr>
          <w:iCs/>
          <w:i/>
        </w:rPr>
        <w:t xml:space="preserve">Framework Version: 6.0 (7-Pillar, Extended 1907–2025, Revised)</w:t>
      </w:r>
      <w:r>
        <w:t xml:space="preserve"> </w:t>
      </w:r>
      <w:r>
        <w:rPr>
          <w:iCs/>
          <w:i/>
        </w:rPr>
        <w:t xml:space="preserve">Calibration Factor: 0.78 (era-aware)</w:t>
      </w:r>
      <w:r>
        <w:t xml:space="preserve"> </w:t>
      </w:r>
      <w:r>
        <w:rPr>
          <w:iCs/>
          <w:i/>
        </w:rPr>
        <w:t xml:space="preserve">Weight Method: ML-optimised (2006+), era-specific (pre-1971), equal (default)</w:t>
      </w:r>
      <w:r>
        <w:t xml:space="preserve"> </w:t>
      </w:r>
      <w:r>
        <w:rPr>
          <w:iCs/>
          <w:i/>
        </w:rPr>
        <w:t xml:space="preserve">Data Sources: FRED, NBER Macrohistory, Schwert (1989), Shiller (Yale), Bank of England, MeasuringWorth, FINRA</w:t>
      </w:r>
      <w:r>
        <w:t xml:space="preserve"> </w:t>
      </w:r>
      <w:r>
        <w:rPr>
          <w:iCs/>
          <w:i/>
        </w:rPr>
        <w:t xml:space="preserve">Document Author: FGF Research</w:t>
      </w:r>
      <w:r>
        <w:t xml:space="preserve"> </w:t>
      </w:r>
      <w:r>
        <w:rPr>
          <w:iCs/>
          <w:i/>
        </w:rPr>
        <w:t xml:space="preserve">Last Updated: February 2026 (Revision incorporating 10-point critique response)</w:t>
      </w:r>
    </w:p>
    <w:bookmarkEnd w:id="185"/>
    <w:bookmarkEnd w:id="186"/>
    <w:bookmarkEnd w:id="1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2026-02-18T17:47:27Z</dcterms:created>
  <dcterms:modified xsi:type="dcterms:W3CDTF">2026-02-18T17:47:27Z</dcterms:modified>
</cp:coreProperties>
</file>

<file path=docProps/custom.xml><?xml version="1.0" encoding="utf-8"?>
<Properties xmlns="http://schemas.openxmlformats.org/officeDocument/2006/custom-properties" xmlns:vt="http://schemas.openxmlformats.org/officeDocument/2006/docPropsVTypes"/>
</file>