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Absorption Capacity (MAC) Framework</w:t>
      </w:r>
    </w:p>
    <w:p>
      <w:pPr>
        <w:pStyle w:val="Heading2"/>
      </w:pPr>
      <w:r>
        <w:t>Consolidated Documentation for Independent Review</w:t>
      </w:r>
    </w:p>
    <w:p>
      <w:r>
        <w:rPr>
          <w:b/>
        </w:rPr>
        <w:t>Version 4.3 | January 2026</w:t>
      </w:r>
    </w:p>
    <w:p>
      <w:r>
        <w:rPr>
          <w:i/>
        </w:rPr>
        <w:t>All indicators use real data from FRED, CFTC COT, and yfinance</w:t>
      </w:r>
    </w:p>
    <w:p>
      <w:r>
        <w:rPr>
          <w:b/>
        </w:rPr>
        <w:t>------------------------------</w:t>
      </w:r>
    </w:p>
    <w:p>
      <w:pPr>
        <w:pStyle w:val="Heading2"/>
      </w:pPr>
      <w:r>
        <w:t>Executive Summary</w:t>
      </w:r>
    </w:p>
    <w:p>
      <w:r>
        <w:t>The MAC Framework measures financial market absorption capacity - the system's ability to absorb exogenous shocks without disorderly price adjustments, liquidity disruptions, or contagion cascades.</w:t>
      </w:r>
    </w:p>
    <w:p>
      <w:pPr>
        <w:pStyle w:val="Heading3"/>
      </w:pPr>
      <w:r>
        <w:t>Key Results</w:t>
      </w:r>
    </w:p>
    <w:p>
      <w:r>
        <w:t xml:space="preserve">| Metric | Value | |--------|-------| | </w:t>
      </w:r>
      <w:r>
        <w:rPr>
          <w:b/>
        </w:rPr>
        <w:t>MAC Range Accuracy</w:t>
      </w:r>
      <w:r>
        <w:t xml:space="preserve"> | 100% (14/14 scenarios) | | </w:t>
      </w:r>
      <w:r>
        <w:rPr>
          <w:b/>
        </w:rPr>
        <w:t>Breach Detection</w:t>
      </w:r>
      <w:r>
        <w:t xml:space="preserve"> | 71% (10/14) | | </w:t>
      </w:r>
      <w:r>
        <w:rPr>
          <w:b/>
        </w:rPr>
        <w:t>Hedge Prediction</w:t>
      </w:r>
      <w:r>
        <w:t xml:space="preserve"> | 78% (11/14) | | </w:t>
      </w:r>
      <w:r>
        <w:rPr>
          <w:b/>
        </w:rPr>
        <w:t>Time Span Validated</w:t>
      </w:r>
      <w:r>
        <w:t xml:space="preserve"> | 1998-2025 (27 years) | | </w:t>
      </w:r>
      <w:r>
        <w:rPr>
          <w:b/>
        </w:rPr>
        <w:t>Data Sources</w:t>
      </w:r>
      <w:r>
        <w:t xml:space="preserve"> | 100% Real (FRED, CFTC, yfinance) |</w:t>
      </w:r>
    </w:p>
    <w:p>
      <w:r>
        <w:rPr>
          <w:b/>
        </w:rPr>
        <w:t>Critical Finding:</w:t>
      </w:r>
      <w:r>
        <w:t xml:space="preserve"> Positioning pillar breach predicts Treasury hedge failure with 100% correlation in historical sample.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1: Framework Overview</w:t>
      </w:r>
    </w:p>
    <w:p>
      <w:pPr>
        <w:pStyle w:val="Heading3"/>
      </w:pPr>
      <w:r>
        <w:t>1.1 The Six Pillars</w:t>
      </w:r>
    </w:p>
    <w:p>
      <w:r>
        <w:t xml:space="preserve">| Pillar | Question | Key Indicators | |--------|----------|----------------| | </w:t>
      </w:r>
      <w:r>
        <w:rPr>
          <w:b/>
        </w:rPr>
        <w:t>Liquidity</w:t>
      </w:r>
      <w:r>
        <w:t xml:space="preserve"> | Can markets transact without disorderly impact? | SOFR-IORB spread, CP-Treasury spread, cross-currency basis | | </w:t>
      </w:r>
      <w:r>
        <w:rPr>
          <w:b/>
        </w:rPr>
        <w:t>Valuation</w:t>
      </w:r>
      <w:r>
        <w:t xml:space="preserve"> | Are risk premia adequate? | Term premium (10Y-2Y), IG OAS, HY OAS | | </w:t>
      </w:r>
      <w:r>
        <w:rPr>
          <w:b/>
        </w:rPr>
        <w:t>Positioning</w:t>
      </w:r>
      <w:r>
        <w:t xml:space="preserve"> | Is leverage manageable? | Basis trade size, CFTC COT percentile, SVXY AUM | | </w:t>
      </w:r>
      <w:r>
        <w:rPr>
          <w:b/>
        </w:rPr>
        <w:t>Volatility</w:t>
      </w:r>
      <w:r>
        <w:t xml:space="preserve"> | Are vol regimes stable? | VIX level, term structure, RV-IV gap | | </w:t>
      </w:r>
      <w:r>
        <w:rPr>
          <w:b/>
        </w:rPr>
        <w:t>Policy</w:t>
      </w:r>
      <w:r>
        <w:t xml:space="preserve"> | Does Fed have room to cut? | Distance from ELB, balance sheet/GDP, core PCE | | </w:t>
      </w:r>
      <w:r>
        <w:rPr>
          <w:b/>
        </w:rPr>
        <w:t>Contagion</w:t>
      </w:r>
      <w:r>
        <w:t xml:space="preserve"> | Are cross-border channels stable? | EM flows, DXY change, EMBI spread, global equity correlation |</w:t>
      </w:r>
    </w:p>
    <w:p>
      <w:pPr>
        <w:pStyle w:val="Heading3"/>
      </w:pPr>
      <w:r>
        <w:t>1.2 Core Formula</w:t>
      </w:r>
    </w:p>
    <w:p>
      <w:r>
        <w:rPr>
          <w:rFonts w:ascii="Consolas" w:hAnsi="Consolas"/>
          <w:sz w:val="20"/>
        </w:rPr>
        <w:t>MAC = 0.78 × (1/6) × Σ(Pillar Scores)</w:t>
        <w:br/>
        <w:br/>
        <w:t>Where each pillar score ∈ [0, 1]:</w:t>
        <w:br/>
        <w:t>- 1.0 = Ample buffer</w:t>
        <w:br/>
        <w:t>- 0.5 = Thin buffer</w:t>
        <w:br/>
        <w:t>- 0.0 = Breaching (buffer exhausted)</w:t>
        <w:br/>
        <w:br/>
        <w:t>Breach threshold: Pillar score &lt; 0.20</w:t>
      </w:r>
    </w:p>
    <w:p>
      <w:pPr>
        <w:pStyle w:val="Heading3"/>
      </w:pPr>
      <w:r>
        <w:t>1.3 Transmission Multiplier</w:t>
      </w:r>
    </w:p>
    <w:p>
      <w:r>
        <w:t>| MAC Range | Regime | Multiplier | Interpretation | |-----------|--------|------------|----------------| | 0.65+ | AMPLE | 1.0-1.5x | Shocks absorbed normally | | 0.50-0.65 | THIN | 1.5-2.0x | Moderate amplification | | 0.35-0.50 | STRETCHED | 2.0-2.5x | Significant amplification | | &lt;0.35 | BREACH | 2.5x+ | Non-linear dynamics |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2: Pillar Specifications</w:t>
      </w:r>
    </w:p>
    <w:p>
      <w:pPr>
        <w:pStyle w:val="Heading3"/>
      </w:pPr>
      <w:r>
        <w:t>2.1 Liquidity Pillar</w:t>
      </w:r>
    </w:p>
    <w:p>
      <w:r>
        <w:rPr>
          <w:b/>
        </w:rPr>
        <w:t>Question:</w:t>
      </w:r>
      <w:r>
        <w:t xml:space="preserve"> Can markets transact without disorderly price impact?</w:t>
      </w:r>
    </w:p>
    <w:p>
      <w:r>
        <w:t>| Indicator | Source | Ample | Thin | Breach | |-----------|--------|-------|------|--------| | SOFR-IORB spread (bps) | FRED: SOFR, IORB | &lt; 3 | 3-15 | &gt; 25 | | CP-Treasury spread (bps) | FRED: DCPN3M, DTB3 | &lt; 15 | 15-40 | &gt; 60 | | Cross-currency basis (bps) | yfinance FX | &gt; -20 | -20 to -50 | &lt; -80 |</w:t>
      </w:r>
    </w:p>
    <w:p>
      <w:r>
        <w:rPr>
          <w:b/>
        </w:rPr>
        <w:t>Cross-Currency Basis Calculation:</w:t>
      </w:r>
    </w:p>
    <w:p>
      <w:pPr>
        <w:pStyle w:val="ListBullet"/>
      </w:pPr>
      <w:r>
        <w:t>CIP deviation from spot vs futures FX rates</w:t>
      </w:r>
    </w:p>
    <w:p>
      <w:pPr>
        <w:pStyle w:val="ListBullet"/>
      </w:pPr>
      <w:r>
        <w:t>Weighted composite: EUR 40%, JPY 30%, GBP 15%, CHF 15%</w:t>
      </w:r>
    </w:p>
    <w:p>
      <w:pPr>
        <w:pStyle w:val="ListBullet"/>
      </w:pPr>
      <w:r>
        <w:t xml:space="preserve">Formula: </w:t>
      </w:r>
      <w:r>
        <w:rPr>
          <w:rFonts w:ascii="Consolas" w:hAnsi="Consolas"/>
          <w:sz w:val="20"/>
        </w:rPr>
        <w:t>basis = (F/S - 1) × (360/days) × 10000 - (r_usd - r_foreign)</w:t>
      </w:r>
    </w:p>
    <w:p>
      <w:pPr>
        <w:pStyle w:val="Heading3"/>
      </w:pPr>
      <w:r>
        <w:t>2.2 Valuation Pillar</w:t>
      </w:r>
    </w:p>
    <w:p>
      <w:r>
        <w:rPr>
          <w:b/>
        </w:rPr>
        <w:t>Question:</w:t>
      </w:r>
      <w:r>
        <w:t xml:space="preserve"> Are risk premia adequate buffers?</w:t>
      </w:r>
    </w:p>
    <w:p>
      <w:r>
        <w:t>| Indicator | Source | Ample | Thin | Breach | |-----------|--------|-------|------|--------| | Term premium (bps) | FRED: DGS10 - DGS2 | &gt; 80 | 20-80 | &lt; 0 | | IG OAS (bps) | FRED: BAMLC0A0CM | &gt; 130 | 100-130 | &lt; 80 | | HY OAS (bps) | FRED: BAMLH0A0HYM2 | &gt; 400 | 350-400 | &lt; 300 |</w:t>
      </w:r>
    </w:p>
    <w:p>
      <w:pPr>
        <w:pStyle w:val="Heading3"/>
      </w:pPr>
      <w:r>
        <w:t>2.3 Positioning Pillar</w:t>
      </w:r>
    </w:p>
    <w:p>
      <w:r>
        <w:rPr>
          <w:b/>
        </w:rPr>
        <w:t>Question:</w:t>
      </w:r>
      <w:r>
        <w:t xml:space="preserve"> Is leverage manageable and positioning diverse?</w:t>
      </w:r>
    </w:p>
    <w:p>
      <w:r>
        <w:t>| Indicator | Source | Ample | Thin | Breach | |-----------|--------|-------|------|--------| | Basis trade size ($B) | CFTC/Fed proxy | &lt; 350 | 350-600 | &gt; 800 | | Spec net percentile | CFTC COT | 35-65 | 18-82 | &lt; 5 or &gt; 95 | | SVXY AUM ($M) | yfinance | &lt; 350 | 350-600 | &gt; 850 |</w:t>
      </w:r>
    </w:p>
    <w:p>
      <w:r>
        <w:rPr>
          <w:b/>
        </w:rPr>
        <w:t>Critical Insight:</w:t>
      </w:r>
      <w:r>
        <w:t xml:space="preserve"> Positioning breach → Treasury hedge failure (100% correlation in sample)</w:t>
      </w:r>
    </w:p>
    <w:p>
      <w:pPr>
        <w:pStyle w:val="Heading3"/>
      </w:pPr>
      <w:r>
        <w:t>2.4 Volatility Pillar</w:t>
      </w:r>
    </w:p>
    <w:p>
      <w:r>
        <w:rPr>
          <w:b/>
        </w:rPr>
        <w:t>Question:</w:t>
      </w:r>
      <w:r>
        <w:t xml:space="preserve"> Is the vol regime stable?</w:t>
      </w:r>
    </w:p>
    <w:p>
      <w:r>
        <w:t>| Indicator | Source | Ample | Thin | Breach | |-----------|--------|-------|------|--------| | VIX level | FRED: VIXCLS | 14-18 | 11-28 | &lt; 9 or &gt; 40 | | Term structure (M2/M1) | yfinance | 1.00-1.04 | 0.92-1.06 | &lt; 0.88 or &gt; 1.08 | | RV-IV gap (%) | Calculated | &lt; 15 | 15-30 | &gt; 45 |</w:t>
      </w:r>
    </w:p>
    <w:p>
      <w:r>
        <w:rPr>
          <w:b/>
        </w:rPr>
        <w:t>RV-IV Gap Calculation:</w:t>
      </w:r>
    </w:p>
    <w:p>
      <w:r>
        <w:rPr>
          <w:rFonts w:ascii="Consolas" w:hAnsi="Consolas"/>
          <w:sz w:val="20"/>
        </w:rPr>
        <w:t>RV = std(SPY daily returns, 20 days) × sqrt(252) × 100</w:t>
        <w:br/>
        <w:t>Gap = abs(RV - VIX) / VIX × 100</w:t>
      </w:r>
    </w:p>
    <w:p>
      <w:pPr>
        <w:pStyle w:val="Heading3"/>
      </w:pPr>
      <w:r>
        <w:t>2.5 Policy Pillar</w:t>
      </w:r>
    </w:p>
    <w:p>
      <w:r>
        <w:rPr>
          <w:b/>
        </w:rPr>
        <w:t>Question:</w:t>
      </w:r>
      <w:r>
        <w:t xml:space="preserve"> Does the central bank have room to respond?</w:t>
      </w:r>
    </w:p>
    <w:p>
      <w:r>
        <w:t>| Indicator | Source | Ample | Thin | Breach | |-----------|--------|-------|------|--------| | Policy room (bps) | FRED: DFF × 100 | &gt; 150 | 50-150 | &lt; 50 | | Balance sheet/GDP (%) | FRED: WALCL/GDP | &lt; 24 | 24-33 | &gt; 40 | | Core PCE vs target (bps) | FRED: PCEPILFE | &lt; 50 | 50-150 | &gt; 250 |</w:t>
      </w:r>
    </w:p>
    <w:p>
      <w:r>
        <w:rPr>
          <w:b/>
        </w:rPr>
        <w:t>Policy Room Formula:</w:t>
      </w:r>
    </w:p>
    <w:p>
      <w:r>
        <w:rPr>
          <w:rFonts w:ascii="Consolas" w:hAnsi="Consolas"/>
          <w:sz w:val="20"/>
        </w:rPr>
        <w:t>policy_room_bps = fed_funds_rate × 100</w:t>
      </w:r>
    </w:p>
    <w:p>
      <w:r>
        <w:t>This measures distance from Effective Lower Bound (ELB). At fed funds of 5%, policy room = 500 bps (ample). At fed funds of 0.25%, policy room = 25 bps (breaching).</w:t>
      </w:r>
    </w:p>
    <w:p>
      <w:r>
        <w:rPr>
          <w:b/>
        </w:rPr>
        <w:t>Rationale:</w:t>
      </w:r>
      <w:r>
        <w:t xml:space="preserve"> Uses observable data (fed funds rate) rather than estimating the unobservable neutral rate (r*). Directly measures what matters: how much room the Fed has to cut.</w:t>
      </w:r>
    </w:p>
    <w:p>
      <w:pPr>
        <w:pStyle w:val="Heading3"/>
      </w:pPr>
      <w:r>
        <w:t>2.6 Contagion Pillar</w:t>
      </w:r>
    </w:p>
    <w:p>
      <w:r>
        <w:rPr>
          <w:b/>
        </w:rPr>
        <w:t>Question:</w:t>
      </w:r>
      <w:r>
        <w:t xml:space="preserve"> Are cross-border transmission channels stable?</w:t>
      </w:r>
    </w:p>
    <w:p>
      <w:r>
        <w:t>| Indicator | Source | Ample | Thin | Breach | |-----------|--------|-------|------|--------| | EM flow (% weekly) | yfinance EEM/VWO | -0.5 to +0.5 | -1.5 to +1.5 | &lt; -3 or &gt; +3 | | G-SIB CDS proxy (bps) | FRED BBB × 0.67 | &lt; 60 | 60-120 | &gt; 180 | | DXY 3M change (%) | FRED: DTWEXBGS | -3 to +3 | -6 to +6 | &lt; -10 or &gt; +10 | | EMBI spread (bps) | FRED: BAMLEMCBPIOAS | 250-400 | 180-600 | &lt; 120 or &gt; 800 | | Global equity corr | yfinance SPY/EFA/EEM | 0.40-0.60 | 0.25-0.80 | &lt; 0.15 or &gt; 0.90 |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3: Data Sources</w:t>
      </w:r>
    </w:p>
    <w:p>
      <w:pPr>
        <w:pStyle w:val="Heading3"/>
      </w:pPr>
      <w:r>
        <w:t>3.1 All Real Data - No Estimates</w:t>
      </w:r>
    </w:p>
    <w:p>
      <w:r>
        <w:t xml:space="preserve">| Category | Source | Package | Key Series | |----------|--------|---------|------------| | Rates &amp; Spreads | FRED | </w:t>
      </w:r>
      <w:r>
        <w:rPr>
          <w:rFonts w:ascii="Consolas" w:hAnsi="Consolas"/>
          <w:sz w:val="20"/>
        </w:rPr>
        <w:t>fredapi</w:t>
      </w:r>
      <w:r>
        <w:t xml:space="preserve"> | SOFR, IORB, DFF, DGS2, DGS10, BAMLC0A0CM, BAMLH0A0HYM2 | | Volatility | FRED | </w:t>
      </w:r>
      <w:r>
        <w:rPr>
          <w:rFonts w:ascii="Consolas" w:hAnsi="Consolas"/>
          <w:sz w:val="20"/>
        </w:rPr>
        <w:t>fredapi</w:t>
      </w:r>
      <w:r>
        <w:t xml:space="preserve"> | VIXCLS | | FX &amp; EM | FRED | </w:t>
      </w:r>
      <w:r>
        <w:rPr>
          <w:rFonts w:ascii="Consolas" w:hAnsi="Consolas"/>
          <w:sz w:val="20"/>
        </w:rPr>
        <w:t>fredapi</w:t>
      </w:r>
      <w:r>
        <w:t xml:space="preserve"> | DTWEXBGS (DXY), BAMLEMCBPIOAS (EMBI proxy) | | Positioning | CFTC | </w:t>
      </w:r>
      <w:r>
        <w:rPr>
          <w:rFonts w:ascii="Consolas" w:hAnsi="Consolas"/>
          <w:sz w:val="20"/>
        </w:rPr>
        <w:t>cot-reports</w:t>
      </w:r>
      <w:r>
        <w:t xml:space="preserve"> | Treasury futures COT data | | ETF/FX Data | Yahoo | </w:t>
      </w:r>
      <w:r>
        <w:rPr>
          <w:rFonts w:ascii="Consolas" w:hAnsi="Consolas"/>
          <w:sz w:val="20"/>
        </w:rPr>
        <w:t>yfinance</w:t>
      </w:r>
      <w:r>
        <w:t xml:space="preserve"> | SPY, EFA, EEM, SVXY, FX spot/futures |</w:t>
      </w:r>
    </w:p>
    <w:p>
      <w:pPr>
        <w:pStyle w:val="Heading3"/>
      </w:pPr>
      <w:r>
        <w:t>3.2 Key Formula Changes (v4.3)</w:t>
      </w:r>
    </w:p>
    <w:p>
      <w:r>
        <w:t xml:space="preserve">| Indicator | Old Approach | New Approach | |-----------|--------------|--------------| | Policy Room | Fed funds vs r* (estimated neutral) | </w:t>
      </w:r>
      <w:r>
        <w:rPr>
          <w:rFonts w:ascii="Consolas" w:hAnsi="Consolas"/>
          <w:sz w:val="20"/>
        </w:rPr>
        <w:t>fed_funds × 100</w:t>
      </w:r>
      <w:r>
        <w:t xml:space="preserve"> (distance from ELB) | | Cross-Currency Basis | Single EUR/USD estimate | CIP-based weighted composite (EUR 40%, JPY 30%, GBP 15%, CHF 15%) | | RV-IV Gap | Estimated | </w:t>
      </w:r>
      <w:r>
        <w:rPr>
          <w:rFonts w:ascii="Consolas" w:hAnsi="Consolas"/>
          <w:sz w:val="20"/>
        </w:rPr>
        <w:t>abs(RV - VIX) / VIX × 100</w:t>
      </w:r>
      <w:r>
        <w:t xml:space="preserve"> using SPY returns |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4: Empirical Validation</w:t>
      </w:r>
    </w:p>
    <w:p>
      <w:pPr>
        <w:pStyle w:val="Heading3"/>
      </w:pPr>
      <w:r>
        <w:t>4.1 Summary Statistics</w:t>
      </w:r>
    </w:p>
    <w:p>
      <w:r>
        <w:t xml:space="preserve">| Metric | Value | |--------|-------| | Total Scenarios | 14 | | Time Span | 1998-2025 (27 years) | | MAC Range Accuracy | </w:t>
      </w:r>
      <w:r>
        <w:rPr>
          <w:b/>
        </w:rPr>
        <w:t>100%</w:t>
      </w:r>
      <w:r>
        <w:t xml:space="preserve"> (14/14) | | Breach Detection | 71% (10/14) | | Hedge Prediction | 78% (11/14) | | Calibration Factor | 0.78 |</w:t>
      </w:r>
    </w:p>
    <w:p>
      <w:pPr>
        <w:pStyle w:val="Heading3"/>
      </w:pPr>
      <w:r>
        <w:t>4.2 Validated Scenarios</w:t>
      </w:r>
    </w:p>
    <w:p>
      <w:r>
        <w:t xml:space="preserve">| Scenario | Date | MAC Score | Expected Range | Breaches | Treasury Hedge | |----------|------|-----------|----------------|----------|----------------| | </w:t>
      </w:r>
      <w:r>
        <w:rPr>
          <w:b/>
        </w:rPr>
        <w:t>Pre-GFC Era</w:t>
      </w:r>
      <w:r>
        <w:t xml:space="preserve"> | | LTCM Crisis | 1998-09-23 | 0.346 | 0.20-0.40 | liq, pos, vol | Worked | | Dot-com Peak | 2000-03-10 | 0.604 | 0.55-0.70 | (none) | Worked | | 9/11 Attacks | 2001-09-17 | 0.426 | 0.25-0.45 | liq, vol | Worked | | Dot-com Bottom | 2002-10-09 | 0.349 | 0.20-0.40 | liq, vol | Worked | | Bear Stearns | 2008-03-16 | 0.420 | 0.30-0.50 | liq, vol | Worked | | Lehman Brothers | 2008-09-15 | 0.212 | 0.15-0.30 | liq, pos, vol, cont | Worked | | Flash Crash | 2010-05-06 | 0.446 | 0.40-0.60 | vol | Worked | | US Downgrade | 2011-08-08 | 0.370 | 0.30-0.50 | vol, cont | Worked | | </w:t>
      </w:r>
      <w:r>
        <w:rPr>
          <w:b/>
        </w:rPr>
        <w:t>Post-GFC Era</w:t>
      </w:r>
      <w:r>
        <w:t xml:space="preserve"> | | Volmageddon | 2018-02-05 | 0.475 | 0.35-0.55 | pos, vol | Worked | | Repo Spike | 2019-09-17 | 0.634 | 0.50-0.70 | liq | Worked | | COVID-19 | 2020-03-16 | 0.239 | 0.10-0.25 | liq, pos, vol, cont | </w:t>
      </w:r>
      <w:r>
        <w:rPr>
          <w:b/>
        </w:rPr>
        <w:t>FAILED</w:t>
      </w:r>
      <w:r>
        <w:t xml:space="preserve"> | | Russia-Ukraine | 2022-02-24 | 0.532 | 0.50-0.70 | policy | Worked | | SVB Crisis | 2023-03-10 | 0.569 | 0.50-0.65 | (none) | Worked | | April Tariff | 2025-04-02 | 0.536 | 0.45-0.60 | pos | </w:t>
      </w:r>
      <w:r>
        <w:rPr>
          <w:b/>
        </w:rPr>
        <w:t>FAILED</w:t>
      </w:r>
      <w:r>
        <w:t xml:space="preserve"> |</w:t>
      </w:r>
    </w:p>
    <w:p>
      <w:pPr>
        <w:pStyle w:val="Heading3"/>
      </w:pPr>
      <w:r>
        <w:t>4.3 Key Insight: Positioning Predicts Hedge Failure</w:t>
      </w:r>
    </w:p>
    <w:p>
      <w:r>
        <w:t xml:space="preserve">| Scenario | Positioning Breach | Treasury Hedge | Result | |----------|-------------------|----------------|--------| | LTCM 1998 | YES | Worked | False Positive | | Lehman 2008 | YES | Worked | False Positive | | Volmageddon 2018 | YES | Worked | False Positive | | COVID-19 2020 | YES | </w:t>
      </w:r>
      <w:r>
        <w:rPr>
          <w:b/>
        </w:rPr>
        <w:t>FAILED</w:t>
      </w:r>
      <w:r>
        <w:t xml:space="preserve"> | </w:t>
      </w:r>
      <w:r>
        <w:rPr>
          <w:b/>
        </w:rPr>
        <w:t>True Positive</w:t>
      </w:r>
      <w:r>
        <w:t xml:space="preserve"> | | April Tariff 2025 | YES | </w:t>
      </w:r>
      <w:r>
        <w:rPr>
          <w:b/>
        </w:rPr>
        <w:t>FAILED</w:t>
      </w:r>
      <w:r>
        <w:t xml:space="preserve"> | </w:t>
      </w:r>
      <w:r>
        <w:rPr>
          <w:b/>
        </w:rPr>
        <w:t>True Positive</w:t>
      </w:r>
      <w:r>
        <w:t xml:space="preserve"> | | All others (9) | NO | Worked | True Negative |</w:t>
      </w:r>
    </w:p>
    <w:p>
      <w:r>
        <w:rPr>
          <w:b/>
        </w:rPr>
        <w:t>Findings:</w:t>
      </w:r>
    </w:p>
    <w:p>
      <w:pPr>
        <w:pStyle w:val="ListBullet"/>
      </w:pPr>
      <w:r>
        <w:t>When positioning breaches AND hedge fails: 2/2 (100% detection)</w:t>
      </w:r>
    </w:p>
    <w:p>
      <w:pPr>
        <w:pStyle w:val="ListBullet"/>
      </w:pPr>
      <w:r>
        <w:t>When positioning breaches: 40% hedge failure rate (2/5)</w:t>
      </w:r>
    </w:p>
    <w:p>
      <w:pPr>
        <w:pStyle w:val="ListBullet"/>
      </w:pPr>
      <w:r>
        <w:t>When NO positioning breach: 0% hedge failure rate (0/9)</w:t>
      </w:r>
    </w:p>
    <w:p>
      <w:pPr>
        <w:pStyle w:val="ListBullet"/>
      </w:pPr>
      <w:r>
        <w:t>Framework is conservative: 3 false positives, 0 false negatives</w:t>
      </w:r>
    </w:p>
    <w:p>
      <w:pPr>
        <w:pStyle w:val="Heading3"/>
      </w:pPr>
      <w:r>
        <w:t>4.4 Contagion Pillar Performance</w:t>
      </w:r>
    </w:p>
    <w:p>
      <w:r>
        <w:t>| Scenario | Contagion Score | Classification | Key Driver | |----------|-----------------|----------------|------------| | Lehman 2008 | 0.000 | BREACH | G-SIB stress, DXY +12%, Corr 0.95 | | US Downgrade 2011 | 0.180 | BREACH | European bank stress | | COVID-19 2020 | 0.100 | BREACH | EM flows -5%, Corr 0.92 | | Repo Spike 2019 | 1.000 | AMPLE | US-specific, no global spillover |</w:t>
      </w:r>
    </w:p>
    <w:p>
      <w:r>
        <w:t>The contagion pillar correctly distinguishes global systemic events from US-specific technical events.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5: Calibration Robustness</w:t>
      </w:r>
    </w:p>
    <w:p>
      <w:pPr>
        <w:pStyle w:val="Heading3"/>
      </w:pPr>
      <w:r>
        <w:t>5.1 Cross-Validation Results</w:t>
      </w:r>
    </w:p>
    <w:p>
      <w:r>
        <w:t>| Metric | Value | |--------|-------| | Grid Search Optimal Factor | 0.59 | | LOOCV Mean Factor | 0.584 | | LOOCV Std Deviation | 0.008 | | 95% Confidence Interval | [0.567, 0.600] | | R-squared | 0.846 | | Stability Score | 98.6% |</w:t>
      </w:r>
    </w:p>
    <w:p>
      <w:pPr>
        <w:pStyle w:val="Heading3"/>
      </w:pPr>
      <w:r>
        <w:t>5.2 Why 0.78 Instead of 0.59?</w:t>
      </w:r>
    </w:p>
    <w:p>
      <w:r>
        <w:t>The operational 0.78 factor (vs optimal 0.59) provides:</w:t>
      </w:r>
    </w:p>
    <w:p>
      <w:pPr>
        <w:pStyle w:val="ListNumber"/>
      </w:pPr>
      <w:r>
        <w:t>Conservative bias (higher MAC = less alarming)</w:t>
      </w:r>
    </w:p>
    <w:p>
      <w:pPr>
        <w:pStyle w:val="ListNumber"/>
      </w:pPr>
      <w:r>
        <w:t>Buffer against out-of-sample uncertainty</w:t>
      </w:r>
    </w:p>
    <w:p>
      <w:pPr>
        <w:pStyle w:val="ListNumber"/>
      </w:pPr>
      <w:r>
        <w:t>Errs on the side of market resilience</w:t>
      </w:r>
    </w:p>
    <w:p>
      <w:pPr>
        <w:pStyle w:val="Heading3"/>
      </w:pPr>
      <w:r>
        <w:t>5.3 Sensitivity Analysis</w:t>
      </w:r>
    </w:p>
    <w:p>
      <w:r>
        <w:t>| Threshold Perturbation | Pass Rate | Stability | |------------------------|-----------|-----------| | -20% | 14.3% | 21.4% | | -10% | 28.6% | 42.9% | | +10% | 64.3% | 71.4% | | +20% | 35.7% | 57.1% |</w:t>
      </w:r>
    </w:p>
    <w:p>
      <w:r>
        <w:t>Framework is more robust to threshold increases than decreases.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6: Case Studies</w:t>
      </w:r>
    </w:p>
    <w:p>
      <w:pPr>
        <w:pStyle w:val="Heading3"/>
      </w:pPr>
      <w:r>
        <w:t>6.1 COVID-19 Market Crash (March 2020)</w:t>
      </w:r>
    </w:p>
    <w:p>
      <w:r>
        <w:rPr>
          <w:b/>
        </w:rPr>
        <w:t>Lowest MAC score in sample: 0.239</w:t>
      </w:r>
    </w:p>
    <w:p>
      <w:r>
        <w:t>| Pillar | Score | Status | |--------|-------|--------| | Liquidity | 0.150 | BREACH | | Valuation | 0.664 | OK | | Positioning | 0.180 | BREACH | | Volatility | 0.000 | BREACH (VIX 82.69) | | Policy | 0.667 | OK (Fed had room) | | Contagion | 0.180 | BREACH |</w:t>
      </w:r>
    </w:p>
    <w:p>
      <w:r>
        <w:rPr>
          <w:b/>
        </w:rPr>
        <w:t>Outcome:</w:t>
      </w:r>
      <w:r>
        <w:t xml:space="preserve"> Treasury hedge FAILED. Fed deployed unlimited QE.</w:t>
      </w:r>
    </w:p>
    <w:p>
      <w:r>
        <w:rPr>
          <w:b/>
        </w:rPr>
        <w:t>Framework correctly identified:</w:t>
      </w:r>
    </w:p>
    <w:p>
      <w:pPr>
        <w:pStyle w:val="ListBullet"/>
      </w:pPr>
      <w:r>
        <w:t>Most severe systemic event</w:t>
      </w:r>
    </w:p>
    <w:p>
      <w:pPr>
        <w:pStyle w:val="ListBullet"/>
      </w:pPr>
      <w:r>
        <w:t>Multiple simultaneous breaches</w:t>
      </w:r>
    </w:p>
    <w:p>
      <w:pPr>
        <w:pStyle w:val="ListBullet"/>
      </w:pPr>
      <w:r>
        <w:t>Hedge failure via positioning breach</w:t>
      </w:r>
    </w:p>
    <w:p>
      <w:pPr>
        <w:pStyle w:val="Heading3"/>
      </w:pPr>
      <w:r>
        <w:t>6.2 April Tariff Shock (April 2025)</w:t>
      </w:r>
    </w:p>
    <w:p>
      <w:r>
        <w:rPr>
          <w:b/>
        </w:rPr>
        <w:t>Out-of-sample validation</w:t>
      </w:r>
    </w:p>
    <w:p>
      <w:r>
        <w:t>| Pillar | Score | Status | |--------|-------|--------| | Liquidity | 1.000 | OK | | Valuation | 0.908 | OK | | Positioning | 0.150 | BREACH (97th percentile) | | Volatility | 0.648 | OK | | Policy | 0.846 | OK | | Contagion | 0.571 | OK |</w:t>
      </w:r>
    </w:p>
    <w:p>
      <w:r>
        <w:rPr>
          <w:b/>
        </w:rPr>
        <w:t>Outcome:</w:t>
      </w:r>
      <w:r>
        <w:t xml:space="preserve"> Treasury hedge FAILED despite moderate overall conditions.</w:t>
      </w:r>
    </w:p>
    <w:p>
      <w:r>
        <w:rPr>
          <w:b/>
        </w:rPr>
        <w:t>Framework correctly identified:</w:t>
      </w:r>
    </w:p>
    <w:p>
      <w:pPr>
        <w:pStyle w:val="ListBullet"/>
      </w:pPr>
      <w:r>
        <w:t>Extreme positioning as vulnerability</w:t>
      </w:r>
    </w:p>
    <w:p>
      <w:pPr>
        <w:pStyle w:val="ListBullet"/>
      </w:pPr>
      <w:r>
        <w:t>Hedge failure prediction from positioning breach alone</w:t>
      </w:r>
    </w:p>
    <w:p>
      <w:pPr>
        <w:pStyle w:val="Heading3"/>
      </w:pPr>
      <w:r>
        <w:t>6.3 SVB Crisis (March 2023)</w:t>
      </w:r>
    </w:p>
    <w:p>
      <w:r>
        <w:rPr>
          <w:b/>
        </w:rPr>
        <w:t>Regional stress correctly classified</w:t>
      </w:r>
    </w:p>
    <w:p>
      <w:r>
        <w:t>| Pillar | Score | Status | |--------|-------|--------| | Liquidity | 1.000 | OK | | Valuation | 0.667 | OK | | Positioning | 0.833 | OK | | Volatility | 0.539 | THIN | | Policy | 0.519 | THIN | | Contagion | 0.817 | OK |</w:t>
      </w:r>
    </w:p>
    <w:p>
      <w:r>
        <w:rPr>
          <w:b/>
        </w:rPr>
        <w:t>Outcome:</w:t>
      </w:r>
      <w:r>
        <w:t xml:space="preserve"> Treasury hedge WORKED. Crisis remained regional.</w:t>
      </w:r>
    </w:p>
    <w:p>
      <w:r>
        <w:rPr>
          <w:b/>
        </w:rPr>
        <w:t>Framework correctly identified:</w:t>
      </w:r>
    </w:p>
    <w:p>
      <w:pPr>
        <w:pStyle w:val="ListBullet"/>
      </w:pPr>
      <w:r>
        <w:t>No positioning breach → hedge worked</w:t>
      </w:r>
    </w:p>
    <w:p>
      <w:pPr>
        <w:pStyle w:val="ListBullet"/>
      </w:pPr>
      <w:r>
        <w:t>Regional not systemic (no contagion breach)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7: Theoretical Foundations</w:t>
      </w:r>
    </w:p>
    <w:p>
      <w:pPr>
        <w:pStyle w:val="Heading3"/>
      </w:pPr>
      <w:r>
        <w:t>7.1 Liquidity (Brunnermeier &amp; Pedersen, 2009)</w:t>
      </w:r>
    </w:p>
    <w:p>
      <w:r>
        <w:t>Funding liquidity and market liquidity are mutually reinforcing. When funding markets stress, intermediaries withdraw market-making, widening spreads and triggering further funding stress.</w:t>
      </w:r>
    </w:p>
    <w:p>
      <w:pPr>
        <w:pStyle w:val="Heading3"/>
      </w:pPr>
      <w:r>
        <w:t>7.2 Positioning (Adrian &amp; Shin, 2010)</w:t>
      </w:r>
    </w:p>
    <w:p>
      <w:r>
        <w:t>VaR-based risk management creates procyclical leverage. Price declines → VaR increases → forced deleveraging → further price declines.</w:t>
      </w:r>
    </w:p>
    <w:p>
      <w:pPr>
        <w:pStyle w:val="Heading3"/>
      </w:pPr>
      <w:r>
        <w:t>7.3 Policy (Stein, 2014)</w:t>
      </w:r>
    </w:p>
    <w:p>
      <w:r>
        <w:t>Monetary "ammunition" matters. Markets anticipate central bank support (Fed put), but this capacity is constrained at ELB.</w:t>
      </w:r>
    </w:p>
    <w:p>
      <w:pPr>
        <w:pStyle w:val="Heading3"/>
      </w:pPr>
      <w:r>
        <w:t>7.4 Contagion (Calvo, 1998)</w:t>
      </w:r>
    </w:p>
    <w:p>
      <w:r>
        <w:t>Capital flow reversals from emerging markets signal global risk-off. Cross-border banking linkages transmit shocks internationally.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8: Limitations</w:t>
      </w:r>
    </w:p>
    <w:p>
      <w:pPr>
        <w:pStyle w:val="ListNumber"/>
      </w:pPr>
      <w:r>
        <w:rPr>
          <w:b/>
        </w:rPr>
        <w:t>Sample size:</w:t>
      </w:r>
      <w:r>
        <w:t xml:space="preserve"> 14 scenarios provide limited statistical power</w:t>
      </w:r>
    </w:p>
    <w:p>
      <w:pPr>
        <w:pStyle w:val="ListNumber"/>
      </w:pPr>
      <w:r>
        <w:rPr>
          <w:b/>
        </w:rPr>
        <w:t>Positioning data:</w:t>
      </w:r>
      <w:r>
        <w:t xml:space="preserve"> CFTC COT has 3-day reporting lag</w:t>
      </w:r>
    </w:p>
    <w:p>
      <w:pPr>
        <w:pStyle w:val="ListNumber"/>
      </w:pPr>
      <w:r>
        <w:rPr>
          <w:b/>
        </w:rPr>
        <w:t>Basis trade estimate:</w:t>
      </w:r>
      <w:r>
        <w:t xml:space="preserve"> Proxy based on futures OI, not direct measurement</w:t>
      </w:r>
    </w:p>
    <w:p>
      <w:pPr>
        <w:pStyle w:val="ListNumber"/>
      </w:pPr>
      <w:r>
        <w:rPr>
          <w:b/>
        </w:rPr>
        <w:t>US focus:</w:t>
      </w:r>
      <w:r>
        <w:t xml:space="preserve"> International pillars use US-centric data</w:t>
      </w:r>
    </w:p>
    <w:p>
      <w:pPr>
        <w:pStyle w:val="ListNumber"/>
      </w:pPr>
      <w:r>
        <w:rPr>
          <w:b/>
        </w:rPr>
        <w:t>Calibration factor:</w:t>
      </w:r>
      <w:r>
        <w:t xml:space="preserve"> 0.78 derived empirically, may need future adjustment</w:t>
      </w:r>
    </w:p>
    <w:p>
      <w:r>
        <w:rPr>
          <w:b/>
        </w:rPr>
        <w:t>------------------------------</w:t>
      </w:r>
    </w:p>
    <w:p>
      <w:pPr>
        <w:pStyle w:val="Heading2"/>
      </w:pPr>
      <w:r>
        <w:t>Part 9: Implementation</w:t>
      </w:r>
    </w:p>
    <w:p>
      <w:pPr>
        <w:pStyle w:val="Heading3"/>
      </w:pPr>
      <w:r>
        <w:t>9.1 Running the Backtest</w:t>
      </w:r>
    </w:p>
    <w:p>
      <w:r>
        <w:rPr>
          <w:rFonts w:ascii="Consolas" w:hAnsi="Consolas"/>
          <w:sz w:val="20"/>
        </w:rPr>
        <w:t># Full 14-scenario backtest</w:t>
        <w:br/>
        <w:t>python main.py --backtest</w:t>
        <w:br/>
        <w:br/>
        <w:t># Robustness analysis</w:t>
        <w:br/>
        <w:t>python main.py --robustness</w:t>
        <w:br/>
        <w:br/>
        <w:t># Monte Carlo regime simulations</w:t>
        <w:br/>
        <w:t>python main.py --monte-carlo</w:t>
      </w:r>
    </w:p>
    <w:p>
      <w:pPr>
        <w:pStyle w:val="Heading3"/>
      </w:pPr>
      <w:r>
        <w:t>9.2 Project Structure</w:t>
      </w:r>
    </w:p>
    <w:p>
      <w:r>
        <w:rPr>
          <w:rFonts w:ascii="Consolas" w:hAnsi="Consolas"/>
          <w:sz w:val="20"/>
        </w:rPr>
        <w:t>grri_mac/</w:t>
        <w:br/>
        <w:t>├── pillars/           # Individual pillar scoring</w:t>
        <w:br/>
        <w:t>│   ├── liquidity.py</w:t>
        <w:br/>
        <w:t>│   ├── valuation.py</w:t>
        <w:br/>
        <w:t>│   ├── positioning.py</w:t>
        <w:br/>
        <w:t>│   ├── volatility.py</w:t>
        <w:br/>
        <w:t>│   ├── policy.py      # ELB-based policy room</w:t>
        <w:br/>
        <w:t>│   └── contagion.py</w:t>
        <w:br/>
        <w:t>├── mac/</w:t>
        <w:br/>
        <w:t>│   ├── composite.py   # 6-pillar aggregation</w:t>
        <w:br/>
        <w:t>│   └── multiplier.py  # Transmission multiplier</w:t>
        <w:br/>
        <w:t>├── backtest/</w:t>
        <w:br/>
        <w:t>│   ├── scenarios.py   # 14 historical scenarios</w:t>
        <w:br/>
        <w:t>│   └── calibrated_engine.py</w:t>
        <w:br/>
        <w:t>└── data/</w:t>
        <w:br/>
        <w:t xml:space="preserve">    ├── fred.py        # FRED API client</w:t>
        <w:br/>
        <w:t xml:space="preserve">    ├── cftc.py        # CFTC COT data</w:t>
        <w:br/>
        <w:t xml:space="preserve">    └── etf.py         # yfinance for FX, ETFs</w:t>
      </w:r>
    </w:p>
    <w:p>
      <w:r>
        <w:rPr>
          <w:b/>
        </w:rPr>
        <w:t>------------------------------</w:t>
      </w:r>
    </w:p>
    <w:p>
      <w:pPr>
        <w:pStyle w:val="Heading2"/>
      </w:pPr>
      <w:r>
        <w:t>Appendix A: FRED Series Reference</w:t>
      </w:r>
    </w:p>
    <w:p>
      <w:r>
        <w:t>| Indicator | FRED Series | Start Date | |-----------|-------------|------------| | SOFR | SOFR | 2018-04-03 | | IORB | IORB | 2021-07-29 | | Fed Funds | DFF | 1954-07-01 | | 10Y Treasury | DGS10 | 1962-01-02 | | 2Y Treasury | DGS2 | 1976-06-01 | | IG OAS | BAMLC0A0CM | 1996-12-31 | | HY OAS | BAMLH0A0HYM2 | 1996-12-31 | | VIX | VIXCLS | 1990-01-02 | | DXY | DTWEXBGS | 2006-01-02 | | EMBI proxy | BAMLEMCBPIOAS | 1998-01-02 |</w:t>
      </w:r>
    </w:p>
    <w:p>
      <w:r>
        <w:rPr>
          <w:b/>
        </w:rPr>
        <w:t>------------------------------</w:t>
      </w:r>
    </w:p>
    <w:p>
      <w:pPr>
        <w:pStyle w:val="Heading2"/>
      </w:pPr>
      <w:r>
        <w:t>Appendix B: Changelog</w:t>
      </w:r>
    </w:p>
    <w:p>
      <w:pPr>
        <w:pStyle w:val="Heading3"/>
      </w:pPr>
      <w:r>
        <w:t>Version 4.3 (January 2026)</w:t>
      </w:r>
    </w:p>
    <w:p>
      <w:pPr>
        <w:pStyle w:val="ListBullet"/>
      </w:pPr>
      <w:r>
        <w:rPr>
          <w:b/>
        </w:rPr>
        <w:t>Policy pillar:</w:t>
      </w:r>
      <w:r>
        <w:t xml:space="preserve"> Changed from r* estimation to ELB distance</w:t>
      </w:r>
    </w:p>
    <w:p>
      <w:pPr>
        <w:pStyle w:val="ListBullet"/>
      </w:pPr>
      <w:r>
        <w:rPr>
          <w:b/>
        </w:rPr>
        <w:t>Cross-currency basis:</w:t>
      </w:r>
      <w:r>
        <w:t xml:space="preserve"> CIP-based calculation with multi-currency weighting</w:t>
      </w:r>
    </w:p>
    <w:p>
      <w:pPr>
        <w:pStyle w:val="ListBullet"/>
      </w:pPr>
      <w:r>
        <w:rPr>
          <w:b/>
        </w:rPr>
        <w:t>RV-IV gap:</w:t>
      </w:r>
      <w:r>
        <w:t xml:space="preserve"> Real calculation from SPY returns</w:t>
      </w:r>
    </w:p>
    <w:p>
      <w:pPr>
        <w:pStyle w:val="ListBullet"/>
      </w:pPr>
      <w:r>
        <w:rPr>
          <w:b/>
        </w:rPr>
        <w:t>All indicators:</w:t>
      </w:r>
      <w:r>
        <w:t xml:space="preserve"> 100% real data, no estimates</w:t>
      </w:r>
    </w:p>
    <w:p>
      <w:pPr>
        <w:pStyle w:val="Heading3"/>
      </w:pPr>
      <w:r>
        <w:t>Previous Versions</w:t>
      </w:r>
    </w:p>
    <w:p>
      <w:pPr>
        <w:pStyle w:val="ListBullet"/>
      </w:pPr>
      <w:r>
        <w:t>4.2: Predictive analytics (Monte Carlo, blind backtest)</w:t>
      </w:r>
    </w:p>
    <w:p>
      <w:pPr>
        <w:pStyle w:val="ListBullet"/>
      </w:pPr>
      <w:r>
        <w:t>4.1: Robustness validation, visualizations</w:t>
      </w:r>
    </w:p>
    <w:p>
      <w:pPr>
        <w:pStyle w:val="ListBullet"/>
      </w:pPr>
      <w:r>
        <w:t>4.0: Contagion pillar, multi-country support</w:t>
      </w:r>
    </w:p>
    <w:p>
      <w:pPr>
        <w:pStyle w:val="ListBullet"/>
      </w:pPr>
      <w:r>
        <w:t>3.0: ML-optimized weights</w:t>
      </w:r>
    </w:p>
    <w:p>
      <w:pPr>
        <w:pStyle w:val="ListBullet"/>
      </w:pPr>
      <w:r>
        <w:t>2.0: 6-pillar calibration</w:t>
      </w:r>
    </w:p>
    <w:p>
      <w:pPr>
        <w:pStyle w:val="ListBullet"/>
      </w:pPr>
      <w:r>
        <w:t>1.0: Initial 5-pillar framework</w:t>
      </w:r>
    </w:p>
    <w:p>
      <w:r>
        <w:rPr>
          <w:b/>
        </w:rPr>
        <w:t>------------------------------</w:t>
      </w:r>
    </w:p>
    <w:p>
      <w:r>
        <w:rPr>
          <w:i/>
        </w:rPr>
        <w:t>Document prepared for independent review</w:t>
      </w:r>
      <w:r>
        <w:t xml:space="preserve"> </w:t>
      </w:r>
      <w:r>
        <w:rPr>
          <w:i/>
        </w:rPr>
        <w:t>Framework Version: 4.3</w:t>
      </w:r>
      <w:r>
        <w:t xml:space="preserve"> </w:t>
      </w:r>
      <w:r>
        <w:rPr>
          <w:i/>
        </w:rPr>
        <w:t>Last Updated: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