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 Absorption Capacity (MAC) Framework</w:t>
      </w:r>
    </w:p>
    <w:p>
      <w:pPr>
        <w:pStyle w:val="Heading2"/>
      </w:pPr>
      <w:r>
        <w:t>A Six-Pillar Approach to Measuring Systemic Market Vulnerability</w:t>
      </w:r>
    </w:p>
    <w:p>
      <w:r>
        <w:rPr>
          <w:b/>
        </w:rPr>
        <w:t>Working Paper - January 2026</w:t>
      </w:r>
    </w:p>
    <w:p>
      <w:r>
        <w:rPr>
          <w:i/>
        </w:rPr>
        <w:t>Prepared for Independent Model Review</w:t>
      </w:r>
    </w:p>
    <w:p>
      <w:r>
        <w:rPr>
          <w:b/>
        </w:rPr>
        <w:t>------------------------------</w:t>
      </w:r>
    </w:p>
    <w:p>
      <w:pPr>
        <w:pStyle w:val="Heading2"/>
      </w:pPr>
      <w:r>
        <w:t>Executive Summary</w:t>
      </w:r>
    </w:p>
    <w:p>
      <w:r>
        <w:t>The Market Absorption Capacity (MAC) framework provides a systematic approach to measuring how well financial markets can absorb shocks without disorderly price adjustments. The framework aggregates six distinct pillars—Liquidity, Valuation, Positioning, Volatility, Policy, and Contagion—into a composite score ranging from 0 (no capacity) to 1 (ample capacity).</w:t>
      </w:r>
    </w:p>
    <w:p>
      <w:r>
        <w:rPr>
          <w:b/>
        </w:rPr>
        <w:t>Key Features:</w:t>
      </w:r>
    </w:p>
    <w:p>
      <w:pPr>
        <w:pStyle w:val="ListBullet"/>
      </w:pPr>
      <w:r>
        <w:t>Six observable pillars with transparent threshold definitions</w:t>
      </w:r>
    </w:p>
    <w:p>
      <w:pPr>
        <w:pStyle w:val="ListBullet"/>
      </w:pPr>
      <w:r>
        <w:t>Validated against 14 historical crisis events (1998-2025)</w:t>
      </w:r>
    </w:p>
    <w:p>
      <w:pPr>
        <w:pStyle w:val="ListBullet"/>
      </w:pPr>
      <w:r>
        <w:t>All indicators derived from publicly available data (FRED, CFTC, Yahoo Finance)</w:t>
      </w:r>
    </w:p>
    <w:p>
      <w:pPr>
        <w:pStyle w:val="ListBullet"/>
      </w:pPr>
      <w:r>
        <w:t>Identifies conditions associated with Treasury hedge failures</w:t>
      </w:r>
    </w:p>
    <w:p>
      <w:r>
        <w:rPr>
          <w:b/>
        </w:rPr>
        <w:t>Validation Summary:</w:t>
      </w:r>
    </w:p>
    <w:p>
      <w:pPr>
        <w:pStyle w:val="ListBullet"/>
      </w:pPr>
      <w:r>
        <w:t>MAC scores fell within expected severity ranges for all 14 tested scenarios</w:t>
      </w:r>
    </w:p>
    <w:p>
      <w:pPr>
        <w:pStyle w:val="ListBullet"/>
      </w:pPr>
      <w:r>
        <w:t>Framework correctly identified pillar breaches in 10 of 14 events (71%)</w:t>
      </w:r>
    </w:p>
    <w:p>
      <w:pPr>
        <w:pStyle w:val="ListBullet"/>
      </w:pPr>
      <w:r>
        <w:t>Positioning pillar breaches were present in both historical Treasury hedge failure episodes</w:t>
      </w:r>
    </w:p>
    <w:p>
      <w:r>
        <w:rPr>
          <w:b/>
        </w:rPr>
        <w:t>------------------------------</w:t>
      </w:r>
    </w:p>
    <w:p>
      <w:pPr>
        <w:pStyle w:val="Heading2"/>
      </w:pPr>
      <w:r>
        <w:t>1. Theoretical Foundation</w:t>
      </w:r>
    </w:p>
    <w:p>
      <w:pPr>
        <w:pStyle w:val="Heading3"/>
      </w:pPr>
      <w:r>
        <w:t>1.1 Core Concept</w:t>
      </w:r>
    </w:p>
    <w:p>
      <w:r>
        <w:t>Market Absorption Capacity measures the aggregate buffer available to absorb exogenous shocks. When MAC is high, markets can process large order flows and information shocks with minimal price dislocation. When MAC is depleted, even modest shocks can trigger cascading failures.</w:t>
      </w:r>
    </w:p>
    <w:p>
      <w:r>
        <w:t>The framework draws on three theoretical traditions:</w:t>
      </w:r>
    </w:p>
    <w:p>
      <w:pPr>
        <w:pStyle w:val="ListNumber"/>
      </w:pPr>
      <w:r>
        <w:rPr>
          <w:b/>
        </w:rPr>
        <w:t>Market Microstructure</w:t>
      </w:r>
      <w:r>
        <w:t>: Liquidity provision, bid-ask dynamics, order flow toxicity</w:t>
      </w:r>
    </w:p>
    <w:p>
      <w:pPr>
        <w:pStyle w:val="ListNumber"/>
      </w:pPr>
      <w:r>
        <w:rPr>
          <w:b/>
        </w:rPr>
        <w:t>Financial Stability</w:t>
      </w:r>
      <w:r>
        <w:t>: Leverage cycles, procyclical risk management, margin spirals</w:t>
      </w:r>
    </w:p>
    <w:p>
      <w:pPr>
        <w:pStyle w:val="ListNumber"/>
      </w:pPr>
      <w:r>
        <w:rPr>
          <w:b/>
        </w:rPr>
        <w:t>Monetary Economics</w:t>
      </w:r>
      <w:r>
        <w:t>: Policy transmission, central bank reaction functions, balance sheet constraints</w:t>
      </w:r>
    </w:p>
    <w:p>
      <w:pPr>
        <w:pStyle w:val="Heading3"/>
      </w:pPr>
      <w:r>
        <w:t>1.2 The Six Pillars</w:t>
      </w:r>
    </w:p>
    <w:p>
      <w:r>
        <w:t xml:space="preserve">| Pillar | Core Question | Theoretical Basis | |--------|---------------|-------------------| | </w:t>
      </w:r>
      <w:r>
        <w:rPr>
          <w:b/>
        </w:rPr>
        <w:t>Liquidity</w:t>
      </w:r>
      <w:r>
        <w:t xml:space="preserve"> | Can markets transact without disorderly impact? | Kyle (1985), Brunnermeier &amp; Pedersen (2009) | | </w:t>
      </w:r>
      <w:r>
        <w:rPr>
          <w:b/>
        </w:rPr>
        <w:t>Valuation</w:t>
      </w:r>
      <w:r>
        <w:t xml:space="preserve"> | Are risk premia adequate shock absorbers? | Campbell &amp; Cochrane (1999) | | </w:t>
      </w:r>
      <w:r>
        <w:rPr>
          <w:b/>
        </w:rPr>
        <w:t>Positioning</w:t>
      </w:r>
      <w:r>
        <w:t xml:space="preserve"> | Is leverage concentrated or distributed? | Adrian &amp; Shin (2010), Greenwood &amp; Thesmar (2011) | | </w:t>
      </w:r>
      <w:r>
        <w:rPr>
          <w:b/>
        </w:rPr>
        <w:t>Volatility</w:t>
      </w:r>
      <w:r>
        <w:t xml:space="preserve"> | Are vol regimes stable or fragile? | Bollerslev et al. (2009) | | </w:t>
      </w:r>
      <w:r>
        <w:rPr>
          <w:b/>
        </w:rPr>
        <w:t>Policy</w:t>
      </w:r>
      <w:r>
        <w:t xml:space="preserve"> | Does the central bank have capacity to respond? | Bernanke &amp; Gertler (1995) | | </w:t>
      </w:r>
      <w:r>
        <w:rPr>
          <w:b/>
        </w:rPr>
        <w:t>Contagion</w:t>
      </w:r>
      <w:r>
        <w:t xml:space="preserve"> | Are cross-border transmission channels stable? | Forbes &amp; Rigobon (2002) |</w:t>
      </w:r>
    </w:p>
    <w:p>
      <w:pPr>
        <w:pStyle w:val="Heading3"/>
      </w:pPr>
      <w:r>
        <w:t>1.3 Transmission Mechanism</w:t>
      </w:r>
    </w:p>
    <w:p>
      <w:r>
        <w:t>The MAC score converts to a transmission multiplier via:</w:t>
      </w:r>
    </w:p>
    <w:p>
      <w:r>
        <w:t>$$\text{Multiplier} = 1 + \alpha \times (1 - \text{MAC})^\beta$$</w:t>
      </w:r>
    </w:p>
    <w:p>
      <w:r>
        <w:t>Where $\alpha = 2.0$ and $\beta = 1.5$ (calibrated parameters).</w:t>
      </w:r>
    </w:p>
    <w:p>
      <w:r>
        <w:t>| MAC Score | Regime | Multiplier | Interpretation | |-----------|--------|------------|----------------| | 0.8-1.0 | Ample | 1.0-1.1× | Shocks absorbed normally | | 0.5-0.8 | Thin | 1.1-1.7× | Elevated transmission risk | | 0.2-0.5 | Stretched | 1.7-2.5× | High amplification risk | | &lt; 0.2 | Critical | N/A | Regime break - nonlinear dynamics |</w:t>
      </w:r>
    </w:p>
    <w:p>
      <w:r>
        <w:rPr>
          <w:b/>
        </w:rPr>
        <w:t>------------------------------</w:t>
      </w:r>
    </w:p>
    <w:p>
      <w:pPr>
        <w:pStyle w:val="Heading2"/>
      </w:pPr>
      <w:r>
        <w:t>2. Pillar Specifications</w:t>
      </w:r>
    </w:p>
    <w:p>
      <w:pPr>
        <w:pStyle w:val="Heading3"/>
      </w:pPr>
      <w:r>
        <w:t>2.1 Liquidity Pillar</w:t>
      </w:r>
    </w:p>
    <w:p>
      <w:r>
        <w:rPr>
          <w:b/>
        </w:rPr>
        <w:t>Question</w:t>
      </w:r>
      <w:r>
        <w:t>: Can markets transact without disorderly price impact?</w:t>
      </w:r>
    </w:p>
    <w:p>
      <w:r>
        <w:t>| Indicator | Source | Ample | Thin | Breaching | |-----------|--------|-------|------|-----------| | SOFR-IORB spread | FRED | &lt; 5 bps | 5-25 bps | &gt; 25 bps | | CP-Treasury spread | FRED | &lt; 20 bps | 20-50 bps | &gt; 50 bps | | Cross-currency basis | yfinance | &gt; -30 bps | -30 to -75 bps | &lt; -75 bps |</w:t>
      </w:r>
    </w:p>
    <w:p>
      <w:r>
        <w:rPr>
          <w:b/>
        </w:rPr>
        <w:t>Cross-Currency Basis Calculation:</w:t>
      </w:r>
      <w:r>
        <w:t xml:space="preserve"> Weighted composite of CIP deviations: EUR (40%), JPY (30%), GBP (15%), CHF (15%)</w:t>
      </w:r>
    </w:p>
    <w:p>
      <w:r>
        <w:t>Currency weights derived from BIS Triennial Survey FX turnover, adjusted upward for JPY and CHF due to their role as funding currencies.</w:t>
      </w:r>
    </w:p>
    <w:p>
      <w:r>
        <w:rPr>
          <w:b/>
        </w:rPr>
        <w:t>Historical Data Continuity:</w:t>
      </w:r>
    </w:p>
    <w:p>
      <w:pPr>
        <w:pStyle w:val="ListBullet"/>
      </w:pPr>
      <w:r>
        <w:t>2018+: SOFR-IORB spread (native)</w:t>
      </w:r>
    </w:p>
    <w:p>
      <w:pPr>
        <w:pStyle w:val="ListBullet"/>
      </w:pPr>
      <w:r>
        <w:t>2008-2018: Fed Funds - IOER (pre-SOFR proxy)</w:t>
      </w:r>
    </w:p>
    <w:p>
      <w:pPr>
        <w:pStyle w:val="ListBullet"/>
      </w:pPr>
      <w:r>
        <w:t>Pre-2008: TED spread with threshold scaling (see Section 6)</w:t>
      </w:r>
    </w:p>
    <w:p>
      <w:pPr>
        <w:pStyle w:val="Heading3"/>
      </w:pPr>
      <w:r>
        <w:t>2.2 Valuation Pillar</w:t>
      </w:r>
    </w:p>
    <w:p>
      <w:r>
        <w:rPr>
          <w:b/>
        </w:rPr>
        <w:t>Question</w:t>
      </w:r>
      <w:r>
        <w:t>: Are risk premia adequate buffers against revaluation?</w:t>
      </w:r>
    </w:p>
    <w:p>
      <w:r>
        <w:t>| Indicator | Source | Ample | Thin | Breaching | |-----------|--------|-------|------|-----------| | 10Y term premium | FRED: THREEFYTP10 | &gt; 100 bps | 0-100 bps | &lt; 0 bps | | IG OAS | FRED: BAMLC0A0CM | &gt; 150 bps | 80-150 bps | &lt; 80 bps | | HY OAS | FRED: BAMLH0A0HYM2 | &gt; 450 bps | 300-450 bps | &lt; 300 bps |</w:t>
      </w:r>
    </w:p>
    <w:p>
      <w:r>
        <w:rPr>
          <w:b/>
        </w:rPr>
        <w:t>Interpretation</w:t>
      </w:r>
      <w:r>
        <w:t>: Compressed spreads indicate reduced compensation for bearing risk. When term premium turns negative or credit spreads compress to historical lows, markets are vulnerable to sudden repricing.</w:t>
      </w:r>
    </w:p>
    <w:p>
      <w:pPr>
        <w:pStyle w:val="Heading3"/>
      </w:pPr>
      <w:r>
        <w:t>2.3 Positioning Pillar</w:t>
      </w:r>
    </w:p>
    <w:p>
      <w:r>
        <w:rPr>
          <w:b/>
        </w:rPr>
        <w:t>Question</w:t>
      </w:r>
      <w:r>
        <w:t>: Is leverage manageable and positioning diverse?</w:t>
      </w:r>
    </w:p>
    <w:p>
      <w:r>
        <w:t>| Indicator | Source | Ample | Thin | Breaching | |-----------|--------|-------|------|-----------| | Basis trade size proxy | CFTC OI × 0.15 | &lt; $400B | $400-700B | &gt; $700B | | Treasury spec net (%-ile) | CFTC COT | 25th-75th | 10th-90th | &lt; 5th or &gt; 95th | | SVXY AUM | ETF data | &lt; $500M | $500M-1B | &gt; $1B |</w:t>
      </w:r>
    </w:p>
    <w:p>
      <w:r>
        <w:rPr>
          <w:b/>
        </w:rPr>
        <w:t>Basis Trade Proxy:</w:t>
      </w:r>
    </w:p>
    <w:p>
      <w:r>
        <w:rPr>
          <w:rFonts w:ascii="Consolas" w:hAnsi="Consolas"/>
          <w:sz w:val="20"/>
        </w:rPr>
        <w:t>basis_trade_proxy = Treasury_futures_OI × leverage_factor</w:t>
      </w:r>
    </w:p>
    <w:p>
      <w:r>
        <w:t>Where leverage_factor ≈ 0.15 based on Fed research. This proxy has substantial uncertainty (±$100B).</w:t>
      </w:r>
    </w:p>
    <w:p>
      <w:r>
        <w:rPr>
          <w:b/>
        </w:rPr>
        <w:t>Note on SVXY</w:t>
      </w:r>
      <w:r>
        <w:t>: Pre-2011, this indicator is set to 0 as short-vol ETF products did not exist. The structural vulnerability they represent emerged post-GFC.</w:t>
      </w:r>
    </w:p>
    <w:p>
      <w:pPr>
        <w:pStyle w:val="Heading3"/>
      </w:pPr>
      <w:r>
        <w:t>2.4 Volatility Pillar</w:t>
      </w:r>
    </w:p>
    <w:p>
      <w:r>
        <w:rPr>
          <w:b/>
        </w:rPr>
        <w:t>Question</w:t>
      </w:r>
      <w:r>
        <w:t>: Is the volatility regime stable?</w:t>
      </w:r>
    </w:p>
    <w:p>
      <w:r>
        <w:t>| Indicator | Source | Ample | Thin | Breaching | |-----------|--------|-------|------|-----------| | VIX level | FRED: VIXCLS | 15-20 | &lt; 12 or 20-35 | &lt; 10 or &gt; 35 | | VIX term structure | CBOE | 1.00-1.05 | &lt; 0.95 or &gt; 1.08 | &lt; 0.90 or &gt; 1.10 | | RV-IV gap | Calculated | &lt; 20% | 20-40% | &gt; 40% |</w:t>
      </w:r>
    </w:p>
    <w:p>
      <w:r>
        <w:rPr>
          <w:b/>
        </w:rPr>
        <w:t>RV-IV Gap Calculation:</w:t>
      </w:r>
    </w:p>
    <w:p>
      <w:r>
        <w:rPr>
          <w:rFonts w:ascii="Consolas" w:hAnsi="Consolas"/>
          <w:sz w:val="20"/>
        </w:rPr>
        <w:t>rv_iv_gap = abs(realized_vol - VIX) / VIX × 100</w:t>
      </w:r>
    </w:p>
    <w:p>
      <w:r>
        <w:t>Where realized_vol = annualized 20-day SPY return standard deviation.</w:t>
      </w:r>
    </w:p>
    <w:p>
      <w:r>
        <w:rPr>
          <w:b/>
        </w:rPr>
        <w:t>Two-Tailed Scoring</w:t>
      </w:r>
      <w:r>
        <w:t>: Both extremely low VIX (complacency) and extremely high VIX (panic) indicate depleted absorption capacity.</w:t>
      </w:r>
    </w:p>
    <w:p>
      <w:pPr>
        <w:pStyle w:val="Heading3"/>
      </w:pPr>
      <w:r>
        <w:t>2.5 Policy Pillar</w:t>
      </w:r>
    </w:p>
    <w:p>
      <w:r>
        <w:rPr>
          <w:b/>
        </w:rPr>
        <w:t>Question</w:t>
      </w:r>
      <w:r>
        <w:t>: Does the central bank have operational capacity to respond?</w:t>
      </w:r>
    </w:p>
    <w:p>
      <w:r>
        <w:t>| Indicator | Source | Ample | Thin | Breaching | |-----------|--------|-------|------|-----------| | Policy room (ELB distance) | FRED: DFF × 100 | &gt; 150 bps | 50-150 bps | &lt; 50 bps | | Fed balance sheet / GDP | FRED | &lt; 25% | 25-35% | &gt; 35% | | Core PCE vs target | FRED: PCEPILFE | &lt; 50 bps | 50-150 bps | &gt; 150 bps |</w:t>
      </w:r>
    </w:p>
    <w:p>
      <w:r>
        <w:rPr>
          <w:b/>
        </w:rPr>
        <w:t>Policy Room Calculation:</w:t>
      </w:r>
    </w:p>
    <w:p>
      <w:r>
        <w:rPr>
          <w:rFonts w:ascii="Consolas" w:hAnsi="Consolas"/>
          <w:sz w:val="20"/>
        </w:rPr>
        <w:t>policy_room_bps = fed_funds_rate × 100</w:t>
      </w:r>
    </w:p>
    <w:p>
      <w:r>
        <w:rPr>
          <w:b/>
        </w:rPr>
        <w:t>Rationale</w:t>
      </w:r>
      <w:r>
        <w:t>: Rather than estimating the unobservable neutral rate (r*), we measure the Fed's operational capacity using distance from the Effective Lower Bound (ELB). At fed funds of 5%, policy room = 500 bps (ample). At fed funds of 0.25%, policy room = 25 bps (breaching).</w:t>
      </w:r>
    </w:p>
    <w:p>
      <w:r>
        <w:t>This approach:</w:t>
      </w:r>
    </w:p>
    <w:p>
      <w:pPr>
        <w:pStyle w:val="ListBullet"/>
      </w:pPr>
      <w:r>
        <w:t>Uses only observable data</w:t>
      </w:r>
    </w:p>
    <w:p>
      <w:pPr>
        <w:pStyle w:val="ListBullet"/>
      </w:pPr>
      <w:r>
        <w:t>Directly measures cutting capacity</w:t>
      </w:r>
    </w:p>
    <w:p>
      <w:pPr>
        <w:pStyle w:val="ListBullet"/>
      </w:pPr>
      <w:r>
        <w:t>Captures zero-bound asymmetry</w:t>
      </w:r>
    </w:p>
    <w:p>
      <w:pPr>
        <w:pStyle w:val="ListBullet"/>
      </w:pPr>
      <w:r>
        <w:t>Avoids r* estimation uncertainty</w:t>
      </w:r>
    </w:p>
    <w:p>
      <w:pPr>
        <w:pStyle w:val="Heading3"/>
      </w:pPr>
      <w:r>
        <w:t>2.6 Contagion Pillar</w:t>
      </w:r>
    </w:p>
    <w:p>
      <w:r>
        <w:rPr>
          <w:b/>
        </w:rPr>
        <w:t>Question</w:t>
      </w:r>
      <w:r>
        <w:t>: Are cross-border transmission channels stable?</w:t>
      </w:r>
    </w:p>
    <w:p>
      <w:r>
        <w:t>| Indicator | Source | Ample | Thin | Breaching | |-----------|--------|-------|------|-----------| | EM portfolio flows | yfinance EEM | &gt; +1%/wk | -1% to +1% | &lt; -2%/wk | | G-SIB stress proxy | FRED financials OAS | &lt; threshold | threshold | &gt; threshold | | DXY 3M change | FRED | &lt; 3% | 3-8% | &gt; 8% | | EMBI spread | FRED proxy | &lt; 350 bps | 350-500 bps | &gt; 500 bps | | Global equity correlation | yfinance | &lt; 0.7 | 0.7-0.85 | &gt; 0.85 |</w:t>
      </w:r>
    </w:p>
    <w:p>
      <w:r>
        <w:rPr>
          <w:b/>
        </w:rPr>
        <w:t>G-SIB Stress Proxy - Two Approaches:</w:t>
      </w:r>
    </w:p>
    <w:p>
      <w:r>
        <w:t>The framework supports two configurable approaches for measuring G-SIB stress:</w:t>
      </w:r>
    </w:p>
    <w:p>
      <w:r>
        <w:rPr>
          <w:b/>
        </w:rPr>
        <w:t>Approach A: Financial Sector OAS (Default)</w:t>
      </w:r>
    </w:p>
    <w:p>
      <w:r>
        <w:t>Uses BBB Financial Sector OAS (FRED: BAMLC0A4CBBBEY) with regime-specific thresholds to account for post-Dodd-Frank structural changes:</w:t>
      </w:r>
    </w:p>
    <w:p>
      <w:r>
        <w:t>| Era | Regulatory Context | Ample | Thin | Breaching | |-----|-------------------|-------|------|-----------| | Pre-2010 | Basel II | &lt; 80 bps | 80-150 bps | &gt; 150 bps | | 2010-2014 | Basel III phase-in | &lt; 60 bps | 60-120 bps | &gt; 120 bps | | 2015+ | Full Basel III/Dodd-Frank | &lt; 40 bps | 40-80 bps | &gt; 80 bps |</w:t>
      </w:r>
    </w:p>
    <w:p>
      <w:r>
        <w:rPr>
          <w:b/>
        </w:rPr>
        <w:t>Approach B: Bank Equity Volatility (Alternative)</w:t>
      </w:r>
    </w:p>
    <w:p>
      <w:r>
        <w:t>Uses BKX index 20-day realized volatility. This approach is inherently regime-adaptive since volatility adjusts automatically to structural changes:</w:t>
      </w:r>
    </w:p>
    <w:p>
      <w:r>
        <w:t>| BKX 20d RV | Ample | Thin | Breaching | |------------|-------|------|-----------| | Annualized | &lt; 15% | 15-30% | &gt; 30% |</w:t>
      </w:r>
    </w:p>
    <w:p>
      <w:r>
        <w:rPr>
          <w:b/>
        </w:rPr>
        <w:t>Comparison:</w:t>
      </w:r>
    </w:p>
    <w:p>
      <w:r>
        <w:t>| Criterion | Financial OAS | BKX Volatility | |-----------|---------------|----------------| | Regime adaptation | Manual thresholds | Automatic | | Data availability | 1996+ (FRED) | 1991+ (Yahoo) | | Signal type | Credit risk | Combined credit/liquidity | | Noise level | Lower | Higher (daily fluctuation) | | Theoretical basis | Merton model | Market microstructure |</w:t>
      </w:r>
    </w:p>
    <w:p>
      <w:r>
        <w:rPr>
          <w:b/>
        </w:rPr>
        <w:t>Configuration:</w:t>
      </w:r>
    </w:p>
    <w:p>
      <w:r>
        <w:rPr>
          <w:rFonts w:ascii="Consolas" w:hAnsi="Consolas"/>
          <w:sz w:val="20"/>
        </w:rPr>
        <w:t>gsib_proxy_method = "financial_oas"  # or "bkx_volatility"</w:t>
      </w:r>
    </w:p>
    <w:p>
      <w:r>
        <w:t>Both methods correctly identify major bank stress events (Lehman, SVB) in backtesting. The framework defaults to Financial OAS for consistency with existing validation but supports switching for robustness testing.</w:t>
      </w:r>
    </w:p>
    <w:p>
      <w:r>
        <w:rPr>
          <w:b/>
        </w:rPr>
        <w:t>------------------------------</w:t>
      </w:r>
    </w:p>
    <w:p>
      <w:pPr>
        <w:pStyle w:val="Heading2"/>
      </w:pPr>
      <w:r>
        <w:t>3. Scoring Methodology</w:t>
      </w:r>
    </w:p>
    <w:p>
      <w:pPr>
        <w:pStyle w:val="Heading3"/>
      </w:pPr>
      <w:r>
        <w:t>3.1 Indicator Scoring</w:t>
      </w:r>
    </w:p>
    <w:p>
      <w:r>
        <w:t>Each indicator is scored on a 0-1 scale:</w:t>
      </w:r>
    </w:p>
    <w:p>
      <w:r>
        <w:rPr>
          <w:rFonts w:ascii="Consolas" w:hAnsi="Consolas"/>
          <w:sz w:val="20"/>
        </w:rPr>
        <w:t>def score_indicator(value, ample_threshold, breach_threshold):</w:t>
        <w:br/>
        <w:t xml:space="preserve">    """</w:t>
        <w:br/>
        <w:t xml:space="preserve">    Linear interpolation between thresholds.</w:t>
        <w:br/>
        <w:br/>
        <w:t xml:space="preserve">    Returns:</w:t>
        <w:br/>
        <w:t xml:space="preserve">    - 1.0: At or beyond ample threshold</w:t>
        <w:br/>
        <w:t xml:space="preserve">    - 0.5: At boundary between thin and ample</w:t>
        <w:br/>
        <w:t xml:space="preserve">    - 0.0: At or beyond breach threshold</w:t>
        <w:br/>
        <w:t xml:space="preserve">    """</w:t>
        <w:br/>
        <w:t xml:space="preserve">    if is_ample(value, ample_threshold):</w:t>
        <w:br/>
        <w:t xml:space="preserve">        return 1.0</w:t>
        <w:br/>
        <w:t xml:space="preserve">    elif is_breaching(value, breach_threshold):</w:t>
        <w:br/>
        <w:t xml:space="preserve">        return 0.0</w:t>
        <w:br/>
        <w:t xml:space="preserve">    else:</w:t>
        <w:br/>
        <w:t xml:space="preserve">        # Linear interpolation</w:t>
        <w:br/>
        <w:t xml:space="preserve">        return (value - breach_threshold) / (ample_threshold - breach_threshold)</w:t>
      </w:r>
    </w:p>
    <w:p>
      <w:pPr>
        <w:pStyle w:val="Heading3"/>
      </w:pPr>
      <w:r>
        <w:t>3.2 Pillar Aggregation</w:t>
      </w:r>
    </w:p>
    <w:p>
      <w:r>
        <w:t>Each pillar score is the arithmetic mean of its constituent indicators:</w:t>
      </w:r>
    </w:p>
    <w:p>
      <w:r>
        <w:t>$$\text{Pillar}</w:t>
      </w:r>
      <w:r>
        <w:rPr>
          <w:i/>
        </w:rPr>
        <w:t>i = \frac{1}{n</w:t>
      </w:r>
      <w:r>
        <w:t>i} \sum</w:t>
      </w:r>
      <w:r>
        <w:rPr>
          <w:i/>
        </w:rPr>
        <w:t>{j=1}^{n</w:t>
      </w:r>
      <w:r>
        <w:t>i} \text{Indicator}_{ij}$$</w:t>
      </w:r>
    </w:p>
    <w:p>
      <w:pPr>
        <w:pStyle w:val="Heading3"/>
      </w:pPr>
      <w:r>
        <w:t>3.3 MAC Composite</w:t>
      </w:r>
    </w:p>
    <w:p>
      <w:r>
        <w:t>The MAC composite uses equal pillar weights:</w:t>
      </w:r>
    </w:p>
    <w:p>
      <w:r>
        <w:t>$$\text{MAC} = \frac{1}{6} \sum</w:t>
      </w:r>
      <w:r>
        <w:rPr>
          <w:i/>
        </w:rPr>
        <w:t>{i=1}^{6} \text{Pillar}</w:t>
      </w:r>
      <w:r>
        <w:t>i \times \text{CalibrationFactor}$$</w:t>
      </w:r>
    </w:p>
    <w:p>
      <w:r>
        <w:rPr>
          <w:b/>
        </w:rPr>
        <w:t>Equal Weighting Rationale:</w:t>
      </w:r>
    </w:p>
    <w:p>
      <w:pPr>
        <w:pStyle w:val="ListBullet"/>
      </w:pPr>
      <w:r>
        <w:t>Different pillars dominate different crisis types</w:t>
      </w:r>
    </w:p>
    <w:p>
      <w:pPr>
        <w:pStyle w:val="ListBullet"/>
      </w:pPr>
      <w:r>
        <w:t>Minimizes specification error from incorrect optimization</w:t>
      </w:r>
    </w:p>
    <w:p>
      <w:pPr>
        <w:pStyle w:val="ListBullet"/>
      </w:pPr>
      <w:r>
        <w:t>ML-optimized weights showed modest improvement but risk overfitting</w:t>
      </w:r>
    </w:p>
    <w:p>
      <w:pPr>
        <w:pStyle w:val="ListBullet"/>
      </w:pPr>
      <w:r>
        <w:t>Sensitivity analysis shows ±10% weight changes produce only ±0.04 MAC impact</w:t>
      </w:r>
    </w:p>
    <w:p>
      <w:pPr>
        <w:pStyle w:val="Heading3"/>
      </w:pPr>
      <w:r>
        <w:t>3.4 Calibration Factor</w:t>
      </w:r>
    </w:p>
    <w:p>
      <w:r>
        <w:t>A calibration factor of 0.78 is applied to raw MAC scores.</w:t>
      </w:r>
    </w:p>
    <w:p>
      <w:r>
        <w:rPr>
          <w:b/>
        </w:rPr>
        <w:t>Derivation:</w:t>
      </w:r>
    </w:p>
    <w:p>
      <w:pPr>
        <w:pStyle w:val="ListBullet"/>
      </w:pPr>
      <w:r>
        <w:t>MSE minimization between raw MAC and expected crisis severity midpoints</w:t>
      </w:r>
    </w:p>
    <w:p>
      <w:pPr>
        <w:pStyle w:val="ListBullet"/>
      </w:pPr>
      <w:r>
        <w:t>Bootstrap 95% CI: [0.64, 0.88]</w:t>
      </w:r>
    </w:p>
    <w:p>
      <w:pPr>
        <w:pStyle w:val="ListBullet"/>
      </w:pPr>
      <w:r>
        <w:t>Leave-one-out cross-validation mean: 0.72 ± 0.08</w:t>
      </w:r>
    </w:p>
    <w:p>
      <w:r>
        <w:rPr>
          <w:b/>
        </w:rPr>
        <w:t>Interpretation:</w:t>
      </w:r>
      <w:r>
        <w:t xml:space="preserve"> The raw scoring framework systematically overestimates absorption capacity by approximately 22%, likely reflecting:</w:t>
      </w:r>
    </w:p>
    <w:p>
      <w:pPr>
        <w:pStyle w:val="ListBullet"/>
      </w:pPr>
      <w:r>
        <w:t>Threshold definitions calibrated to post-GFC conditions</w:t>
      </w:r>
    </w:p>
    <w:p>
      <w:pPr>
        <w:pStyle w:val="ListBullet"/>
      </w:pPr>
      <w:r>
        <w:t>Non-linear pillar interactions not captured by simple averaging</w:t>
      </w:r>
    </w:p>
    <w:p>
      <w:pPr>
        <w:pStyle w:val="ListBullet"/>
      </w:pPr>
      <w:r>
        <w:t>Tail risk underweighting in linear scoring</w:t>
      </w:r>
    </w:p>
    <w:p>
      <w:r>
        <w:rPr>
          <w:b/>
        </w:rPr>
        <w:t>------------------------------</w:t>
      </w:r>
    </w:p>
    <w:p>
      <w:pPr>
        <w:pStyle w:val="Heading2"/>
      </w:pPr>
      <w:r>
        <w:t>4. Empirical Validation</w:t>
      </w:r>
    </w:p>
    <w:p>
      <w:pPr>
        <w:pStyle w:val="Heading3"/>
      </w:pPr>
      <w:r>
        <w:t>4.1 Methodology</w:t>
      </w:r>
    </w:p>
    <w:p>
      <w:r>
        <w:t>The framework was validated against 14 major financial stress events spanning 1998-2025. For each event:</w:t>
      </w:r>
    </w:p>
    <w:p>
      <w:pPr>
        <w:pStyle w:val="ListNumber"/>
      </w:pPr>
      <w:r>
        <w:t>Historical indicator values were collected from FRED, CFTC, and yfinance</w:t>
      </w:r>
    </w:p>
    <w:p>
      <w:pPr>
        <w:pStyle w:val="ListNumber"/>
      </w:pPr>
      <w:r>
        <w:t>Expected MAC ranges were established based on crisis severity analysis</w:t>
      </w:r>
    </w:p>
    <w:p>
      <w:pPr>
        <w:pStyle w:val="ListNumber"/>
      </w:pPr>
      <w:r>
        <w:t>Expected pillar breaches were identified from documented market conditions</w:t>
      </w:r>
    </w:p>
    <w:p>
      <w:pPr>
        <w:pStyle w:val="ListNumber"/>
      </w:pPr>
      <w:r>
        <w:t>Treasury hedge outcomes were recorded (worked vs. failed)</w:t>
      </w:r>
    </w:p>
    <w:p>
      <w:pPr>
        <w:pStyle w:val="Heading3"/>
      </w:pPr>
      <w:r>
        <w:t>4.2 Summary Results</w:t>
      </w:r>
    </w:p>
    <w:p>
      <w:r>
        <w:t>| Metric | Result | Notes | |--------|--------|-------| | MAC Range Accuracy | 14/14 | All scenarios within expected bounds | | Breach Detection | 10/14 (71%) | Correctly identified pillar breaches | | Hedge Outcome Association | 11/14 (79%) | Positioning breach present in both failures |</w:t>
      </w:r>
    </w:p>
    <w:p>
      <w:r>
        <w:rPr>
          <w:b/>
        </w:rPr>
        <w:t>Important Caveats:</w:t>
      </w:r>
    </w:p>
    <w:p>
      <w:pPr>
        <w:pStyle w:val="ListBullet"/>
      </w:pPr>
      <w:r>
        <w:t>Sample size of 14 events limits statistical inference</w:t>
      </w:r>
    </w:p>
    <w:p>
      <w:pPr>
        <w:pStyle w:val="ListBullet"/>
      </w:pPr>
      <w:r>
        <w:t>Expected ranges were established with knowledge of outcomes (in-sample)</w:t>
      </w:r>
    </w:p>
    <w:p>
      <w:pPr>
        <w:pStyle w:val="ListBullet"/>
      </w:pPr>
      <w:r>
        <w:t>Pre-2006 scenarios rely on fallback data series with wider uncertainty</w:t>
      </w:r>
    </w:p>
    <w:p>
      <w:pPr>
        <w:pStyle w:val="Heading3"/>
      </w:pPr>
      <w:r>
        <w:t>4.3 Detailed Results</w:t>
      </w:r>
    </w:p>
    <w:p>
      <w:r>
        <w:t xml:space="preserve">| Scenario | Date | MAC | 90% CI | Key Breaches | Hedge | |----------|------|-----|--------|--------------|-------| | </w:t>
      </w:r>
      <w:r>
        <w:rPr>
          <w:b/>
        </w:rPr>
        <w:t>Pre-GFC</w:t>
      </w:r>
      <w:r>
        <w:t xml:space="preserve"> | | LTCM Crisis | 1998-09 | 0.35 | [0.28, 0.42] | liq, pos, vol | Worked | | Dot-com Peak | 2000-03 | 0.60 | [0.52, 0.68] | (none) | Worked | | 9/11 Attacks | 2001-09 | 0.43 | [0.36, 0.50] | liq, vol | Worked | | Dot-com Bottom | 2002-10 | 0.35 | [0.28, 0.42] | liq, vol | Worked | | Bear Stearns | 2008-03 | 0.42 | [0.36, 0.48] | liq, vol | Worked | | Lehman Brothers | 2008-09 | 0.21 | [0.17, 0.26] | liq, pos, vol, cont | Worked | | </w:t>
      </w:r>
      <w:r>
        <w:rPr>
          <w:b/>
        </w:rPr>
        <w:t>Post-GFC</w:t>
      </w:r>
      <w:r>
        <w:t xml:space="preserve"> | | Flash Crash | 2010-05 | 0.45 | [0.40, 0.50] | vol | Worked | | US Downgrade | 2011-08 | 0.37 | [0.32, 0.42] | vol, cont | Worked | | Volmageddon | 2018-02 | 0.48 | [0.43, 0.52] | pos, vol | Worked | | Repo Spike | 2019-09 | 0.63 | [0.58, 0.69] | liq | Worked | | COVID-19 | 2020-03 | 0.24 | [0.21, 0.27] | liq, pos, vol, cont | </w:t>
      </w:r>
      <w:r>
        <w:rPr>
          <w:b/>
        </w:rPr>
        <w:t>Failed</w:t>
      </w:r>
      <w:r>
        <w:t xml:space="preserve"> | | Russia-Ukraine | 2022-02 | 0.53 | [0.48, 0.58] | policy | Worked | | SVB Crisis | 2023-03 | 0.57 | [0.52, 0.62] | (none) | Worked | | April Tariff | 2025-04 | 0.54 | [0.48, 0.59] | pos | </w:t>
      </w:r>
      <w:r>
        <w:rPr>
          <w:b/>
        </w:rPr>
        <w:t>Failed</w:t>
      </w:r>
      <w:r>
        <w:t xml:space="preserve"> |</w:t>
      </w:r>
    </w:p>
    <w:p>
      <w:pPr>
        <w:pStyle w:val="Heading3"/>
      </w:pPr>
      <w:r>
        <w:t>4.4 Treasury Hedge Failure Analysis</w:t>
      </w:r>
    </w:p>
    <w:p>
      <w:r>
        <w:rPr>
          <w:b/>
        </w:rPr>
        <w:t>Operational Definition:</w:t>
      </w:r>
      <w:r>
        <w:t xml:space="preserve"> A Treasury hedge is classified as "failed" when, during a risk-off event (S&amp;P 500 drawdown &gt; 5% over 5 trading days), the 10-year Treasury yield increases by more than 10 basis points over the same window.</w:t>
      </w:r>
    </w:p>
    <w:p>
      <w:r>
        <w:rPr>
          <w:b/>
        </w:rPr>
        <w:t>Observations:</w:t>
      </w:r>
    </w:p>
    <w:p>
      <w:pPr>
        <w:pStyle w:val="ListBullet"/>
      </w:pPr>
      <w:r>
        <w:t>Two hedge failures in sample: COVID-19 (March 2020), April Tariff (April 2025)</w:t>
      </w:r>
    </w:p>
    <w:p>
      <w:pPr>
        <w:pStyle w:val="ListBullet"/>
      </w:pPr>
      <w:r>
        <w:t>Both failures occurred when the Positioning pillar was breaching</w:t>
      </w:r>
    </w:p>
    <w:p>
      <w:pPr>
        <w:pStyle w:val="ListBullet"/>
      </w:pPr>
      <w:r>
        <w:t>One false positive: Volmageddon had positioning breach but hedge worked</w:t>
      </w:r>
    </w:p>
    <w:p>
      <w:r>
        <w:rPr>
          <w:b/>
        </w:rPr>
        <w:t>Interpretation:</w:t>
      </w:r>
      <w:r>
        <w:t xml:space="preserve"> The association between positioning breaches and hedge failures is consistent with the theoretical mechanism: extreme positioning (crowded basis trades, concentrated speculative positions) can cause forced liquidations that overwhelm flight-to-quality flows. However, the small sample size (n=2 failures) limits confidence in this relationship.</w:t>
      </w:r>
    </w:p>
    <w:p>
      <w:pPr>
        <w:pStyle w:val="Heading3"/>
      </w:pPr>
      <w:r>
        <w:t>4.5 Case Studies</w:t>
      </w:r>
    </w:p>
    <w:p>
      <w:pPr>
        <w:pStyle w:val="Heading4"/>
      </w:pPr>
      <w:r>
        <w:t>COVID-19 (March 2020)</w:t>
      </w:r>
    </w:p>
    <w:p>
      <w:r>
        <w:t>The most severe event in the sample with MAC = 0.24.</w:t>
      </w:r>
    </w:p>
    <w:p>
      <w:r>
        <w:rPr>
          <w:b/>
        </w:rPr>
        <w:t>Pillar Breakdown:</w:t>
      </w:r>
    </w:p>
    <w:p>
      <w:pPr>
        <w:pStyle w:val="ListBullet"/>
      </w:pPr>
      <w:r>
        <w:t>Liquidity: 0.00 (BREACH) - Complete funding market freeze</w:t>
      </w:r>
    </w:p>
    <w:p>
      <w:pPr>
        <w:pStyle w:val="ListBullet"/>
      </w:pPr>
      <w:r>
        <w:t>Positioning: 0.18 (BREACH) - Basis trade unwind, forced selling</w:t>
      </w:r>
    </w:p>
    <w:p>
      <w:pPr>
        <w:pStyle w:val="ListBullet"/>
      </w:pPr>
      <w:r>
        <w:t>Volatility: 0.00 (BREACH) - VIX exceeded 80</w:t>
      </w:r>
    </w:p>
    <w:p>
      <w:pPr>
        <w:pStyle w:val="ListBullet"/>
      </w:pPr>
      <w:r>
        <w:t>Contagion: 0.10 (BREACH) - Global correlation spike, EM outflows</w:t>
      </w:r>
    </w:p>
    <w:p>
      <w:pPr>
        <w:pStyle w:val="ListBullet"/>
      </w:pPr>
      <w:r>
        <w:t>Valuation: 0.67 - Credit spreads widened but buffers held</w:t>
      </w:r>
    </w:p>
    <w:p>
      <w:pPr>
        <w:pStyle w:val="ListBullet"/>
      </w:pPr>
      <w:r>
        <w:t>Policy: 0.72 - Fed had room to act (deployed unlimited QE)</w:t>
      </w:r>
    </w:p>
    <w:p>
      <w:r>
        <w:rPr>
          <w:b/>
        </w:rPr>
        <w:t>Treasury Hedge Outcome:</w:t>
      </w:r>
      <w:r>
        <w:t xml:space="preserve"> Failed. 10Y yields rose 64 bps (March 9-18) while equities crashed 12%. Driven by forced Treasury liquidations by leveraged funds facing margin calls.</w:t>
      </w:r>
    </w:p>
    <w:p>
      <w:pPr>
        <w:pStyle w:val="Heading4"/>
      </w:pPr>
      <w:r>
        <w:t>April Tariff Shock (April 2025)</w:t>
      </w:r>
    </w:p>
    <w:p>
      <w:r>
        <w:t>Validates framework on most recent crisis.</w:t>
      </w:r>
    </w:p>
    <w:p>
      <w:r>
        <w:rPr>
          <w:b/>
        </w:rPr>
        <w:t>Pillar Breakdown:</w:t>
      </w:r>
    </w:p>
    <w:p>
      <w:pPr>
        <w:pStyle w:val="ListBullet"/>
      </w:pPr>
      <w:r>
        <w:t>Positioning: 0.13 (BREACH) - 97th percentile long Treasury positioning</w:t>
      </w:r>
    </w:p>
    <w:p>
      <w:pPr>
        <w:pStyle w:val="ListBullet"/>
      </w:pPr>
      <w:r>
        <w:t>Liquidity: 0.44 (THIN) - Moderate funding stress</w:t>
      </w:r>
    </w:p>
    <w:p>
      <w:pPr>
        <w:pStyle w:val="ListBullet"/>
      </w:pPr>
      <w:r>
        <w:t>Valuation: 0.45 (THIN) - Compressed spreads</w:t>
      </w:r>
    </w:p>
    <w:p>
      <w:pPr>
        <w:pStyle w:val="ListBullet"/>
      </w:pPr>
      <w:r>
        <w:t>Volatility: 0.54 (THIN) - Elevated but not extreme</w:t>
      </w:r>
    </w:p>
    <w:p>
      <w:pPr>
        <w:pStyle w:val="ListBullet"/>
      </w:pPr>
      <w:r>
        <w:t>Policy: 0.72 - Fed constrained by inflation</w:t>
      </w:r>
    </w:p>
    <w:p>
      <w:r>
        <w:rPr>
          <w:b/>
        </w:rPr>
        <w:t>Treasury Hedge Outcome:</w:t>
      </w:r>
      <w:r>
        <w:t xml:space="preserve"> Failed despite "flight to quality" narrative. Extreme long positioning meant crowded exit when sentiment shifted.</w:t>
      </w:r>
    </w:p>
    <w:p>
      <w:r>
        <w:rPr>
          <w:b/>
        </w:rPr>
        <w:t>------------------------------</w:t>
      </w:r>
    </w:p>
    <w:p>
      <w:pPr>
        <w:pStyle w:val="Heading2"/>
      </w:pPr>
      <w:r>
        <w:t>5. Confidence and Uncertainty</w:t>
      </w:r>
    </w:p>
    <w:p>
      <w:pPr>
        <w:pStyle w:val="Heading3"/>
      </w:pPr>
      <w:r>
        <w:t>5.1 Sources of Uncertainty</w:t>
      </w:r>
    </w:p>
    <w:p>
      <w:r>
        <w:t>| Source | Magnitude | Treatment | |--------|-----------|-----------| | Indicator measurement | ±5-15% | Monte Carlo simulation | | Threshold boundaries | ±10% | Sensitivity analysis | | Historical data quality | ±15-25% (pre-2006) | Era-based CI widening | | Calibration factor | ±6% | Bootstrap confidence interval |</w:t>
      </w:r>
    </w:p>
    <w:p>
      <w:pPr>
        <w:pStyle w:val="Heading3"/>
      </w:pPr>
      <w:r>
        <w:t>5.2 Data Quality by Era</w:t>
      </w:r>
    </w:p>
    <w:p>
      <w:r>
        <w:t>| Period | Quality | CI Multiplier | Notes | |--------|---------|---------------|-------| | 2020-2025 | Excellent | 1.0× | All native series available | | 2018-2020 | Good | 1.1× | Minor proxies (IOER vs IORB) | | 2006-2018 | Fair | 1.3× | Pre-SOFR liquidity proxies | | 1998-2006 | Limited | 1.6× | Multiple fallback series required |</w:t>
      </w:r>
    </w:p>
    <w:p>
      <w:pPr>
        <w:pStyle w:val="Heading3"/>
      </w:pPr>
      <w:r>
        <w:t>5.3 Reporting with Uncertainty</w:t>
      </w:r>
    </w:p>
    <w:p>
      <w:r>
        <w:t>MAC scores should be reported with confidence intervals:</w:t>
      </w:r>
    </w:p>
    <w:p>
      <w:r>
        <w:rPr>
          <w:rFonts w:ascii="Consolas" w:hAnsi="Consolas"/>
          <w:sz w:val="20"/>
        </w:rPr>
        <w:t>COVID-19 2020: MAC = 0.24 ± 0.03 (data quality: excellent)</w:t>
        <w:br/>
        <w:t>LTCM 1998: MAC = 0.35 ± 0.07 (data quality: limited)</w:t>
      </w:r>
    </w:p>
    <w:p>
      <w:r>
        <w:rPr>
          <w:b/>
        </w:rPr>
        <w:t>------------------------------</w:t>
      </w:r>
    </w:p>
    <w:p>
      <w:pPr>
        <w:pStyle w:val="Heading2"/>
      </w:pPr>
      <w:r>
        <w:t>6. Data Continuity</w:t>
      </w:r>
    </w:p>
    <w:p>
      <w:pPr>
        <w:pStyle w:val="Heading3"/>
      </w:pPr>
      <w:r>
        <w:t>6.1 Fallback Series</w:t>
      </w:r>
    </w:p>
    <w:p>
      <w:r>
        <w:t>Several indicators lack full 1998-2025 coverage. The following fallbacks are employed:</w:t>
      </w:r>
    </w:p>
    <w:p>
      <w:r>
        <w:rPr>
          <w:b/>
        </w:rPr>
        <w:t>Liquidity (SOFR-IORB):</w:t>
      </w:r>
    </w:p>
    <w:p>
      <w:r>
        <w:t>| Period | Primary | Fallback | |--------|---------|----------| | 2021-07+ | SOFR - IORB | Native | | 2018-04 to 2021-07 | SOFR - IOER | Pre-IORB | | 2008-10 to 2018-04 | Fed Funds - IOER | Pre-SOFR | | Pre-2008 | TED Spread | Scaled thresholds |</w:t>
      </w:r>
    </w:p>
    <w:p>
      <w:r>
        <w:rPr>
          <w:b/>
        </w:rPr>
        <w:t>TED Spread Threshold Adjustment:</w:t>
      </w:r>
      <w:r>
        <w:t xml:space="preserve"> TED spread historically runs ~20-30 bps higher than SOFR-IORB. Thresholds scaled accordingly:</w:t>
      </w:r>
    </w:p>
    <w:p>
      <w:pPr>
        <w:pStyle w:val="ListBullet"/>
      </w:pPr>
      <w:r>
        <w:t>Ample: &lt; 25 bps (vs &lt; 5 bps for SOFR-IORB)</w:t>
      </w:r>
    </w:p>
    <w:p>
      <w:pPr>
        <w:pStyle w:val="ListBullet"/>
      </w:pPr>
      <w:r>
        <w:t>Thin: 25-50 bps</w:t>
      </w:r>
    </w:p>
    <w:p>
      <w:pPr>
        <w:pStyle w:val="ListBullet"/>
      </w:pPr>
      <w:r>
        <w:t>Breach: &gt; 100 bps</w:t>
      </w:r>
    </w:p>
    <w:p>
      <w:r>
        <w:rPr>
          <w:b/>
        </w:rPr>
        <w:t>Cross-Currency Basis:</w:t>
      </w:r>
    </w:p>
    <w:p>
      <w:pPr>
        <w:pStyle w:val="ListBullet"/>
      </w:pPr>
      <w:r>
        <w:t>2019+: Native €STR, TONA rates</w:t>
      </w:r>
    </w:p>
    <w:p>
      <w:pPr>
        <w:pStyle w:val="ListBullet"/>
      </w:pPr>
      <w:r>
        <w:t>Pre-2019: EONIA (EUR), uncollateralized overnight (JPY)</w:t>
      </w:r>
    </w:p>
    <w:p>
      <w:pPr>
        <w:pStyle w:val="ListBullet"/>
      </w:pPr>
      <w:r>
        <w:t>Pre-2006: Simplified proxy using TED spread and DXY</w:t>
      </w:r>
    </w:p>
    <w:p>
      <w:r>
        <w:rPr>
          <w:b/>
        </w:rPr>
        <w:t>Positioning (SVXY):</w:t>
      </w:r>
    </w:p>
    <w:p>
      <w:pPr>
        <w:pStyle w:val="ListBullet"/>
      </w:pPr>
      <w:r>
        <w:t>2011+: Native ETF data</w:t>
      </w:r>
    </w:p>
    <w:p>
      <w:pPr>
        <w:pStyle w:val="ListBullet"/>
      </w:pPr>
      <w:r>
        <w:t>Pre-2011: Set to 0 (product did not exist)</w:t>
      </w:r>
    </w:p>
    <w:p>
      <w:pPr>
        <w:pStyle w:val="Heading3"/>
      </w:pPr>
      <w:r>
        <w:t>6.2 Data Availability Summary</w:t>
      </w:r>
    </w:p>
    <w:p>
      <w:r>
        <w:t>| Scenario | Year | Native Coverage | Fallbacks Required | |----------|------|-----------------|-------------------| | LTCM | 1998 | ~40% | Liquidity, cross-currency, EM flows | | Dot-com | 2000 | ~45% | Liquidity, cross-currency | | Lehman | 2008 | ~70% | Pre-SOFR liquidity | | COVID-19 | 2020 | 100% | None | | April 2025 | 2025 | 100% | None |</w:t>
      </w:r>
    </w:p>
    <w:p>
      <w:r>
        <w:rPr>
          <w:b/>
        </w:rPr>
        <w:t>------------------------------</w:t>
      </w:r>
    </w:p>
    <w:p>
      <w:pPr>
        <w:pStyle w:val="Heading2"/>
      </w:pPr>
      <w:r>
        <w:t>7. Regime Considerations</w:t>
      </w:r>
    </w:p>
    <w:p>
      <w:pPr>
        <w:pStyle w:val="Heading3"/>
      </w:pPr>
      <w:r>
        <w:t>7.1 Pre/Post-GFC Structural Changes</w:t>
      </w:r>
    </w:p>
    <w:p>
      <w:r>
        <w:t>The 2008 GFC fundamentally altered market structure:</w:t>
      </w:r>
    </w:p>
    <w:p>
      <w:r>
        <w:t>| Dimension | Pre-GFC | Post-GFC | |-----------|---------|----------| | Fed balance sheet | ~6% GDP | 20-35% GDP | | Bank leverage | 20-30× | 10-15× | | Basis trade prevalence | Minimal | $500B-1T | | VIX "normal" | 15-25 | 12-20 |</w:t>
      </w:r>
    </w:p>
    <w:p>
      <w:pPr>
        <w:pStyle w:val="Heading3"/>
      </w:pPr>
      <w:r>
        <w:t>7.2 Framework Adaptation</w:t>
      </w:r>
    </w:p>
    <w:p>
      <w:r>
        <w:t>Rather than maintaining separate pre/post models, the framework uses:</w:t>
      </w:r>
    </w:p>
    <w:p>
      <w:pPr>
        <w:pStyle w:val="ListNumber"/>
      </w:pPr>
      <w:r>
        <w:rPr>
          <w:b/>
        </w:rPr>
        <w:t>Era-adaptive normalization</w:t>
      </w:r>
      <w:r>
        <w:t>: Rolling 10-year lookback for percentile calculations</w:t>
      </w:r>
    </w:p>
    <w:p>
      <w:pPr>
        <w:pStyle w:val="ListNumber"/>
      </w:pPr>
      <w:r>
        <w:rPr>
          <w:b/>
        </w:rPr>
        <w:t>Regime-specific thresholds</w:t>
      </w:r>
      <w:r>
        <w:t>: G-SIB proxy adjusts for Basel III implementation</w:t>
      </w:r>
    </w:p>
    <w:p>
      <w:pPr>
        <w:pStyle w:val="ListNumber"/>
      </w:pPr>
      <w:r>
        <w:rPr>
          <w:b/>
        </w:rPr>
        <w:t>Indicator availability</w:t>
      </w:r>
      <w:r>
        <w:t>: Certain indicators (SVXY) zeroed pre-existence</w:t>
      </w:r>
    </w:p>
    <w:p>
      <w:r>
        <w:rPr>
          <w:b/>
        </w:rPr>
        <w:t>Split-Sample Validation:</w:t>
      </w:r>
    </w:p>
    <w:p>
      <w:pPr>
        <w:pStyle w:val="ListBullet"/>
      </w:pPr>
      <w:r>
        <w:t>Pre-GFC events (5): All within expected ranges</w:t>
      </w:r>
    </w:p>
    <w:p>
      <w:pPr>
        <w:pStyle w:val="ListBullet"/>
      </w:pPr>
      <w:r>
        <w:t>Post-GFC events (9): All within expected ranges</w:t>
      </w:r>
    </w:p>
    <w:p>
      <w:r>
        <w:t>The consistent performance supports using a unified framework with era-adaptive adjustments.</w:t>
      </w:r>
    </w:p>
    <w:p>
      <w:r>
        <w:rPr>
          <w:b/>
        </w:rPr>
        <w:t>------------------------------</w:t>
      </w:r>
    </w:p>
    <w:p>
      <w:pPr>
        <w:pStyle w:val="Heading2"/>
      </w:pPr>
      <w:r>
        <w:t>8. Limitations</w:t>
      </w:r>
    </w:p>
    <w:p>
      <w:pPr>
        <w:pStyle w:val="Heading3"/>
      </w:pPr>
      <w:r>
        <w:t>8.1 Statistical Limitations</w:t>
      </w:r>
    </w:p>
    <w:p>
      <w:pPr>
        <w:pStyle w:val="ListBullet"/>
      </w:pPr>
      <w:r>
        <w:rPr>
          <w:b/>
        </w:rPr>
        <w:t>Small sample</w:t>
      </w:r>
      <w:r>
        <w:t>: 14 crisis events provide limited statistical power</w:t>
      </w:r>
    </w:p>
    <w:p>
      <w:pPr>
        <w:pStyle w:val="ListBullet"/>
      </w:pPr>
      <w:r>
        <w:rPr>
          <w:b/>
        </w:rPr>
        <w:t>In-sample calibration</w:t>
      </w:r>
      <w:r>
        <w:t>: Expected ranges established with outcome knowledge</w:t>
      </w:r>
    </w:p>
    <w:p>
      <w:pPr>
        <w:pStyle w:val="ListBullet"/>
      </w:pPr>
      <w:r>
        <w:rPr>
          <w:b/>
        </w:rPr>
        <w:t>Survivorship</w:t>
      </w:r>
      <w:r>
        <w:t>: Only major events included; minor stresses not tested</w:t>
      </w:r>
    </w:p>
    <w:p>
      <w:pPr>
        <w:pStyle w:val="ListBullet"/>
      </w:pPr>
      <w:r>
        <w:rPr>
          <w:b/>
        </w:rPr>
        <w:t>Two hedge failures</w:t>
      </w:r>
      <w:r>
        <w:t>: Insufficient to establish robust predictive relationship</w:t>
      </w:r>
    </w:p>
    <w:p>
      <w:pPr>
        <w:pStyle w:val="Heading3"/>
      </w:pPr>
      <w:r>
        <w:t>8.2 Methodological Limitations</w:t>
      </w:r>
    </w:p>
    <w:p>
      <w:pPr>
        <w:pStyle w:val="ListBullet"/>
      </w:pPr>
      <w:r>
        <w:rPr>
          <w:b/>
        </w:rPr>
        <w:t>Equal weights</w:t>
      </w:r>
      <w:r>
        <w:t>: May underweight pillars that matter more for specific crisis types</w:t>
      </w:r>
    </w:p>
    <w:p>
      <w:pPr>
        <w:pStyle w:val="ListBullet"/>
      </w:pPr>
      <w:r>
        <w:rPr>
          <w:b/>
        </w:rPr>
        <w:t>Linear scoring</w:t>
      </w:r>
      <w:r>
        <w:t>: Non-linear threshold effects not fully captured</w:t>
      </w:r>
    </w:p>
    <w:p>
      <w:pPr>
        <w:pStyle w:val="ListBullet"/>
      </w:pPr>
      <w:r>
        <w:rPr>
          <w:b/>
        </w:rPr>
        <w:t>Calibration factor</w:t>
      </w:r>
      <w:r>
        <w:t>: Empirically derived; may not generalize to future regimes</w:t>
      </w:r>
    </w:p>
    <w:p>
      <w:pPr>
        <w:pStyle w:val="ListBullet"/>
      </w:pPr>
      <w:r>
        <w:rPr>
          <w:b/>
        </w:rPr>
        <w:t>G-SIB proxy</w:t>
      </w:r>
      <w:r>
        <w:t>: BBB financial OAS is imperfect bank stress measure</w:t>
      </w:r>
    </w:p>
    <w:p>
      <w:pPr>
        <w:pStyle w:val="Heading3"/>
      </w:pPr>
      <w:r>
        <w:t>8.3 Data Limitations</w:t>
      </w:r>
    </w:p>
    <w:p>
      <w:pPr>
        <w:pStyle w:val="ListBullet"/>
      </w:pPr>
      <w:r>
        <w:rPr>
          <w:b/>
        </w:rPr>
        <w:t>Pre-2006 data quality</w:t>
      </w:r>
      <w:r>
        <w:t>: Substantial reliance on proxy series</w:t>
      </w:r>
    </w:p>
    <w:p>
      <w:pPr>
        <w:pStyle w:val="ListBullet"/>
      </w:pPr>
      <w:r>
        <w:rPr>
          <w:b/>
        </w:rPr>
        <w:t>Basis trade estimation</w:t>
      </w:r>
      <w:r>
        <w:t>: Fed estimates have ±$100B uncertainty</w:t>
      </w:r>
    </w:p>
    <w:p>
      <w:pPr>
        <w:pStyle w:val="ListBullet"/>
      </w:pPr>
      <w:r>
        <w:rPr>
          <w:b/>
        </w:rPr>
        <w:t>Real-time availability</w:t>
      </w:r>
      <w:r>
        <w:t>: Some indicators have reporting lags (CFTC: 3 days)</w:t>
      </w:r>
    </w:p>
    <w:p>
      <w:pPr>
        <w:pStyle w:val="ListBullet"/>
      </w:pPr>
      <w:r>
        <w:rPr>
          <w:b/>
        </w:rPr>
        <w:t>Cross-currency basis</w:t>
      </w:r>
      <w:r>
        <w:t>: Calculation sensitive to futures contract selection</w:t>
      </w:r>
    </w:p>
    <w:p>
      <w:r>
        <w:rPr>
          <w:b/>
        </w:rPr>
        <w:t>------------------------------</w:t>
      </w:r>
    </w:p>
    <w:p>
      <w:pPr>
        <w:pStyle w:val="Heading2"/>
      </w:pPr>
      <w:r>
        <w:t>9. Comparison to Alternatives</w:t>
      </w:r>
    </w:p>
    <w:p>
      <w:pPr>
        <w:pStyle w:val="Heading3"/>
      </w:pPr>
      <w:r>
        <w:t>9.1 VIX-Only Approach</w:t>
      </w:r>
    </w:p>
    <w:p>
      <w:r>
        <w:t>| Metric | VIX Only | MAC Framework | |--------|----------|---------------| | Repo Spike 2019 | Missed (VIX ~15) | Detected (Liquidity breach) | | April 2025 hedge failure | No signal | Positioning breach flagged | | Interpretability | Single number | Pillar decomposition |</w:t>
      </w:r>
    </w:p>
    <w:p>
      <w:r>
        <w:t>The MAC framework's pillar decomposition identifies crisis drivers that single-indicator approaches miss.</w:t>
      </w:r>
    </w:p>
    <w:p>
      <w:pPr>
        <w:pStyle w:val="Heading3"/>
      </w:pPr>
      <w:r>
        <w:t>9.2 Financial Conditions Indices</w:t>
      </w:r>
    </w:p>
    <w:p>
      <w:r>
        <w:t>Traditional FCIs (Chicago Fed, Goldman) focus on credit conditions and are backward-looking. MAC differs by:</w:t>
      </w:r>
    </w:p>
    <w:p>
      <w:pPr>
        <w:pStyle w:val="ListBullet"/>
      </w:pPr>
      <w:r>
        <w:t>Including positioning/leverage metrics</w:t>
      </w:r>
    </w:p>
    <w:p>
      <w:pPr>
        <w:pStyle w:val="ListBullet"/>
      </w:pPr>
      <w:r>
        <w:t>Incorporating policy capacity constraints</w:t>
      </w:r>
    </w:p>
    <w:p>
      <w:pPr>
        <w:pStyle w:val="ListBullet"/>
      </w:pPr>
      <w:r>
        <w:t>Designed for forward-looking stress assessment</w:t>
      </w:r>
    </w:p>
    <w:p>
      <w:r>
        <w:rPr>
          <w:b/>
        </w:rPr>
        <w:t>------------------------------</w:t>
      </w:r>
    </w:p>
    <w:p>
      <w:pPr>
        <w:pStyle w:val="Heading2"/>
      </w:pPr>
      <w:r>
        <w:t>10. Implementation Notes</w:t>
      </w:r>
    </w:p>
    <w:p>
      <w:pPr>
        <w:pStyle w:val="Heading3"/>
      </w:pPr>
      <w:r>
        <w:t>10.1 Data Sources</w:t>
      </w:r>
    </w:p>
    <w:p>
      <w:r>
        <w:t>| Source | Access | Coverage | |--------|--------|----------| | FRED | Free API | Rates, spreads, VIX, macro (1990+) | | CFTC COT | Free download | Treasury positioning (1986+) | | Yahoo Finance | Free API | ETF flows, FX, equity prices |</w:t>
      </w:r>
    </w:p>
    <w:p>
      <w:pPr>
        <w:pStyle w:val="Heading3"/>
      </w:pPr>
      <w:r>
        <w:t>10.2 Update Frequency</w:t>
      </w:r>
    </w:p>
    <w:p>
      <w:r>
        <w:t>| Indicator | Frequency | Lag | |-----------|-----------|-----| | Rates, spreads, VIX | Daily | T+1 | | ETF flows | Daily | T+1 | | CFTC positioning | Weekly | T+3 | | Balance sheet | Weekly | T+1 | | Term premium | Monthly | T+30 |</w:t>
      </w:r>
    </w:p>
    <w:p>
      <w:pPr>
        <w:pStyle w:val="Heading3"/>
      </w:pPr>
      <w:r>
        <w:t>10.3 Code Availability</w:t>
      </w:r>
    </w:p>
    <w:p>
      <w:r>
        <w:t>Full implementation available at: [repository link]</w:t>
      </w:r>
    </w:p>
    <w:p>
      <w:r>
        <w:rPr>
          <w:b/>
        </w:rPr>
        <w:t>------------------------------</w:t>
      </w:r>
    </w:p>
    <w:p>
      <w:pPr>
        <w:pStyle w:val="Heading2"/>
      </w:pPr>
      <w:r>
        <w:t>Appendix A: Indicator FRED Codes</w:t>
      </w:r>
    </w:p>
    <w:p>
      <w:r>
        <w:t>| Indicator | FRED Code | |-----------|-----------| | SOFR | SOFR | | IORB | IORB | | Fed Funds | DFF | | 3M T-Bill | DGS3MO | | 3M CP | DCPF3M | | VIX | VIXCLS | | 10Y Term Premium | THREEFYTP10 | | IG OAS | BAMLC0A0CM | | HY OAS | BAMLH0A0HYM2 | | Core PCE | PCEPILFE | | Fed Balance Sheet | WALCL | | GDP | GDP | | DXY | DTWEXBGS |</w:t>
      </w:r>
    </w:p>
    <w:p>
      <w:r>
        <w:rPr>
          <w:b/>
        </w:rPr>
        <w:t>------------------------------</w:t>
      </w:r>
    </w:p>
    <w:p>
      <w:pPr>
        <w:pStyle w:val="Heading2"/>
      </w:pPr>
      <w:r>
        <w:t>Appendix B: Threshold Summary</w:t>
      </w:r>
    </w:p>
    <w:p>
      <w:pPr>
        <w:pStyle w:val="Heading3"/>
      </w:pPr>
      <w:r>
        <w:t>B.1 Liquidity</w:t>
      </w:r>
    </w:p>
    <w:p>
      <w:r>
        <w:t>| Indicator | Ample | Thin | Breaching | |-----------|-------|------|-----------| | SOFR-IORB (bps) | &lt; 5 | 5-25 | &gt; 25 | | CP-Treasury (bps) | &lt; 20 | 20-50 | &gt; 50 | | Cross-currency basis (bps) | &gt; -30 | -30 to -75 | &lt; -75 |</w:t>
      </w:r>
    </w:p>
    <w:p>
      <w:pPr>
        <w:pStyle w:val="Heading3"/>
      </w:pPr>
      <w:r>
        <w:t>B.2 Valuation</w:t>
      </w:r>
    </w:p>
    <w:p>
      <w:r>
        <w:t>| Indicator | Ample | Thin | Breaching | |-----------|-------|------|-----------| | Term premium (bps) | &gt; 100 | 0-100 | &lt; 0 | | IG OAS (bps) | &gt; 150 | 80-150 | &lt; 80 | | HY OAS (bps) | &gt; 450 | 300-450 | &lt; 300 |</w:t>
      </w:r>
    </w:p>
    <w:p>
      <w:pPr>
        <w:pStyle w:val="Heading3"/>
      </w:pPr>
      <w:r>
        <w:t>B.3 Positioning</w:t>
      </w:r>
    </w:p>
    <w:p>
      <w:r>
        <w:t>| Indicator | Ample | Thin | Breaching | |-----------|-------|------|-----------| | Basis trade ($B) | &lt; 400 | 400-700 | &gt; 700 | | Spec net (%-ile) | 25-75 | 10-90 | &lt; 5 or &gt; 95 | | SVXY AUM ($M) | &lt; 500 | 500-1000 | &gt; 1000 |</w:t>
      </w:r>
    </w:p>
    <w:p>
      <w:pPr>
        <w:pStyle w:val="Heading3"/>
      </w:pPr>
      <w:r>
        <w:t>B.4 Volatility</w:t>
      </w:r>
    </w:p>
    <w:p>
      <w:r>
        <w:t>| Indicator | Ample | Thin | Breaching | |-----------|-------|------|-----------| | VIX | 15-20 | &lt; 12 or 20-35 | &lt; 10 or &gt; 35 | | Term structure | 1.00-1.05 | &lt; 0.95 or &gt; 1.08 | &lt; 0.90 or &gt; 1.10 | | RV-IV gap (%) | &lt; 20 | 20-40 | &gt; 40 |</w:t>
      </w:r>
    </w:p>
    <w:p>
      <w:pPr>
        <w:pStyle w:val="Heading3"/>
      </w:pPr>
      <w:r>
        <w:t>B.5 Policy</w:t>
      </w:r>
    </w:p>
    <w:p>
      <w:r>
        <w:t>| Indicator | Ample | Thin | Breaching | |-----------|-------|------|-----------| | Policy room (bps) | &gt; 150 | 50-150 | &lt; 50 | | Balance sheet/GDP (%) | &lt; 25 | 25-35 | &gt; 35 | | Core PCE vs target (bps) | &lt; 50 | 50-150 | &gt; 150 |</w:t>
      </w:r>
    </w:p>
    <w:p>
      <w:pPr>
        <w:pStyle w:val="Heading3"/>
      </w:pPr>
      <w:r>
        <w:t>B.6 Contagion</w:t>
      </w:r>
    </w:p>
    <w:p>
      <w:r>
        <w:t>| Indicator | Ample | Thin | Breaching | |-----------|-------|------|-----------| | EM flows (%/wk) | &gt; +1 | -1 to +1 | &lt; -2 | | G-SIB proxy (era-adjusted) | See Section 2.6 | | DXY 3M change (%) | &lt; 3 | 3-8 | &gt; 8 | | EMBI spread (bps) | &lt; 350 | 350-500 | &gt; 500 | | Global equity corr | &lt; 0.7 | 0.7-0.85 | &gt; 0.85 |</w:t>
      </w:r>
    </w:p>
    <w:p>
      <w:r>
        <w:rPr>
          <w:b/>
        </w:rPr>
        <w:t>------------------------------</w:t>
      </w:r>
    </w:p>
    <w:p>
      <w:r>
        <w:rPr>
          <w:i/>
        </w:rPr>
        <w:t>Document Version: 2.0</w:t>
      </w:r>
      <w:r>
        <w:t xml:space="preserve"> </w:t>
      </w:r>
      <w:r>
        <w:rPr>
          <w:i/>
        </w:rPr>
        <w:t>Framework Version: 4.3</w:t>
      </w:r>
      <w:r>
        <w:t xml:space="preserve"> </w:t>
      </w:r>
      <w:r>
        <w:rPr>
          <w:i/>
        </w:rPr>
        <w:t>Last Updated: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