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F2E1D"/>
          <w:sz w:val="30"/>
          <w:szCs w:val="30"/>
        </w:rPr>
        <w:t xml:space="preserve">Checkout: who pays, who receives</w:t>
      </w:r>
    </w:p>
    <w:p>
      <w:pPr>
        <w:spacing w:after="40"/>
      </w:pPr>
      <w:r>
        <w:rPr>
          <w:rFonts w:ascii="Arial" w:cs="Arial" w:eastAsia="Arial" w:hAnsi="Arial"/>
          <w:color w:val="5D6A58"/>
          <w:sz w:val="19"/>
          <w:szCs w:val="19"/>
        </w:rPr>
        <w:t xml:space="preserve">Specification for the cart page and everything it sets in motion. Agreed 1.10.2026.</w:t>
      </w:r>
    </w:p>
    <w:p>
      <w:pPr>
        <w:pBdr>
          <w:bottom w:val="single" w:color="D7DDD1" w:sz="6"/>
        </w:pBdr>
        <w:spacing w:after="150" w:before="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/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1. The two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Payment never blocks production. A practitioner approved for deferred payment sends the order to the lab unpaid; the debt accrues and is collected separately.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A missing recipient authorisation always blocks production. Whoever takes the parcel from the courier must have signed a power of attorney, and there must be an address. Until both exist, nothing is compounded.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2. Inputs</w:t>
      </w:r>
    </w:p>
    <w:tbl>
      <w:tblPr>
        <w:tblW w:type="dxa" w:w="9746"/>
        <w:tblBorders>
          <w:top w:val="single" w:color="D7DDD1" w:sz="4"/>
          <w:left w:val="single" w:color="D7DDD1" w:sz="4"/>
          <w:bottom w:val="single" w:color="D7DDD1" w:sz="4"/>
          <w:right w:val="single" w:color="D7DDD1" w:sz="4"/>
          <w:insideH w:val="single" w:color="D7DDD1" w:sz="4"/>
          <w:insideV w:val="single" w:color="D7DDD1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Values</w:t>
            </w:r>
          </w:p>
        </w:tc>
        <w:tc>
          <w:tcPr>
            <w:tcW w:type="dxa" w:w="4146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payer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 | patient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Cart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recipient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 | patient | pickup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Cart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practitioner.credit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boolean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Practitioner's card in the admin — existing field</w:t>
            </w:r>
          </w:p>
        </w:tc>
      </w:tr>
    </w:tbl>
    <w:p>
      <w:pPr>
        <w:spacing w:after="90" w:before="13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practitioner.credit is the existing deferred-payment approval, and the only thing that decides whether "pay later" is offered. No second permission, no credit limit.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Change to existing behaviour: the cart currently locks the recipient to the paying patient. That lock is removed — a patient may pay for a parcel that goes to the clinic.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3. Who pays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The practitioner pays: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credit = false — straight to Placard. No choice is offered.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credit = true — ask "Pay now?". Yes goes to Placard; No goes to the order summary and final confirmation, and the order is created on credit.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Pricing follows payer, not the moment of payment.</w:t>
      </w:r>
    </w:p>
    <w:p>
      <w:pPr>
        <w:spacing w:after="90" w:before="130"/>
      </w:pPr>
      <w:r>
        <w:rPr>
          <w:rFonts w:ascii="Arial" w:cs="Arial" w:eastAsia="Arial" w:hAnsi="Arial"/>
          <w:b/>
          <w:bCs/>
          <w:color w:val="1F2E1D"/>
          <w:sz w:val="20"/>
          <w:szCs w:val="20"/>
        </w:rPr>
        <w:t xml:space="preserve">The patient pays — unchanged: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Practitioner submits the cart → WhatsApp payment link → delivery details (only when the parcel goes to the patient) → order summary → Placard → success or failure.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4. Authorisation and address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The power of attorney authorises the courier to hand the preparation over. It is signed by the person who receives it. Name, national ID, signature.</w:t>
      </w:r>
    </w:p>
    <w:tbl>
      <w:tblPr>
        <w:tblW w:type="dxa" w:w="9746"/>
        <w:tblBorders>
          <w:top w:val="single" w:color="D7DDD1" w:sz="4"/>
          <w:left w:val="single" w:color="D7DDD1" w:sz="4"/>
          <w:bottom w:val="single" w:color="D7DDD1" w:sz="4"/>
          <w:right w:val="single" w:color="D7DDD1" w:sz="4"/>
          <w:insideH w:val="single" w:color="D7DDD1" w:sz="4"/>
          <w:insideV w:val="single" w:color="D7DDD1" w:sz="4"/>
        </w:tblBorders>
      </w:tblPr>
      <w:tblGrid>
        <w:gridCol w:w="2000"/>
        <w:gridCol w:w="4000"/>
        <w:gridCol w:w="3746"/>
      </w:tblGrid>
      <w:tr>
        <w:trPr>
          <w:tblHeader/>
        </w:trPr>
        <w:tc>
          <w:tcPr>
            <w:tcW w:type="dxa" w:w="20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Recipient</w:t>
            </w:r>
          </w:p>
        </w:tc>
        <w:tc>
          <w:tcPr>
            <w:tcW w:type="dxa" w:w="40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Power of attorney</w:t>
            </w:r>
          </w:p>
        </w:tc>
        <w:tc>
          <w:tcPr>
            <w:tcW w:type="dxa" w:w="3746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Signed by the practitioner, in the cart</w:t>
            </w:r>
          </w:p>
        </w:tc>
        <w:tc>
          <w:tcPr>
            <w:tcW w:type="dxa" w:w="3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From the practitioner's closed list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Patient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Signed by the patient</w:t>
            </w:r>
          </w:p>
        </w:tc>
        <w:tc>
          <w:tcPr>
            <w:tcW w:type="dxa" w:w="3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Entered by the patient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Pickup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Not required — no courier</w:t>
            </w:r>
          </w:p>
        </w:tc>
        <w:tc>
          <w:tcPr>
            <w:tcW w:type="dxa" w:w="3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The pharmacy's address</w:t>
            </w:r>
          </w:p>
        </w:tc>
      </w:tr>
    </w:tbl>
    <w:p>
      <w:pPr>
        <w:spacing w:after="90" w:before="13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When the recipient is the patient, where they sign depends on who pays. If the patient pays, inside their own payment flow. If the practitioner pays or defers, through a details-completion link sent by WhatsApp — address and signature, no payment step.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5. The six cases</w:t>
      </w:r>
    </w:p>
    <w:tbl>
      <w:tblPr>
        <w:tblW w:type="dxa" w:w="9746"/>
        <w:tblBorders>
          <w:top w:val="single" w:color="D7DDD1" w:sz="4"/>
          <w:left w:val="single" w:color="D7DDD1" w:sz="4"/>
          <w:bottom w:val="single" w:color="D7DDD1" w:sz="4"/>
          <w:right w:val="single" w:color="D7DDD1" w:sz="4"/>
          <w:insideH w:val="single" w:color="D7DDD1" w:sz="4"/>
          <w:insideV w:val="single" w:color="D7DDD1" w:sz="4"/>
        </w:tblBorders>
      </w:tblPr>
      <w:tblGrid>
        <w:gridCol w:w="1700"/>
        <w:gridCol w:w="1700"/>
        <w:gridCol w:w="6346"/>
      </w:tblGrid>
      <w:tr>
        <w:trPr>
          <w:tblHeader/>
        </w:trPr>
        <w:tc>
          <w:tcPr>
            <w:tcW w:type="dxa" w:w="17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Pays</w:t>
            </w:r>
          </w:p>
        </w:tc>
        <w:tc>
          <w:tcPr>
            <w:tcW w:type="dxa" w:w="17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Receives</w:t>
            </w:r>
          </w:p>
        </w:tc>
        <w:tc>
          <w:tcPr>
            <w:tcW w:type="dxa" w:w="6346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Everything collected in the cart. Proceeds.</w:t>
            </w:r>
          </w:p>
        </w:tc>
      </w:tr>
      <w:tr>
        <w:tc>
          <w:tcPr>
            <w:tcW w:type="dxa" w:w="1700"/>
            <w:shd w:fill="FB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700"/>
            <w:shd w:fill="FB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Patient</w:t>
            </w:r>
          </w:p>
        </w:tc>
        <w:tc>
          <w:tcPr>
            <w:tcW w:type="dxa" w:w="6346"/>
            <w:shd w:fill="FB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color w:val="1F2E1D"/>
                <w:sz w:val="20"/>
                <w:szCs w:val="20"/>
              </w:rPr>
              <w:t xml:space="preserve">Paid at checkout → blocked, awaiting the customer.</w:t>
            </w:r>
          </w:p>
        </w:tc>
      </w:tr>
      <w:tr>
        <w:tc>
          <w:tcPr>
            <w:tcW w:type="dxa" w:w="1700"/>
            <w:shd w:fill="FB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700"/>
            <w:shd w:fill="FB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Patient</w:t>
            </w:r>
          </w:p>
        </w:tc>
        <w:tc>
          <w:tcPr>
            <w:tcW w:type="dxa" w:w="6346"/>
            <w:shd w:fill="FB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color w:val="1F2E1D"/>
                <w:sz w:val="20"/>
                <w:szCs w:val="20"/>
              </w:rPr>
              <w:t xml:space="preserve">On credit → blocked, awaiting the customer.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Pickup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No courier, no authorisation. Proceeds.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Practitioner signs in the cart. Proceeds on payment.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Patient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Collected inside the payment flow. Proceeds on payment.</w:t>
            </w:r>
          </w:p>
        </w:tc>
      </w:tr>
    </w:tbl>
    <w:p>
      <w:pPr>
        <w:spacing w:after="90" w:before="13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Only the two shaded rows wait on anybody. Rows 1, 4 and 5 also apply when the practitioner is on credit: the order proceeds unpaid.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6. Two new statuses</w:t>
      </w:r>
    </w:p>
    <w:tbl>
      <w:tblPr>
        <w:tblW w:type="dxa" w:w="9746"/>
        <w:tblBorders>
          <w:top w:val="single" w:color="D7DDD1" w:sz="4"/>
          <w:left w:val="single" w:color="D7DDD1" w:sz="4"/>
          <w:bottom w:val="single" w:color="D7DDD1" w:sz="4"/>
          <w:right w:val="single" w:color="D7DDD1" w:sz="4"/>
          <w:insideH w:val="single" w:color="D7DDD1" w:sz="4"/>
          <w:insideV w:val="single" w:color="D7DDD1" w:sz="4"/>
        </w:tblBorders>
      </w:tblPr>
      <w:tblGrid>
        <w:gridCol w:w="2900"/>
        <w:gridCol w:w="3400"/>
        <w:gridCol w:w="3446"/>
      </w:tblGrid>
      <w:tr>
        <w:trPr>
          <w:tblHeader/>
        </w:trPr>
        <w:tc>
          <w:tcPr>
            <w:tcW w:type="dxa" w:w="29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Hebrew</w:t>
            </w:r>
          </w:p>
        </w:tc>
        <w:tc>
          <w:tcPr>
            <w:tcW w:type="dxa" w:w="3446"/>
            <w:shd w:fill="EE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6A58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paid_awaiting_customer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  <w:rtl/>
              </w:rPr>
              <w:t xml:space="preserve">שולם — ממתין לייפוי כוח וכתובת מהלקוח</w:t>
            </w:r>
          </w:p>
        </w:tc>
        <w:tc>
          <w:tcPr>
            <w:tcW w:type="dxa" w:w="34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Paid — awaiting customer authorisation and address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credit_awaiting_customer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  <w:rtl/>
              </w:rPr>
              <w:t xml:space="preserve">בהקפה — ממתין לייפוי כוח וכתובת מהלקוח</w:t>
            </w:r>
          </w:p>
        </w:tc>
        <w:tc>
          <w:tcPr>
            <w:tcW w:type="dxa" w:w="34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1F2E1D"/>
                <w:sz w:val="20"/>
                <w:szCs w:val="20"/>
              </w:rPr>
              <w:t xml:space="preserve">On credit — awaiting customer authorisation and address</w:t>
            </w:r>
          </w:p>
        </w:tc>
      </w:tr>
    </w:tbl>
    <w:p>
      <w:pPr>
        <w:spacing w:after="90" w:before="13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Both block production: not compounded, no stock allocated, not sent to the lab. Both are released the same way — the patient submits the details-completion page with a valid address and a signed power of attorney, and the order enters the normal flow. The existing statuses are unchanged; these are additions.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7. Timeouts and failure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No response after 3 days — the same link is sent again,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No response after 7 days from the order — raised as an exception on the admin exceptions list. Both intervals are configuration.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Failed payment — no order is created. The cart is left as it was and nothing is written to the admin. See section 9.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8. Build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Data model — the two statuses with both labels; the order's payer, recipient, power-of-attorney record and address source; reading practitioner.credit.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Cart — remove the shipping lock; make the power of attorney conditional on the recipient rather than on a checkbox; switch the address source by recipient.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Checkout branch — the practitioner's two paths, including hiding "pay later" from a practitioner without the permission.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Order creation — the decision table of section 5, producing the right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The two outbound links — the payment link as it is today, and the new details-completion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Release — submitting the details-completion page clears the blocking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Reminder and exception.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Failure handling.</w:t>
      </w:r>
    </w:p>
    <w:p>
      <w:pPr>
        <w:pStyle w:val="Heading2"/>
        <w:spacing w:after="80" w:before="190"/>
      </w:pPr>
      <w:r>
        <w:rPr>
          <w:rFonts w:ascii="Arial" w:cs="Arial" w:eastAsia="Arial" w:hAnsi="Arial"/>
          <w:b/>
          <w:bCs/>
          <w:color w:val="1F2E1D"/>
          <w:sz w:val="22"/>
          <w:szCs w:val="22"/>
        </w:rPr>
        <w:t xml:space="preserve">9. Open item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"No order is created" on a failed payment is exact when the practitioner pays at checkout. It cannot hold when the patient pays: the order must already exist before the WhatsApp goes out, because the link has to point at something.</w:t>
      </w:r>
    </w:p>
    <w:p>
      <w:pPr>
        <w:spacing w:after="90"/>
      </w:pPr>
      <w:r>
        <w:rPr>
          <w:rFonts w:ascii="Arial" w:cs="Arial" w:eastAsia="Arial" w:hAnsi="Arial"/>
          <w:color w:val="1F2E1D"/>
          <w:sz w:val="20"/>
          <w:szCs w:val="20"/>
        </w:rPr>
        <w:t xml:space="preserve">Proposal: keep "no order is created" for the practitioner's own payment; for the patient, treat a failure as payment not completed, with the order kept and the link still valid. Needs confirming.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E1D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2026-10-01T12:41:36.101Z</dcterms:created>
  <dcterms:modified xsi:type="dcterms:W3CDTF">2026-10-01T12:41:36.101Z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