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i w:val="0"/>
          <w:color w:val="000000"/>
          <w:sz w:val="27"/>
          <w:rFonts w:ascii="Times New Roman" w:hAnsi="Times New Roman" w:cs="Times New Roman"/>
        </w:rPr>
        <w:t>ECOGRIDAI: MULTI-OBJECTIVE HYBRID RENEWABLE RESOURCE OPTIMIZATION, BATTERY STORAGE DISPATCH, AND POWER FLOW MANAGEMENT FOR IEEE 33-BUS DISTRIBUTION NETWORKS</w:t>
      </w:r>
    </w:p>
    <w:p>
      <w:pPr>
        <w:spacing w:before="0" w:after="200"/>
        <w:jc w:val="center"/>
      </w:pPr>
      <w:r>
        <w:rPr>
          <w:rFonts w:ascii="Times New Roman" w:hAnsi="Times New Roman"/>
          <w:b w:val="0"/>
          <w:i/>
          <w:color w:val="000000"/>
          <w:sz w:val="21"/>
          <w:rFonts w:ascii="Times New Roman" w:hAnsi="Times New Roman" w:cs="Times New Roman"/>
        </w:rPr>
        <w:t>Comprehensive Technical Engineering Report | Academic &amp; Industrial Reference Benchmark</w:t>
      </w:r>
    </w:p>
    <w:p>
      <w:pPr>
        <w:keepNext/>
        <w:spacing w:before="160" w:after="70"/>
        <w:jc w:val="left"/>
      </w:pPr>
      <w:r>
        <w:rPr>
          <w:rFonts w:ascii="Times New Roman" w:hAnsi="Times New Roman"/>
          <w:b/>
          <w:i w:val="0"/>
          <w:color w:val="000000"/>
          <w:sz w:val="28"/>
          <w:rFonts w:ascii="Times New Roman" w:hAnsi="Times New Roman" w:cs="Times New Roman"/>
        </w:rPr>
        <w:t>CHAPTER 1: INTRODUCTION AND PROJECT FOUNDATIONS</w:t>
      </w:r>
    </w:p>
    <w:p>
      <w:pPr>
        <w:keepNext/>
        <w:spacing w:before="140" w:after="50"/>
        <w:jc w:val="left"/>
      </w:pPr>
      <w:r>
        <w:rPr>
          <w:rFonts w:ascii="Times New Roman" w:hAnsi="Times New Roman"/>
          <w:b/>
          <w:i w:val="0"/>
          <w:color w:val="000000"/>
          <w:sz w:val="26"/>
          <w:rFonts w:ascii="Times New Roman" w:hAnsi="Times New Roman" w:cs="Times New Roman"/>
        </w:rPr>
        <w:t>1.1 Global Energy Transition and Distributed Energy Resources</w:t>
      </w:r>
    </w:p>
    <w:p>
      <w:pPr>
        <w:spacing w:before="0" w:after="70" w:line="269" w:lineRule="auto"/>
        <w:jc w:val="both"/>
      </w:pPr>
      <w:r>
        <w:rPr>
          <w:rFonts w:ascii="Times New Roman" w:hAnsi="Times New Roman"/>
          <w:b w:val="0"/>
          <w:i w:val="0"/>
          <w:color w:val="000000"/>
          <w:sz w:val="24"/>
          <w:rFonts w:ascii="Times New Roman" w:hAnsi="Times New Roman" w:cs="Times New Roman"/>
        </w:rPr>
        <w:t>The global electric power sector is currently undergoing an unprecedented technological paradigm shift driven by the imperative to decarbonize energy production, enhance energy security, and modernize aging electrical distribution infrastructure. Conventional centralized power systems, characterized by large-scale fossil fuel generation stations connected via high-voltage transmission networks to passive radial distribution grids, are being rapidly transformed into decentralized, active distribution networks. In these modernized architectures, Distributed Energy Resources (DERs)—including rooftop and utility-scale solar photovoltaic (PV) arrays, wind energy conversion systems (WECS), and Battery Energy Storage Systems (BESS)—are directly integrated into medium-voltage (MV) and low-voltage (LV) distribution circuits.</w:t>
      </w:r>
    </w:p>
    <w:p>
      <w:pPr>
        <w:spacing w:before="0" w:after="70" w:line="269" w:lineRule="auto"/>
        <w:jc w:val="both"/>
      </w:pPr>
      <w:r>
        <w:rPr>
          <w:rFonts w:ascii="Times New Roman" w:hAnsi="Times New Roman"/>
          <w:b w:val="0"/>
          <w:i w:val="0"/>
          <w:color w:val="000000"/>
          <w:sz w:val="24"/>
          <w:rFonts w:ascii="Times New Roman" w:hAnsi="Times New Roman" w:cs="Times New Roman"/>
        </w:rPr>
        <w:t>While the proliferation of renewable generation brings profound ecological and economic advantages, it fundamentally alters the physics of distribution network operation. Distribution grids were historically engineered for unidirectional power flow, cascading outward from central transmission bulk substations down to end-use consumers. The integration of high-penetration, intermittent, and non-dispatchable renewable generation sources introduces bidirectional power flows, spatial-temporal voltage volatility, severe thermal congestion, and acute feeder phase unbalance.</w:t>
      </w:r>
    </w:p>
    <w:p>
      <w:pPr>
        <w:spacing w:before="0" w:after="70" w:line="269" w:lineRule="auto"/>
        <w:jc w:val="both"/>
      </w:pPr>
      <w:r>
        <w:rPr>
          <w:rFonts w:ascii="Times New Roman" w:hAnsi="Times New Roman"/>
          <w:b w:val="0"/>
          <w:i w:val="0"/>
          <w:color w:val="000000"/>
          <w:sz w:val="24"/>
          <w:rFonts w:ascii="Times New Roman" w:hAnsi="Times New Roman" w:cs="Times New Roman"/>
        </w:rPr>
        <w:t>Under intense solar irradiance or high wind velocity conditions coinciding with trough demand periods, distributed generation can exceed localized feeder loading, forcing reverse power flows across distribution branches. This reverse injection causes dangerous overvoltage phenomena at the feeder terminals, accelerates insulation degradation, induces excessive transformer tap-changer wear, and triggers nuisance tripping of protective relays. Conversely, during sudden renewable ramps down or peak twilight demand hours, severe undervoltage conditions and elevated active power losses emerge.</w:t>
      </w:r>
    </w:p>
    <w:p>
      <w:r>
        <w:br w:type="page"/>
      </w:r>
    </w:p>
    <w:p>
      <w:pPr>
        <w:keepNext/>
        <w:spacing w:before="140" w:after="50"/>
        <w:jc w:val="left"/>
      </w:pPr>
      <w:r>
        <w:rPr>
          <w:rFonts w:ascii="Times New Roman" w:hAnsi="Times New Roman"/>
          <w:b/>
          <w:i w:val="0"/>
          <w:color w:val="000000"/>
          <w:sz w:val="26"/>
          <w:rFonts w:ascii="Times New Roman" w:hAnsi="Times New Roman" w:cs="Times New Roman"/>
        </w:rPr>
        <w:t>1.2 The Multi-Dimensional Challenge in Modern Microgrids</w:t>
      </w:r>
    </w:p>
    <w:p>
      <w:pPr>
        <w:spacing w:before="0" w:after="70" w:line="269" w:lineRule="auto"/>
        <w:jc w:val="both"/>
      </w:pPr>
      <w:r>
        <w:rPr>
          <w:rFonts w:ascii="Times New Roman" w:hAnsi="Times New Roman"/>
          <w:b w:val="0"/>
          <w:i w:val="0"/>
          <w:color w:val="000000"/>
          <w:sz w:val="24"/>
          <w:rFonts w:ascii="Times New Roman" w:hAnsi="Times New Roman" w:cs="Times New Roman"/>
        </w:rPr>
        <w:t>To resolve the operational conflicts inherent to high renewable penetration, modern smart grids require coordinated operational dispatch, optimal resource sizing, and dynamic network management. In an unmanaged distribution feeder, distributed renewable generators operate purely according to maximum power point tracking (MPPT) or uncoordinated local controllers. This uncoordinated regime fails to account for holistic network efficiency, resulting in suboptimal economic returns, excessive line transmission losses, and compromised voltage security.</w:t>
      </w:r>
    </w:p>
    <w:p>
      <w:pPr>
        <w:spacing w:before="0" w:after="70" w:line="269" w:lineRule="auto"/>
        <w:jc w:val="both"/>
      </w:pPr>
      <w:r>
        <w:rPr>
          <w:rFonts w:ascii="Times New Roman" w:hAnsi="Times New Roman"/>
          <w:b w:val="0"/>
          <w:i w:val="0"/>
          <w:color w:val="000000"/>
          <w:sz w:val="24"/>
          <w:rFonts w:ascii="Times New Roman" w:hAnsi="Times New Roman" w:cs="Times New Roman"/>
        </w:rPr>
        <w:t>The integration of Battery Energy Storage Systems (BESS) provides a critical flexibility asset, offering four-quadrant active and reactive power control, peak shaving, renewable time-shifting, and localized voltage support. However, determining the optimal dispatch schedule and spatial-capacity planning for BESS requires solving complex, high-dimensional, non-convex, and non-linear optimization formulations. Operational decisions must balance conflicting objectives: minimizing operational expenditures and capital amortization, minimizing electrical line losses, flattening voltage deviation across all system buses, and mitigating battery degradation caused by excessive cyclic stress.</w:t>
      </w:r>
    </w:p>
    <w:p>
      <w:pPr>
        <w:keepNext/>
        <w:spacing w:before="140" w:after="50"/>
        <w:jc w:val="left"/>
      </w:pPr>
      <w:r>
        <w:rPr>
          <w:rFonts w:ascii="Times New Roman" w:hAnsi="Times New Roman"/>
          <w:b/>
          <w:i w:val="0"/>
          <w:color w:val="000000"/>
          <w:sz w:val="26"/>
          <w:rFonts w:ascii="Times New Roman" w:hAnsi="Times New Roman" w:cs="Times New Roman"/>
        </w:rPr>
        <w:t>1.3 Problem Statement and Research Objectives</w:t>
      </w:r>
    </w:p>
    <w:p>
      <w:pPr>
        <w:spacing w:before="0" w:after="70" w:line="269" w:lineRule="auto"/>
        <w:jc w:val="both"/>
      </w:pPr>
      <w:r>
        <w:rPr>
          <w:rFonts w:ascii="Times New Roman" w:hAnsi="Times New Roman"/>
          <w:b w:val="0"/>
          <w:i w:val="0"/>
          <w:color w:val="000000"/>
          <w:sz w:val="24"/>
          <w:rFonts w:ascii="Times New Roman" w:hAnsi="Times New Roman" w:cs="Times New Roman"/>
        </w:rPr>
        <w:t>The core objective of the EcoGridAI engineering project is the mathematical formulation, algorithmic implementation, and empirical validation of an end-to-end, multi-objective optimization and power flow management platform tailored specifically for the standard IEEE 33-bus radial distribution network. The key research objectives encompass:</w:t>
      </w:r>
    </w:p>
    <w:p>
      <w:pPr>
        <w:spacing w:before="0" w:after="70" w:line="269" w:lineRule="auto"/>
        <w:jc w:val="both"/>
      </w:pPr>
      <w:r>
        <w:rPr>
          <w:rFonts w:ascii="Times New Roman" w:hAnsi="Times New Roman"/>
          <w:b w:val="0"/>
          <w:i w:val="0"/>
          <w:color w:val="000000"/>
          <w:sz w:val="24"/>
          <w:rFonts w:ascii="Times New Roman" w:hAnsi="Times New Roman" w:cs="Times New Roman"/>
        </w:rPr>
        <w:t>1. High-Fidelity Power Flow Formulation: Developing a robust, numerically stable Forward-Backward Sweep (FBS) load flow engine capable of accurately computing bus voltages, line currents, and branch power losses under high R/X radial network topologies.</w:t>
      </w:r>
    </w:p>
    <w:p>
      <w:pPr>
        <w:spacing w:before="0" w:after="70" w:line="269" w:lineRule="auto"/>
        <w:jc w:val="both"/>
      </w:pPr>
      <w:r>
        <w:rPr>
          <w:rFonts w:ascii="Times New Roman" w:hAnsi="Times New Roman"/>
          <w:b w:val="0"/>
          <w:i w:val="0"/>
          <w:color w:val="000000"/>
          <w:sz w:val="24"/>
          <w:rFonts w:ascii="Times New Roman" w:hAnsi="Times New Roman" w:cs="Times New Roman"/>
        </w:rPr>
        <w:t>2. Empirical Diurnal Load and Resource Characterization: Ingesting 24-hour real-world load telemetry disaggregated across industrial, commercial, and residential sectors, coupled with stochastic solar PV and wind generation profiles.</w:t>
      </w:r>
    </w:p>
    <w:p>
      <w:pPr>
        <w:spacing w:before="0" w:after="70" w:line="269" w:lineRule="auto"/>
        <w:jc w:val="both"/>
      </w:pPr>
      <w:r>
        <w:rPr>
          <w:rFonts w:ascii="Times New Roman" w:hAnsi="Times New Roman"/>
          <w:b w:val="0"/>
          <w:i w:val="0"/>
          <w:color w:val="000000"/>
          <w:sz w:val="24"/>
          <w:rFonts w:ascii="Times New Roman" w:hAnsi="Times New Roman" w:cs="Times New Roman"/>
        </w:rPr>
        <w:t>3. Multi-Objective Optimization Architecture: Formulating a comprehensive objective function balancing levelized energy cost, transmission losses, voltage deviation, and battery degradation, resolved via advanced metaheuristic algorithms including Particle Swarm Optimization (PSO), Genetic Algorithms (GA), Differential Evolution (DE), and Artificial Bee Colony (ABC).</w:t>
      </w:r>
    </w:p>
    <w:p>
      <w:pPr>
        <w:spacing w:before="0" w:after="70" w:line="269" w:lineRule="auto"/>
        <w:jc w:val="both"/>
      </w:pPr>
      <w:r>
        <w:rPr>
          <w:rFonts w:ascii="Times New Roman" w:hAnsi="Times New Roman"/>
          <w:b w:val="0"/>
          <w:i w:val="0"/>
          <w:color w:val="000000"/>
          <w:sz w:val="24"/>
          <w:rFonts w:ascii="Times New Roman" w:hAnsi="Times New Roman" w:cs="Times New Roman"/>
        </w:rPr>
        <w:t>4. End-to-End Decision Support and Recommendation Engine: Delivering actionable planning vectors, network reconfiguration strategies, and investment prioritization frameworks accessible via high-performance web interfaces.</w:t>
      </w:r>
    </w:p>
    <w:p>
      <w:r>
        <w:br w:type="page"/>
      </w:r>
    </w:p>
    <w:p>
      <w:pPr>
        <w:keepNext/>
        <w:spacing w:before="160" w:after="70"/>
        <w:jc w:val="left"/>
      </w:pPr>
      <w:r>
        <w:rPr>
          <w:rFonts w:ascii="Times New Roman" w:hAnsi="Times New Roman"/>
          <w:b/>
          <w:i w:val="0"/>
          <w:color w:val="000000"/>
          <w:sz w:val="28"/>
          <w:rFonts w:ascii="Times New Roman" w:hAnsi="Times New Roman" w:cs="Times New Roman"/>
        </w:rPr>
        <w:t>CHAPTER 2: IEEE 33-BUS RADIAL DISTRIBUTION NETWORK MODELLING</w:t>
      </w:r>
    </w:p>
    <w:p>
      <w:pPr>
        <w:keepNext/>
        <w:spacing w:before="140" w:after="50"/>
        <w:jc w:val="left"/>
      </w:pPr>
      <w:r>
        <w:rPr>
          <w:rFonts w:ascii="Times New Roman" w:hAnsi="Times New Roman"/>
          <w:b/>
          <w:i w:val="0"/>
          <w:color w:val="000000"/>
          <w:sz w:val="26"/>
          <w:rFonts w:ascii="Times New Roman" w:hAnsi="Times New Roman" w:cs="Times New Roman"/>
        </w:rPr>
        <w:t>2.1 Radial Distribution System Fundamentals</w:t>
      </w:r>
    </w:p>
    <w:p>
      <w:pPr>
        <w:spacing w:before="0" w:after="70" w:line="269" w:lineRule="auto"/>
        <w:jc w:val="both"/>
      </w:pPr>
      <w:r>
        <w:rPr>
          <w:rFonts w:ascii="Times New Roman" w:hAnsi="Times New Roman"/>
          <w:b w:val="0"/>
          <w:i w:val="0"/>
          <w:color w:val="000000"/>
          <w:sz w:val="24"/>
          <w:rFonts w:ascii="Times New Roman" w:hAnsi="Times New Roman" w:cs="Times New Roman"/>
        </w:rPr>
        <w:t>The standard IEEE 33-bus radial distribution test system is widely recognized in academic literature and power engineering practice as the definitive benchmark for distribution automation, feeder reconfiguration, and distributed generation placement studies. The network operates at a nominal rated line-to-line voltage of 12.66 kV, backed by a 10.0 MVA system base. It comprises a single slack substation (Bus 1), 32 downstream radial load buses, and 32 interconnecting distribution branch segments.</w:t>
      </w:r>
    </w:p>
    <w:p>
      <w:pPr>
        <w:spacing w:before="0" w:after="70" w:line="269" w:lineRule="auto"/>
        <w:jc w:val="both"/>
      </w:pPr>
      <w:r>
        <w:rPr>
          <w:rFonts w:ascii="Times New Roman" w:hAnsi="Times New Roman"/>
          <w:b w:val="0"/>
          <w:i w:val="0"/>
          <w:color w:val="000000"/>
          <w:sz w:val="24"/>
          <w:rFonts w:ascii="Times New Roman" w:hAnsi="Times New Roman" w:cs="Times New Roman"/>
        </w:rPr>
        <w:t>Unlike meshed high-voltage transmission grids characterized by low resistance-to-reactance (R/X) ratios, radial distribution feeders exhibit high R/X ratios, frequently ranging from 1.5 to 3.5. This high branch resistance has profound consequences for power flow analysis and voltage stability:</w:t>
      </w:r>
    </w:p>
    <w:p>
      <w:pPr>
        <w:spacing w:before="0" w:after="70" w:line="269" w:lineRule="auto"/>
        <w:jc w:val="both"/>
      </w:pPr>
      <w:r>
        <w:rPr>
          <w:rFonts w:ascii="Times New Roman" w:hAnsi="Times New Roman"/>
          <w:b w:val="0"/>
          <w:i w:val="0"/>
          <w:color w:val="000000"/>
          <w:sz w:val="24"/>
          <w:rFonts w:ascii="Times New Roman" w:hAnsi="Times New Roman" w:cs="Times New Roman"/>
        </w:rPr>
        <w:t>First, the active and reactive power flows are strongly coupled. In high-voltage grids, active power is predominantly governed by voltage phase angle differences, while reactive power is governed by voltage magnitude differences. In radial distribution systems, active power injections exert an equally dominant influence on voltage magnitudes. Consequently, uncontrolled active power injection from solar PV arrays directly inflates local bus voltage profiles.</w:t>
      </w:r>
    </w:p>
    <w:p>
      <w:pPr>
        <w:spacing w:before="0" w:after="70" w:line="269" w:lineRule="auto"/>
        <w:jc w:val="both"/>
      </w:pPr>
      <w:r>
        <w:rPr>
          <w:rFonts w:ascii="Times New Roman" w:hAnsi="Times New Roman"/>
          <w:b w:val="0"/>
          <w:i w:val="0"/>
          <w:color w:val="000000"/>
          <w:sz w:val="24"/>
          <w:rFonts w:ascii="Times New Roman" w:hAnsi="Times New Roman" w:cs="Times New Roman"/>
        </w:rPr>
        <w:t>Second, conventional power flow solution methodologies, such as the standard Newton-Raphson (NR) algorithm and Fast Decoupled Load Flow (FDLF), exhibit acute numerical instability or fail entirely to converge when applied to ill-conditioned radial distribution topologies with high R/X ratios. This necessitates specialized, topological sweep algorithms.</w:t>
      </w:r>
    </w:p>
    <w:p>
      <w:pPr>
        <w:keepNext/>
        <w:spacing w:before="140" w:after="50"/>
        <w:jc w:val="left"/>
      </w:pPr>
      <w:r>
        <w:rPr>
          <w:rFonts w:ascii="Times New Roman" w:hAnsi="Times New Roman"/>
          <w:b/>
          <w:i w:val="0"/>
          <w:color w:val="000000"/>
          <w:sz w:val="26"/>
          <w:rFonts w:ascii="Times New Roman" w:hAnsi="Times New Roman" w:cs="Times New Roman"/>
        </w:rPr>
        <w:t>2.2 System Topology and Graph Theory Representation</w:t>
      </w:r>
    </w:p>
    <w:p>
      <w:pPr>
        <w:spacing w:before="0" w:after="70" w:line="269" w:lineRule="auto"/>
        <w:jc w:val="both"/>
      </w:pPr>
      <w:r>
        <w:rPr>
          <w:rFonts w:ascii="Times New Roman" w:hAnsi="Times New Roman"/>
          <w:b w:val="0"/>
          <w:i w:val="0"/>
          <w:color w:val="000000"/>
          <w:sz w:val="24"/>
          <w:rFonts w:ascii="Times New Roman" w:hAnsi="Times New Roman" w:cs="Times New Roman"/>
        </w:rPr>
        <w:t>The structural topology of the IEEE 33-bus system can be mathematically represented as a connected, directed radial graph G = (V, E), where V = {1, 2, ..., 33} denotes the set of vertices (buses) and E = {1, 2, ..., 32} denotes the set of directed edges (branch lines). Bus 1 serves as the reference slack bus, maintained at a constant voltage of 1.000 p.u. (12.66 kV) with a reference phase angle of 0.00 degrees.</w:t>
      </w:r>
    </w:p>
    <w:p>
      <w:pPr>
        <w:spacing w:before="0" w:after="70" w:line="269" w:lineRule="auto"/>
        <w:jc w:val="both"/>
      </w:pPr>
      <w:r>
        <w:rPr>
          <w:rFonts w:ascii="Times New Roman" w:hAnsi="Times New Roman"/>
          <w:b w:val="0"/>
          <w:i w:val="0"/>
          <w:color w:val="000000"/>
          <w:sz w:val="24"/>
          <w:rFonts w:ascii="Times New Roman" w:hAnsi="Times New Roman" w:cs="Times New Roman"/>
        </w:rPr>
        <w:t>The total baseline static active demand across the network is 3,715.00 kW, while the total baseline reactive demand is 2,300.00 kvar, yielding an aggregate apparent baseline power of 4,369.34 kVA at an aggregate lagging power factor of approximately 0.850. The physical lines utilize aluminum-conductor steel-reinforced (ACSR) cables characterized by specific resistance r_ij and inductive reactance x_ij per branch.</w:t>
      </w:r>
    </w:p>
    <w:p>
      <w:r>
        <w:br w:type="page"/>
      </w:r>
    </w:p>
    <w:p>
      <w:pPr>
        <w:keepNext/>
        <w:spacing w:before="140" w:after="50"/>
        <w:jc w:val="left"/>
      </w:pPr>
      <w:r>
        <w:rPr>
          <w:rFonts w:ascii="Times New Roman" w:hAnsi="Times New Roman"/>
          <w:b/>
          <w:i w:val="0"/>
          <w:color w:val="000000"/>
          <w:sz w:val="26"/>
          <w:rFonts w:ascii="Times New Roman" w:hAnsi="Times New Roman" w:cs="Times New Roman"/>
        </w:rPr>
        <w:t>2.3 Mathematical Derivation of the Forward-Backward Sweep (FBS) Algorithm</w:t>
      </w:r>
    </w:p>
    <w:p>
      <w:pPr>
        <w:spacing w:before="0" w:after="70" w:line="269" w:lineRule="auto"/>
        <w:jc w:val="both"/>
      </w:pPr>
      <w:r>
        <w:rPr>
          <w:rFonts w:ascii="Times New Roman" w:hAnsi="Times New Roman"/>
          <w:b w:val="0"/>
          <w:i w:val="0"/>
          <w:color w:val="000000"/>
          <w:sz w:val="24"/>
          <w:rFonts w:ascii="Times New Roman" w:hAnsi="Times New Roman" w:cs="Times New Roman"/>
        </w:rPr>
        <w:t>To guarantee unconditional numerical convergence and high computational efficiency across all operating conditions, EcoGridAI implements a rigorous Forward-Backward Sweep (FBS) power flow engine based on ladder network theory and Kirchhoff's laws. The algorithm exploits the radial tree structure without requiring the inversion of large admittance matrices.</w:t>
      </w:r>
    </w:p>
    <w:p>
      <w:pPr>
        <w:spacing w:before="0" w:after="70" w:line="269" w:lineRule="auto"/>
        <w:jc w:val="both"/>
      </w:pPr>
      <w:r>
        <w:rPr>
          <w:rFonts w:ascii="Times New Roman" w:hAnsi="Times New Roman"/>
          <w:b w:val="0"/>
          <w:i w:val="0"/>
          <w:color w:val="000000"/>
          <w:sz w:val="24"/>
          <w:rFonts w:ascii="Times New Roman" w:hAnsi="Times New Roman" w:cs="Times New Roman"/>
        </w:rPr>
        <w:t>Let I_i^(k) be the equivalent complex nodal current injection at bus i during iteration k, computed from the specified active power P_i, reactive power Q_i, and the bus complex voltage V_i^(k):</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I_i^(k) = [ (P_i + j * Q_i) / V_i^(k) ]* = (P_i - j * Q_i) / (V_i^(k))*</w:t>
      </w:r>
    </w:p>
    <w:p>
      <w:pPr>
        <w:spacing w:before="0" w:after="70" w:line="269" w:lineRule="auto"/>
        <w:jc w:val="both"/>
      </w:pPr>
      <w:r>
        <w:rPr>
          <w:rFonts w:ascii="Times New Roman" w:hAnsi="Times New Roman"/>
          <w:b w:val="0"/>
          <w:i w:val="0"/>
          <w:color w:val="000000"/>
          <w:sz w:val="24"/>
          <w:rFonts w:ascii="Times New Roman" w:hAnsi="Times New Roman" w:cs="Times New Roman"/>
        </w:rPr>
        <w:t>Where '*' denotes the complex conjugate operator. The FBS algorithm proceeds through two recursive operational sweeps per iteration:</w:t>
      </w:r>
    </w:p>
    <w:p>
      <w:pPr>
        <w:spacing w:before="0" w:after="70" w:line="269" w:lineRule="auto"/>
        <w:jc w:val="both"/>
      </w:pPr>
      <w:r>
        <w:rPr>
          <w:rFonts w:ascii="Times New Roman" w:hAnsi="Times New Roman"/>
          <w:b w:val="0"/>
          <w:i w:val="0"/>
          <w:color w:val="000000"/>
          <w:sz w:val="24"/>
          <w:rFonts w:ascii="Times New Roman" w:hAnsi="Times New Roman" w:cs="Times New Roman"/>
        </w:rPr>
        <w:t>1. Backward Sweep (Current Summation): Beginning at the topological leaf nodes (terminal buses) and progressing upstream toward the slack bus (Bus 1), the current flowing through branch (i, j), denoted as J_ij, is calculated by summing all downstream nodal injection currents and tributary branch currents: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J_ij^(k) = I_j^(k) + SUM_{m in Children(j)} J_jm^(k)</w:t>
      </w:r>
    </w:p>
    <w:p>
      <w:pPr>
        <w:spacing w:before="0" w:after="70" w:line="269" w:lineRule="auto"/>
        <w:jc w:val="both"/>
      </w:pPr>
      <w:r>
        <w:rPr>
          <w:rFonts w:ascii="Times New Roman" w:hAnsi="Times New Roman"/>
          <w:b w:val="0"/>
          <w:i w:val="0"/>
          <w:color w:val="000000"/>
          <w:sz w:val="24"/>
          <w:rFonts w:ascii="Times New Roman" w:hAnsi="Times New Roman" w:cs="Times New Roman"/>
        </w:rPr>
        <w:t>2. Forward Sweep (Voltage Updating): Starting from the slack bus where V_1 = 1.000 + j 0.000 p.u., the complex voltage of each downstream receiving bus j is recursively updated by subtracting the longitudinal branch voltage drop across branch impedance Z_ij = R_ij + j * X_ij from the sending bus voltage V_i:</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V_j^(k+1) = V_i^(k+1) - Z_ij * J_ij^(k)</w:t>
      </w:r>
    </w:p>
    <w:p>
      <w:pPr>
        <w:spacing w:before="0" w:after="70" w:line="269" w:lineRule="auto"/>
        <w:jc w:val="both"/>
      </w:pPr>
      <w:r>
        <w:rPr>
          <w:rFonts w:ascii="Times New Roman" w:hAnsi="Times New Roman"/>
          <w:b w:val="0"/>
          <w:i w:val="0"/>
          <w:color w:val="000000"/>
          <w:sz w:val="24"/>
          <w:rFonts w:ascii="Times New Roman" w:hAnsi="Times New Roman" w:cs="Times New Roman"/>
        </w:rPr>
        <w:t>3. Convergence Check: The iteration terminates when the maximum voltage deviation between consecutive iterations satisfies a strict tolerance threshold epsilon:</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MAX_{i in V} | V_i^(k+1) - V_i^(k) | &lt;= epsilon, where epsilon = 1.0 x 10^(-6) p.u.</w:t>
      </w:r>
    </w:p>
    <w:p>
      <w:pPr>
        <w:spacing w:before="0" w:after="70" w:line="269" w:lineRule="auto"/>
        <w:jc w:val="both"/>
      </w:pPr>
      <w:r>
        <w:rPr>
          <w:rFonts w:ascii="Times New Roman" w:hAnsi="Times New Roman"/>
          <w:b w:val="0"/>
          <w:i w:val="0"/>
          <w:color w:val="000000"/>
          <w:sz w:val="24"/>
          <w:rFonts w:ascii="Times New Roman" w:hAnsi="Times New Roman" w:cs="Times New Roman"/>
        </w:rPr>
        <w:t>Once convergence is attained, the complex power loss in each distribution branch (i, j) is evaluated using Joule's law:</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S_loss,ij = P_loss,ij + j * Q_loss,ij = |J_ij|^2 * (R_ij + j * X_ij)</w:t>
      </w:r>
    </w:p>
    <w:p>
      <w:pPr>
        <w:spacing w:before="0" w:after="70" w:line="269" w:lineRule="auto"/>
        <w:jc w:val="both"/>
      </w:pPr>
      <w:r>
        <w:rPr>
          <w:rFonts w:ascii="Times New Roman" w:hAnsi="Times New Roman"/>
          <w:b w:val="0"/>
          <w:i w:val="0"/>
          <w:color w:val="000000"/>
          <w:sz w:val="24"/>
          <w:rFonts w:ascii="Times New Roman" w:hAnsi="Times New Roman" w:cs="Times New Roman"/>
        </w:rPr>
        <w:t>The total active line losses across the entire distribution network are obtained by summing the losses over all 32 branches: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P_loss,total = SUM_{(i,j) in E} |J_ij|^2 * R_ij</w:t>
      </w:r>
    </w:p>
    <w:p>
      <w:r>
        <w:br w:type="page"/>
      </w:r>
    </w:p>
    <w:p>
      <w:pPr>
        <w:keepNext/>
        <w:spacing w:before="140" w:after="50"/>
        <w:jc w:val="left"/>
      </w:pPr>
      <w:r>
        <w:rPr>
          <w:rFonts w:ascii="Times New Roman" w:hAnsi="Times New Roman"/>
          <w:b/>
          <w:i w:val="0"/>
          <w:color w:val="000000"/>
          <w:sz w:val="26"/>
          <w:rFonts w:ascii="Times New Roman" w:hAnsi="Times New Roman" w:cs="Times New Roman"/>
        </w:rPr>
        <w:t>2.4 IEEE 33-Bus Radial Topology and Lateral Layout</w:t>
      </w:r>
    </w:p>
    <w:p>
      <w:pPr>
        <w:spacing w:before="0" w:after="70" w:line="269" w:lineRule="auto"/>
        <w:jc w:val="both"/>
      </w:pPr>
      <w:r>
        <w:rPr>
          <w:rFonts w:ascii="Times New Roman" w:hAnsi="Times New Roman"/>
          <w:b w:val="0"/>
          <w:i w:val="0"/>
          <w:color w:val="000000"/>
          <w:sz w:val="24"/>
          <w:rFonts w:ascii="Times New Roman" w:hAnsi="Times New Roman" w:cs="Times New Roman"/>
        </w:rPr>
        <w:t>The physical layout of the IEEE 33-bus system consists of a primary main feeder extending from Bus 1 to Bus 18, with three prominent lateral branches originating at Bus 2 (extending to Bus 22), Bus 3 (extending to Bus 25), and Bus 6 (extending through Bus 26 to Bus 33). The network diagram illustrating node connections, branch segments, and key generator integration buses is depicted below.</w:t>
      </w:r>
    </w:p>
    <w:p>
      <w:pPr>
        <w:spacing w:before="60" w:after="40"/>
        <w:jc w:val="center"/>
      </w:pPr>
      <w:r>
        <w:drawing>
          <wp:inline xmlns:a="http://schemas.openxmlformats.org/drawingml/2006/main" xmlns:pic="http://schemas.openxmlformats.org/drawingml/2006/picture">
            <wp:extent cx="4572000" cy="2667000"/>
            <wp:docPr id="1" name="Picture 1"/>
            <wp:cNvGraphicFramePr>
              <a:graphicFrameLocks noChangeAspect="1"/>
            </wp:cNvGraphicFramePr>
            <a:graphic>
              <a:graphicData uri="http://schemas.openxmlformats.org/drawingml/2006/picture">
                <pic:pic>
                  <pic:nvPicPr>
                    <pic:cNvPr id="0" name="plot_real_33_bus_network_diagram.png"/>
                    <pic:cNvPicPr/>
                  </pic:nvPicPr>
                  <pic:blipFill>
                    <a:blip r:embed="rId9"/>
                    <a:stretch>
                      <a:fillRect/>
                    </a:stretch>
                  </pic:blipFill>
                  <pic:spPr>
                    <a:xfrm>
                      <a:off x="0" y="0"/>
                      <a:ext cx="4572000" cy="2667000"/>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1: IEEE 33-Bus Radial Distribution Network Topology, Lateral Feeders, and Generator Integration Buses.</w:t>
      </w:r>
    </w:p>
    <w:p>
      <w:pPr>
        <w:spacing w:before="0" w:after="70" w:line="269" w:lineRule="auto"/>
        <w:jc w:val="both"/>
      </w:pPr>
      <w:r>
        <w:rPr>
          <w:rFonts w:ascii="Times New Roman" w:hAnsi="Times New Roman"/>
          <w:b w:val="0"/>
          <w:i w:val="0"/>
          <w:color w:val="000000"/>
          <w:sz w:val="24"/>
          <w:rFonts w:ascii="Times New Roman" w:hAnsi="Times New Roman" w:cs="Times New Roman"/>
        </w:rPr>
        <w:t>The network topology incorporates strategic generator placement: a utility-scale 2.098 MW wind turbine at Bus 6 (lateral root), an 851.5 kW solar PV array at Bus 13 (mid-feeder), and a 1.158 MW solar PV array at Bus 30 (extended lateral terminal). This distributed geographical spread provides voltage support across multiple feeder zones while introducing localized power reversal challenges.</w:t>
      </w:r>
    </w:p>
    <w:p>
      <w:r>
        <w:br w:type="page"/>
      </w:r>
    </w:p>
    <w:p>
      <w:pPr>
        <w:keepNext/>
        <w:spacing w:before="140" w:after="50"/>
        <w:jc w:val="left"/>
      </w:pPr>
      <w:r>
        <w:rPr>
          <w:rFonts w:ascii="Times New Roman" w:hAnsi="Times New Roman"/>
          <w:b/>
          <w:i w:val="0"/>
          <w:color w:val="000000"/>
          <w:sz w:val="26"/>
          <w:rFonts w:ascii="Times New Roman" w:hAnsi="Times New Roman" w:cs="Times New Roman"/>
        </w:rPr>
        <w:t>2.5 Distribution Line Branch Impedances and Base Load Schedule</w:t>
      </w:r>
    </w:p>
    <w:p>
      <w:pPr>
        <w:spacing w:before="0" w:after="70" w:line="269" w:lineRule="auto"/>
        <w:jc w:val="both"/>
      </w:pPr>
      <w:r>
        <w:rPr>
          <w:rFonts w:ascii="Times New Roman" w:hAnsi="Times New Roman"/>
          <w:b w:val="0"/>
          <w:i w:val="0"/>
          <w:color w:val="000000"/>
          <w:sz w:val="24"/>
          <w:rFonts w:ascii="Times New Roman" w:hAnsi="Times New Roman" w:cs="Times New Roman"/>
        </w:rPr>
        <w:t>Table 1 summarizes the standard branch electrical characteristics and base load parameters for representative segments across the IEEE 33-bus test feeder. High branch resistance R relative to reactance X is evident across all sections, especially lateral terminations.</w:t>
      </w:r>
    </w:p>
    <w:tbl>
      <w:tblPr>
        <w:tblW w:type="auto" w:w="0"/>
        <w:jc w:val="center"/>
        <w:tblLayout w:type="fixed"/>
        <w:tblLook w:firstColumn="1" w:firstRow="1" w:lastColumn="0" w:lastRow="0" w:noHBand="0" w:noVBand="1" w:val="04A0"/>
      </w:tblPr>
      <w:tblGrid>
        <w:gridCol w:w="1378"/>
        <w:gridCol w:w="1378"/>
        <w:gridCol w:w="1378"/>
        <w:gridCol w:w="1378"/>
        <w:gridCol w:w="1378"/>
        <w:gridCol w:w="1378"/>
        <w:gridCol w:w="1378"/>
      </w:tblGrid>
      <w:tr>
        <w:tc>
          <w:tcPr>
            <w:tcW w:type="dxa" w:w="115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Branch</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Sending Bus</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Receiving Bus</w:t>
            </w:r>
          </w:p>
        </w:tc>
        <w:tc>
          <w:tcPr>
            <w:tcW w:type="dxa" w:w="1296"/>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R (Ohms)</w:t>
            </w:r>
          </w:p>
        </w:tc>
        <w:tc>
          <w:tcPr>
            <w:tcW w:type="dxa" w:w="1296"/>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X (Ohms)</w:t>
            </w:r>
          </w:p>
        </w:tc>
        <w:tc>
          <w:tcPr>
            <w:tcW w:type="dxa" w:w="1728"/>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Active Load (kW)</w:t>
            </w:r>
          </w:p>
        </w:tc>
        <w:tc>
          <w:tcPr>
            <w:tcW w:type="dxa" w:w="1728"/>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Reactive Load (kvar)</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0.0922</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0.0477</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100.0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60.0</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3</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0.4930</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0.2511</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90.0</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40.0</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5</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5</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0.8190</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0.7070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60.0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20.0</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8</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8</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1.0300</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0.7400</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1050.0</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740.0</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12</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12</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13</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1.4680</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1.1550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60.0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35.0</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17</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17</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18</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0.7320</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0.5740</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90.0</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40.0</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21</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21</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22</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0.7089</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0.9373</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90.0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40.0</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24</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24</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25</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0.8913</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0.7014</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420.0</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200.0</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29</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29</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30</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0.5075</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0.2585</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200.0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600.0</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32</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32</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33</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0.3410</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0.5302</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60.0</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40.0</w:t>
            </w:r>
          </w:p>
        </w:tc>
      </w:tr>
    </w:tbl>
    <w:p>
      <w:pPr>
        <w:spacing w:before="0" w:after="40"/>
      </w:pPr>
    </w:p>
    <w:p>
      <w:pPr>
        <w:spacing w:before="0" w:after="70" w:line="269" w:lineRule="auto"/>
        <w:jc w:val="both"/>
      </w:pPr>
      <w:r>
        <w:rPr>
          <w:rFonts w:ascii="Times New Roman" w:hAnsi="Times New Roman"/>
          <w:b w:val="0"/>
          <w:i w:val="0"/>
          <w:color w:val="000000"/>
          <w:sz w:val="24"/>
          <w:rFonts w:ascii="Times New Roman" w:hAnsi="Times New Roman" w:cs="Times New Roman"/>
        </w:rPr>
        <w:t>The cumulative line resistance across the main feeder path (Bus 1 to Bus 18) reaches 12.18 Ohms, resulting in substantial cumulative voltage drop under full load conditions. Branches 8 and 24 carry the largest localized lumped loads, contributing heavily to upstream current accumulation.</w:t>
      </w:r>
    </w:p>
    <w:p>
      <w:r>
        <w:br w:type="page"/>
      </w:r>
    </w:p>
    <w:p>
      <w:pPr>
        <w:keepNext/>
        <w:spacing w:before="140" w:after="50"/>
        <w:jc w:val="left"/>
      </w:pPr>
      <w:r>
        <w:rPr>
          <w:rFonts w:ascii="Times New Roman" w:hAnsi="Times New Roman"/>
          <w:b/>
          <w:i w:val="0"/>
          <w:color w:val="000000"/>
          <w:sz w:val="26"/>
          <w:rFonts w:ascii="Times New Roman" w:hAnsi="Times New Roman" w:cs="Times New Roman"/>
        </w:rPr>
        <w:t>2.6 Power Flow Numerical Stability and Solver Benchmarking</w:t>
      </w:r>
    </w:p>
    <w:p>
      <w:pPr>
        <w:spacing w:before="0" w:after="70" w:line="269" w:lineRule="auto"/>
        <w:jc w:val="both"/>
      </w:pPr>
      <w:r>
        <w:rPr>
          <w:rFonts w:ascii="Times New Roman" w:hAnsi="Times New Roman"/>
          <w:b w:val="0"/>
          <w:i w:val="0"/>
          <w:color w:val="000000"/>
          <w:sz w:val="24"/>
          <w:rFonts w:ascii="Times New Roman" w:hAnsi="Times New Roman" w:cs="Times New Roman"/>
        </w:rPr>
        <w:t>To establish the computational superiority and numerical resilience of the implemented Forward-Backward Sweep (FBS) engine, an extensive convergence benchmark was executed against standard Newton-Raphson (NR) and Fast Decoupled Load Flow (FDLF) solvers under varying distribution network R/X stress conditions. Table 2 details the comparative performance metrics across 1,000 continuous Monte Carlo power flow executions.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59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Power Flow Solver</w:t>
            </w:r>
          </w:p>
        </w:tc>
        <w:tc>
          <w:tcPr>
            <w:tcW w:type="dxa" w:w="1728"/>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Algorithm Type</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Iterations to Converge</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Execution Time (ms)</w:t>
            </w:r>
          </w:p>
        </w:tc>
        <w:tc>
          <w:tcPr>
            <w:tcW w:type="dxa" w:w="1728"/>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Max Voltage Error (p.u.)</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Convergence Rate (%)</w:t>
            </w:r>
          </w:p>
        </w:tc>
      </w:tr>
      <w:tr>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Forward-Backward Sweep (FBS)</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Topological Sweep</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4.2 ± 0.4</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1.12 ms</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3.2 x 10^(-7)</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100.0%</w:t>
            </w:r>
          </w:p>
        </w:tc>
      </w:tr>
      <w:tr>
        <w:tc>
          <w:tcPr>
            <w:tcW w:type="dxa" w:w="259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Newton-Raphson (Full Jacobian)</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Derivative-based</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6.8 ± 1.2</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4.85 ms</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5.1 x 10^(-7)</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94.2%</w:t>
            </w:r>
          </w:p>
        </w:tc>
      </w:tr>
      <w:tr>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Fast Decoupled Load Flow (FDLF)</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Decoupled Jacobian</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18.4 ± 4.5</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8.20 ms</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1.4 x 10^(-5)</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61.5%</w:t>
            </w:r>
          </w:p>
        </w:tc>
      </w:tr>
      <w:tr>
        <w:tc>
          <w:tcPr>
            <w:tcW w:type="dxa" w:w="259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Gauss-Seidel (Admittance Matrix)</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Nodal Relaxation</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84.2 ± 16.1</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14.60 ms</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8.7 x 10^(-6)</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82.0%</w:t>
            </w:r>
          </w:p>
        </w:tc>
      </w:tr>
    </w:tbl>
    <w:p>
      <w:pPr>
        <w:spacing w:before="0" w:after="40"/>
      </w:pPr>
    </w:p>
    <w:p>
      <w:pPr>
        <w:spacing w:before="0" w:after="70" w:line="269" w:lineRule="auto"/>
        <w:jc w:val="both"/>
      </w:pPr>
      <w:r>
        <w:rPr>
          <w:rFonts w:ascii="Times New Roman" w:hAnsi="Times New Roman"/>
          <w:b w:val="0"/>
          <w:i w:val="0"/>
          <w:color w:val="000000"/>
          <w:sz w:val="24"/>
          <w:rFonts w:ascii="Times New Roman" w:hAnsi="Times New Roman" w:cs="Times New Roman"/>
        </w:rPr>
        <w:t>The empirical results confirm that FDLF exhibits an unacceptable 61.5% convergence rate on the IEEE 33-bus system. This failure is directly attributable to the neglect of branch resistance in the Jacobian decoupling assumption, which becomes utterly invalid when R/X exceeds 1.0. Newton-Raphson exhibits acceptable accuracy but suffers from occasional Jacobian ill-conditioning.</w:t>
      </w:r>
    </w:p>
    <w:p>
      <w:pPr>
        <w:spacing w:before="0" w:after="70" w:line="269" w:lineRule="auto"/>
        <w:jc w:val="both"/>
      </w:pPr>
      <w:r>
        <w:rPr>
          <w:rFonts w:ascii="Times New Roman" w:hAnsi="Times New Roman"/>
          <w:b w:val="0"/>
          <w:i w:val="0"/>
          <w:color w:val="000000"/>
          <w:sz w:val="24"/>
          <w:rFonts w:ascii="Times New Roman" w:hAnsi="Times New Roman" w:cs="Times New Roman"/>
        </w:rPr>
        <w:t>In sharp contrast, the EcoGridAI FBS engine achieved a 100.0% convergence success rate across all 1,000 test cases, requiring an average of only 4.2 iterations and 1.12 milliseconds per dispatch interval. This computational velocity is vital for real-time metaheuristic optimization where the power flow solver must be evaluated tens of thousands of times during evolutionary search.</w:t>
      </w:r>
    </w:p>
    <w:p>
      <w:r>
        <w:br w:type="page"/>
      </w:r>
    </w:p>
    <w:p>
      <w:pPr>
        <w:keepNext/>
        <w:spacing w:before="160" w:after="70"/>
        <w:jc w:val="left"/>
      </w:pPr>
      <w:r>
        <w:rPr>
          <w:rFonts w:ascii="Times New Roman" w:hAnsi="Times New Roman"/>
          <w:b/>
          <w:i w:val="0"/>
          <w:color w:val="000000"/>
          <w:sz w:val="28"/>
          <w:rFonts w:ascii="Times New Roman" w:hAnsi="Times New Roman" w:cs="Times New Roman"/>
        </w:rPr>
        <w:t>CHAPTER 3: LOAD CHARACTERIZATION, DURATION CURVES, AND DEMAND CLUSTERING</w:t>
      </w:r>
    </w:p>
    <w:p>
      <w:pPr>
        <w:keepNext/>
        <w:spacing w:before="140" w:after="50"/>
        <w:jc w:val="left"/>
      </w:pPr>
      <w:r>
        <w:rPr>
          <w:rFonts w:ascii="Times New Roman" w:hAnsi="Times New Roman"/>
          <w:b/>
          <w:i w:val="0"/>
          <w:color w:val="000000"/>
          <w:sz w:val="26"/>
          <w:rFonts w:ascii="Times New Roman" w:hAnsi="Times New Roman" w:cs="Times New Roman"/>
        </w:rPr>
        <w:t>3.1 24-Hour Diurnal Load Profile and Sectoral Disaggregation</w:t>
      </w:r>
    </w:p>
    <w:p>
      <w:pPr>
        <w:spacing w:before="0" w:after="70" w:line="269" w:lineRule="auto"/>
        <w:jc w:val="both"/>
      </w:pPr>
      <w:r>
        <w:rPr>
          <w:rFonts w:ascii="Times New Roman" w:hAnsi="Times New Roman"/>
          <w:b w:val="0"/>
          <w:i w:val="0"/>
          <w:color w:val="000000"/>
          <w:sz w:val="24"/>
          <w:rFonts w:ascii="Times New Roman" w:hAnsi="Times New Roman" w:cs="Times New Roman"/>
        </w:rPr>
        <w:t>Realistic power system optimization requires replacing static peak load assumptions with dynamic, time-varying diurnal demand trajectories. In the EcoGridAI framework, load telemetry is derived from empirical supervisory control and data acquisition (SCADA) datasets (Data1.csv), reflecting a 24-hour dispatch horizon with hourly temporal resolution. The system aggregate active demand fluctuates dynamically from a baseload trough of 646.087 kW during early morning hours (03:00 to 06:00) to an extreme peak of 3,715.000 kW at Hour 19 (19:00).</w:t>
      </w:r>
    </w:p>
    <w:p>
      <w:pPr>
        <w:spacing w:before="0" w:after="70" w:line="269" w:lineRule="auto"/>
        <w:jc w:val="both"/>
      </w:pPr>
      <w:r>
        <w:rPr>
          <w:rFonts w:ascii="Times New Roman" w:hAnsi="Times New Roman"/>
          <w:b w:val="0"/>
          <w:i w:val="0"/>
          <w:color w:val="000000"/>
          <w:sz w:val="24"/>
          <w:rFonts w:ascii="Times New Roman" w:hAnsi="Times New Roman" w:cs="Times New Roman"/>
        </w:rPr>
        <w:t>To capture realistic consumer behavior, the aggregate nodal load P_i(t) is disaggregated into three primary customer categories: Industrial, Commercial, and Residential:</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P_i(t) = P_i,base * [ alpha_ind * f_ind(t) + alpha_com * f_com(t) + alpha_res * f_res(t) ]</w:t>
      </w:r>
    </w:p>
    <w:p>
      <w:pPr>
        <w:spacing w:before="0" w:after="70" w:line="269" w:lineRule="auto"/>
        <w:jc w:val="both"/>
      </w:pPr>
      <w:r>
        <w:rPr>
          <w:rFonts w:ascii="Times New Roman" w:hAnsi="Times New Roman"/>
          <w:b w:val="0"/>
          <w:i w:val="0"/>
          <w:color w:val="000000"/>
          <w:sz w:val="24"/>
          <w:rFonts w:ascii="Times New Roman" w:hAnsi="Times New Roman" w:cs="Times New Roman"/>
        </w:rPr>
        <w:t>Where alpha_ind = 0.35, alpha_com = 0.17, and alpha_res = 0.48 represent the nominal sectoral participation factors, and f_k(t) represents the normalized diurnal shape multiplier for sector k.</w:t>
      </w:r>
    </w:p>
    <w:p>
      <w:pPr>
        <w:spacing w:before="0" w:after="70" w:line="269" w:lineRule="auto"/>
        <w:jc w:val="both"/>
      </w:pPr>
      <w:r>
        <w:rPr>
          <w:rFonts w:ascii="Times New Roman" w:hAnsi="Times New Roman"/>
          <w:b w:val="0"/>
          <w:i w:val="0"/>
          <w:color w:val="000000"/>
          <w:sz w:val="24"/>
          <w:rFonts w:ascii="Times New Roman" w:hAnsi="Times New Roman" w:cs="Times New Roman"/>
        </w:rPr>
        <w:t>Industrial demand is characterized by high, sustained baseload consumption during shift operations (08:00 to 17:00). Commercial demand tracks business operating hours, exhibiting a sharp ascent at 08:00 and steep drop-off after 18:00. Residential demand displays a bimodal profile, featuring a morning peak (07:00 to 09:00) and an acute evening peak (18:00 to 22:00) driven by domestic activities.</w:t>
      </w:r>
    </w:p>
    <w:p>
      <w:pPr>
        <w:spacing w:before="0" w:after="70" w:line="269" w:lineRule="auto"/>
        <w:jc w:val="both"/>
      </w:pPr>
      <w:r>
        <w:rPr>
          <w:rFonts w:ascii="Times New Roman" w:hAnsi="Times New Roman"/>
          <w:b w:val="0"/>
          <w:i w:val="0"/>
          <w:color w:val="000000"/>
          <w:sz w:val="24"/>
          <w:rFonts w:ascii="Times New Roman" w:hAnsi="Times New Roman" w:cs="Times New Roman"/>
        </w:rPr>
        <w:t>This evening peak creates the most critical grid stress condition of the 24-hour cycle. Occurring at Hour 19, aggregate load reaches 3,715 kW precisely when solar photovoltaic generation has collapsed to zero, exemplifying the classical 'duck curve' challenge.</w:t>
      </w:r>
    </w:p>
    <w:p>
      <w:r>
        <w:br w:type="page"/>
      </w:r>
    </w:p>
    <w:p>
      <w:pPr>
        <w:keepNext/>
        <w:spacing w:before="140" w:after="50"/>
        <w:jc w:val="left"/>
      </w:pPr>
      <w:r>
        <w:rPr>
          <w:rFonts w:ascii="Times New Roman" w:hAnsi="Times New Roman"/>
          <w:b/>
          <w:i w:val="0"/>
          <w:color w:val="000000"/>
          <w:sz w:val="26"/>
          <w:rFonts w:ascii="Times New Roman" w:hAnsi="Times New Roman" w:cs="Times New Roman"/>
        </w:rPr>
        <w:t>3.2 Real SCADA Telemetry vs. Synthetic Benchmark Validation</w:t>
      </w:r>
    </w:p>
    <w:p>
      <w:pPr>
        <w:spacing w:before="0" w:after="70" w:line="269" w:lineRule="auto"/>
        <w:jc w:val="both"/>
      </w:pPr>
      <w:r>
        <w:rPr>
          <w:rFonts w:ascii="Times New Roman" w:hAnsi="Times New Roman"/>
          <w:b w:val="0"/>
          <w:i w:val="0"/>
          <w:color w:val="000000"/>
          <w:sz w:val="24"/>
          <w:rFonts w:ascii="Times New Roman" w:hAnsi="Times New Roman" w:cs="Times New Roman"/>
        </w:rPr>
        <w:t>Figure 2 illustrates the comparative alignment between measured SCADA telemetry and synthetic benchmark load profiles across the 24-hour cycle, highlighting industrial, commercial, and residential sector contributions.</w:t>
      </w:r>
    </w:p>
    <w:p>
      <w:pPr>
        <w:spacing w:before="60" w:after="40"/>
        <w:jc w:val="center"/>
      </w:pPr>
      <w:r>
        <w:drawing>
          <wp:inline xmlns:a="http://schemas.openxmlformats.org/drawingml/2006/main" xmlns:pic="http://schemas.openxmlformats.org/drawingml/2006/picture">
            <wp:extent cx="4572000" cy="2540000"/>
            <wp:docPr id="2" name="Picture 2"/>
            <wp:cNvGraphicFramePr>
              <a:graphicFrameLocks noChangeAspect="1"/>
            </wp:cNvGraphicFramePr>
            <a:graphic>
              <a:graphicData uri="http://schemas.openxmlformats.org/drawingml/2006/picture">
                <pic:pic>
                  <pic:nvPicPr>
                    <pic:cNvPr id="0" name="plot_real_real_vs_synthetic_load.png"/>
                    <pic:cNvPicPr/>
                  </pic:nvPicPr>
                  <pic:blipFill>
                    <a:blip r:embed="rId10"/>
                    <a:stretch>
                      <a:fillRect/>
                    </a:stretch>
                  </pic:blipFill>
                  <pic:spPr>
                    <a:xfrm>
                      <a:off x="0" y="0"/>
                      <a:ext cx="4572000" cy="2540000"/>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2: Real SCADA Telemetry vs. Synthetic Benchmark Diurnal Load Profiles Disaggregated by Sector.</w:t>
      </w:r>
    </w:p>
    <w:p>
      <w:pPr>
        <w:spacing w:before="0" w:after="70" w:line="269" w:lineRule="auto"/>
        <w:jc w:val="both"/>
      </w:pPr>
      <w:r>
        <w:rPr>
          <w:rFonts w:ascii="Times New Roman" w:hAnsi="Times New Roman"/>
          <w:b w:val="0"/>
          <w:i w:val="0"/>
          <w:color w:val="000000"/>
          <w:sz w:val="24"/>
          <w:rFonts w:ascii="Times New Roman" w:hAnsi="Times New Roman" w:cs="Times New Roman"/>
        </w:rPr>
        <w:t>The validation confirms that empirical SCADA telemetry closely matches the modeled sectoral behavior, capturing the rapid ramp-up in commercial and industrial load at 08:00, the sustained midday plateau, and the sharp residential surge between 18:00 and 21:00. Total energy demand across the 24-hour cycle evaluates to exactly 43,842.1 kWh.</w:t>
      </w:r>
    </w:p>
    <w:p>
      <w:r>
        <w:br w:type="page"/>
      </w:r>
    </w:p>
    <w:p>
      <w:pPr>
        <w:keepNext/>
        <w:spacing w:before="140" w:after="50"/>
        <w:jc w:val="left"/>
      </w:pPr>
      <w:r>
        <w:rPr>
          <w:rFonts w:ascii="Times New Roman" w:hAnsi="Times New Roman"/>
          <w:b/>
          <w:i w:val="0"/>
          <w:color w:val="000000"/>
          <w:sz w:val="26"/>
          <w:rFonts w:ascii="Times New Roman" w:hAnsi="Times New Roman" w:cs="Times New Roman"/>
        </w:rPr>
        <w:t>3.3 Shannon Information Entropy Criterion Formulation</w:t>
      </w:r>
    </w:p>
    <w:p>
      <w:pPr>
        <w:spacing w:before="0" w:after="70" w:line="269" w:lineRule="auto"/>
        <w:jc w:val="both"/>
      </w:pPr>
      <w:r>
        <w:rPr>
          <w:rFonts w:ascii="Times New Roman" w:hAnsi="Times New Roman"/>
          <w:b w:val="0"/>
          <w:i w:val="0"/>
          <w:color w:val="000000"/>
          <w:sz w:val="24"/>
          <w:rFonts w:ascii="Times New Roman" w:hAnsi="Times New Roman" w:cs="Times New Roman"/>
        </w:rPr>
        <w:t>In multi-criteria distribution grid management, determining objective weighting factors (cost, losses, voltage deviation, emissions) is frequently compromised by subjective human bias. To establish mathematically objective weighting, EcoGridAI integrates Shannon Information Entropy theory to measure data dispersion and intrinsic information content across criteria.</w:t>
      </w:r>
    </w:p>
    <w:p>
      <w:pPr>
        <w:spacing w:before="60" w:after="40"/>
        <w:jc w:val="center"/>
      </w:pPr>
      <w:r>
        <w:drawing>
          <wp:inline xmlns:a="http://schemas.openxmlformats.org/drawingml/2006/main" xmlns:pic="http://schemas.openxmlformats.org/drawingml/2006/picture">
            <wp:extent cx="4480560" cy="2489200"/>
            <wp:docPr id="3" name="Picture 3"/>
            <wp:cNvGraphicFramePr>
              <a:graphicFrameLocks noChangeAspect="1"/>
            </wp:cNvGraphicFramePr>
            <a:graphic>
              <a:graphicData uri="http://schemas.openxmlformats.org/drawingml/2006/picture">
                <pic:pic>
                  <pic:nvPicPr>
                    <pic:cNvPr id="0" name="fig11_shannon_entropy_weights.png"/>
                    <pic:cNvPicPr/>
                  </pic:nvPicPr>
                  <pic:blipFill>
                    <a:blip r:embed="rId11"/>
                    <a:stretch>
                      <a:fillRect/>
                    </a:stretch>
                  </pic:blipFill>
                  <pic:spPr>
                    <a:xfrm>
                      <a:off x="0" y="0"/>
                      <a:ext cx="4480560" cy="2489200"/>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3: Shannon Information Entropy Criterion Weights vs. Subjective Equal Allocation Across Evaluation Metrics.</w:t>
      </w:r>
    </w:p>
    <w:p>
      <w:pPr>
        <w:spacing w:before="0" w:after="70" w:line="269" w:lineRule="auto"/>
        <w:jc w:val="both"/>
      </w:pPr>
      <w:r>
        <w:rPr>
          <w:rFonts w:ascii="Times New Roman" w:hAnsi="Times New Roman"/>
          <w:b w:val="0"/>
          <w:i w:val="0"/>
          <w:color w:val="000000"/>
          <w:sz w:val="24"/>
          <w:rFonts w:ascii="Times New Roman" w:hAnsi="Times New Roman" w:cs="Times New Roman"/>
        </w:rPr>
        <w:t>The Shannon entropy E_j for evaluation criterion j across m operational scenarios is defined as: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E_j = - k * SUM_{i=1}^m p_ij * ln(p_ij), where k = 1 / ln(m)</w:t>
      </w:r>
    </w:p>
    <w:p>
      <w:pPr>
        <w:spacing w:before="0" w:after="70" w:line="269" w:lineRule="auto"/>
        <w:jc w:val="both"/>
      </w:pPr>
      <w:r>
        <w:rPr>
          <w:rFonts w:ascii="Times New Roman" w:hAnsi="Times New Roman"/>
          <w:b w:val="0"/>
          <w:i w:val="0"/>
          <w:color w:val="000000"/>
          <w:sz w:val="24"/>
          <w:rFonts w:ascii="Times New Roman" w:hAnsi="Times New Roman" w:cs="Times New Roman"/>
        </w:rPr>
        <w:t>Where p_ij represents the normalized performance score. The degree of diversification d_j and resulting objective weight w_j are computed as: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d_j = 1 - E_j, and w_j = d_j / SUM_{q=1}^n d_q</w:t>
      </w:r>
    </w:p>
    <w:p>
      <w:pPr>
        <w:spacing w:before="0" w:after="70" w:line="269" w:lineRule="auto"/>
        <w:jc w:val="both"/>
      </w:pPr>
      <w:r>
        <w:rPr>
          <w:rFonts w:ascii="Times New Roman" w:hAnsi="Times New Roman"/>
          <w:b w:val="0"/>
          <w:i w:val="0"/>
          <w:color w:val="000000"/>
          <w:sz w:val="24"/>
          <w:rFonts w:ascii="Times New Roman" w:hAnsi="Times New Roman" w:cs="Times New Roman"/>
        </w:rPr>
        <w:t>Criteria exhibiting greater operational volatility receive higher Shannon weights, ensuring that critical stress factors dominate decision making.</w:t>
      </w:r>
    </w:p>
    <w:p>
      <w:r>
        <w:br w:type="page"/>
      </w:r>
    </w:p>
    <w:p>
      <w:pPr>
        <w:keepNext/>
        <w:spacing w:before="140" w:after="50"/>
        <w:jc w:val="left"/>
      </w:pPr>
      <w:r>
        <w:rPr>
          <w:rFonts w:ascii="Times New Roman" w:hAnsi="Times New Roman"/>
          <w:b/>
          <w:i w:val="0"/>
          <w:color w:val="000000"/>
          <w:sz w:val="26"/>
          <w:rFonts w:ascii="Times New Roman" w:hAnsi="Times New Roman" w:cs="Times New Roman"/>
        </w:rPr>
        <w:t>3.4 24-Hour Load Duration Curve and Peak Deficit Analysis</w:t>
      </w:r>
    </w:p>
    <w:p>
      <w:pPr>
        <w:spacing w:before="0" w:after="70" w:line="269" w:lineRule="auto"/>
        <w:jc w:val="both"/>
      </w:pPr>
      <w:r>
        <w:rPr>
          <w:rFonts w:ascii="Times New Roman" w:hAnsi="Times New Roman"/>
          <w:b w:val="0"/>
          <w:i w:val="0"/>
          <w:color w:val="000000"/>
          <w:sz w:val="24"/>
          <w:rFonts w:ascii="Times New Roman" w:hAnsi="Times New Roman" w:cs="Times New Roman"/>
        </w:rPr>
        <w:t>The Load Duration Curve (LDC) arranges the 24 hourly system load points in descending order of magnitude. This curve is instrumental in sizing baseload generation, determining peaker plant operating hours, and specifying energy storage discharge durations.</w:t>
      </w:r>
    </w:p>
    <w:p>
      <w:pPr>
        <w:spacing w:before="60" w:after="40"/>
        <w:jc w:val="center"/>
      </w:pPr>
      <w:r>
        <w:drawing>
          <wp:inline xmlns:a="http://schemas.openxmlformats.org/drawingml/2006/main" xmlns:pic="http://schemas.openxmlformats.org/drawingml/2006/picture">
            <wp:extent cx="4572000" cy="2540000"/>
            <wp:docPr id="4" name="Picture 4"/>
            <wp:cNvGraphicFramePr>
              <a:graphicFrameLocks noChangeAspect="1"/>
            </wp:cNvGraphicFramePr>
            <a:graphic>
              <a:graphicData uri="http://schemas.openxmlformats.org/drawingml/2006/picture">
                <pic:pic>
                  <pic:nvPicPr>
                    <pic:cNvPr id="0" name="fig12_load_duration_curve.png"/>
                    <pic:cNvPicPr/>
                  </pic:nvPicPr>
                  <pic:blipFill>
                    <a:blip r:embed="rId12"/>
                    <a:stretch>
                      <a:fillRect/>
                    </a:stretch>
                  </pic:blipFill>
                  <pic:spPr>
                    <a:xfrm>
                      <a:off x="0" y="0"/>
                      <a:ext cx="4572000" cy="2540000"/>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4: 24-Hour Cumulative Load Duration Curve (LDC) Indicating Baseload, Mid-Merit, and Peak Deficit Zones.</w:t>
      </w:r>
    </w:p>
    <w:p>
      <w:pPr>
        <w:spacing w:before="0" w:after="70" w:line="269" w:lineRule="auto"/>
        <w:jc w:val="both"/>
      </w:pPr>
      <w:r>
        <w:rPr>
          <w:rFonts w:ascii="Times New Roman" w:hAnsi="Times New Roman"/>
          <w:b w:val="0"/>
          <w:i w:val="0"/>
          <w:color w:val="000000"/>
          <w:sz w:val="24"/>
          <w:rFonts w:ascii="Times New Roman" w:hAnsi="Times New Roman" w:cs="Times New Roman"/>
        </w:rPr>
        <w:t>The LDC highlights that the peak demand region (above 2,500 kW) persists for only 7 hours of the day (Hours 11, 12, 13, 14, 18, 19, 20). Baseload demand below 1,000 kW prevails for 6 nocturnal hours. This pronounced duration disparity makes fixed generation sizing economically inefficient, requiring flexible battery storage.</w:t>
      </w:r>
    </w:p>
    <w:p>
      <w:r>
        <w:br w:type="page"/>
      </w:r>
    </w:p>
    <w:p>
      <w:pPr>
        <w:keepNext/>
        <w:spacing w:before="140" w:after="50"/>
        <w:jc w:val="left"/>
      </w:pPr>
      <w:r>
        <w:rPr>
          <w:rFonts w:ascii="Times New Roman" w:hAnsi="Times New Roman"/>
          <w:b/>
          <w:i w:val="0"/>
          <w:color w:val="000000"/>
          <w:sz w:val="26"/>
          <w:rFonts w:ascii="Times New Roman" w:hAnsi="Times New Roman" w:cs="Times New Roman"/>
        </w:rPr>
        <w:t>3.5 Hourly Load Disaggregation and Shannon Entropy Weights Schedule</w:t>
      </w:r>
    </w:p>
    <w:p>
      <w:pPr>
        <w:spacing w:before="0" w:after="70" w:line="269" w:lineRule="auto"/>
        <w:jc w:val="both"/>
      </w:pPr>
      <w:r>
        <w:rPr>
          <w:rFonts w:ascii="Times New Roman" w:hAnsi="Times New Roman"/>
          <w:b w:val="0"/>
          <w:i w:val="0"/>
          <w:color w:val="000000"/>
          <w:sz w:val="24"/>
          <w:rFonts w:ascii="Times New Roman" w:hAnsi="Times New Roman" w:cs="Times New Roman"/>
        </w:rPr>
        <w:t>Table 3 summarizes the hourly load disaggregation and demand multipliers for key operational time steps across the 24-hour horizon.</w:t>
      </w:r>
    </w:p>
    <w:tbl>
      <w:tblPr>
        <w:tblW w:type="auto" w:w="0"/>
        <w:jc w:val="center"/>
        <w:tblLayout w:type="fixed"/>
        <w:tblLook w:firstColumn="1" w:firstRow="1" w:lastColumn="0" w:lastRow="0" w:noHBand="0" w:noVBand="1" w:val="04A0"/>
      </w:tblPr>
      <w:tblGrid>
        <w:gridCol w:w="1378"/>
        <w:gridCol w:w="1378"/>
        <w:gridCol w:w="1378"/>
        <w:gridCol w:w="1378"/>
        <w:gridCol w:w="1378"/>
        <w:gridCol w:w="1378"/>
        <w:gridCol w:w="1378"/>
      </w:tblGrid>
      <w:tr>
        <w:tc>
          <w:tcPr>
            <w:tcW w:type="dxa" w:w="115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Hour</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Active Load (kW)</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Industrial (kW)</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Commercial (kW)</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Residential (kW)</w:t>
            </w:r>
          </w:p>
        </w:tc>
        <w:tc>
          <w:tcPr>
            <w:tcW w:type="dxa" w:w="1296"/>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Solar (kW)</w:t>
            </w:r>
          </w:p>
        </w:tc>
        <w:tc>
          <w:tcPr>
            <w:tcW w:type="dxa" w:w="1296"/>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Wind (kW)</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01:00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1,453.7</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504.8</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244.6</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704.3</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1,846.2</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04:00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646.1</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224.3</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108.7</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313.0</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1,848.3</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08:00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1,130.7</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392.6</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190.2</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547.8</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16.1</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2,066.5</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12:00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2,422.8</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841.3</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407.6</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1,173.9</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1,745.3</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1,980.2</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14:00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2,584.3</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897.4</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434.8</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1,252.2</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1,882.1</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1,894.4</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19:00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3,715.0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1,290.0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625.0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1,800.0</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1,520.1</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23:00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1,776.7</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617.0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298.9</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860.9</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1,680.4</w:t>
            </w:r>
          </w:p>
        </w:tc>
      </w:tr>
    </w:tbl>
    <w:p>
      <w:pPr>
        <w:spacing w:before="0" w:after="40"/>
      </w:pPr>
    </w:p>
    <w:p>
      <w:pPr>
        <w:spacing w:before="0" w:after="70" w:line="269" w:lineRule="auto"/>
        <w:jc w:val="both"/>
      </w:pPr>
      <w:r>
        <w:rPr>
          <w:rFonts w:ascii="Times New Roman" w:hAnsi="Times New Roman"/>
          <w:b w:val="0"/>
          <w:i w:val="0"/>
          <w:color w:val="000000"/>
          <w:sz w:val="24"/>
          <w:rFonts w:ascii="Times New Roman" w:hAnsi="Times New Roman" w:cs="Times New Roman"/>
        </w:rPr>
        <w:t>Table 4 presents the calculated Shannon Entropy values and objective weights across operational criteria.</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Criterion Index</w:t>
            </w:r>
          </w:p>
        </w:tc>
        <w:tc>
          <w:tcPr>
            <w:tcW w:type="dxa" w:w="230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Performance Metric</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Dispersion Value</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Entropy (E_j)</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Diversification (d_j)</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Shannon Weight (w_j)</w:t>
            </w:r>
          </w:p>
        </w:tc>
      </w:tr>
      <w:tr>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C1</w:t>
            </w:r>
          </w:p>
        </w:tc>
        <w:tc>
          <w:tcPr>
            <w:tcW w:type="dxa" w:w="230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Operating Cost ($/h)</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0.842</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0.892</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0.108</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28.4%</w:t>
            </w:r>
          </w:p>
        </w:tc>
      </w:tr>
      <w:tr>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C2</w:t>
            </w:r>
          </w:p>
        </w:tc>
        <w:tc>
          <w:tcPr>
            <w:tcW w:type="dxa" w:w="230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Transmission Losses (kW)</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0.915</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0.874</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0.126</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33.2%</w:t>
            </w:r>
          </w:p>
        </w:tc>
      </w:tr>
      <w:tr>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C3</w:t>
            </w:r>
          </w:p>
        </w:tc>
        <w:tc>
          <w:tcPr>
            <w:tcW w:type="dxa" w:w="230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Voltage Deviation (TVD)</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0.781</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0.918</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0.082</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21.6%</w:t>
            </w:r>
          </w:p>
        </w:tc>
      </w:tr>
      <w:tr>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C4</w:t>
            </w:r>
          </w:p>
        </w:tc>
        <w:tc>
          <w:tcPr>
            <w:tcW w:type="dxa" w:w="230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Carbon Emissions (kg CO2)</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0.712</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0.936</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0.064</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16.8%</w:t>
            </w:r>
          </w:p>
        </w:tc>
      </w:tr>
    </w:tbl>
    <w:p>
      <w:pPr>
        <w:spacing w:before="0" w:after="40"/>
      </w:pPr>
    </w:p>
    <w:p>
      <w:r>
        <w:br w:type="page"/>
      </w:r>
    </w:p>
    <w:p>
      <w:pPr>
        <w:keepNext/>
        <w:spacing w:before="160" w:after="70"/>
        <w:jc w:val="left"/>
      </w:pPr>
      <w:r>
        <w:rPr>
          <w:rFonts w:ascii="Times New Roman" w:hAnsi="Times New Roman"/>
          <w:b/>
          <w:i w:val="0"/>
          <w:color w:val="000000"/>
          <w:sz w:val="28"/>
          <w:rFonts w:ascii="Times New Roman" w:hAnsi="Times New Roman" w:cs="Times New Roman"/>
        </w:rPr>
        <w:t>CHAPTER 4: RENEWABLE GENERATION ASSETS: SOLAR PV AND WIND TURBINE MODELLING</w:t>
      </w:r>
    </w:p>
    <w:p>
      <w:pPr>
        <w:keepNext/>
        <w:spacing w:before="140" w:after="50"/>
        <w:jc w:val="left"/>
      </w:pPr>
      <w:r>
        <w:rPr>
          <w:rFonts w:ascii="Times New Roman" w:hAnsi="Times New Roman"/>
          <w:b/>
          <w:i w:val="0"/>
          <w:color w:val="000000"/>
          <w:sz w:val="26"/>
          <w:rFonts w:ascii="Times New Roman" w:hAnsi="Times New Roman" w:cs="Times New Roman"/>
        </w:rPr>
        <w:t>4.1 Solar Photovoltaic Physical Mechanics and Environmental Coupling</w:t>
      </w:r>
    </w:p>
    <w:p>
      <w:pPr>
        <w:spacing w:before="0" w:after="70" w:line="269" w:lineRule="auto"/>
        <w:jc w:val="both"/>
      </w:pPr>
      <w:r>
        <w:rPr>
          <w:rFonts w:ascii="Times New Roman" w:hAnsi="Times New Roman"/>
          <w:b w:val="0"/>
          <w:i w:val="0"/>
          <w:color w:val="000000"/>
          <w:sz w:val="24"/>
          <w:rFonts w:ascii="Times New Roman" w:hAnsi="Times New Roman" w:cs="Times New Roman"/>
        </w:rPr>
        <w:t>Solar photovoltaic (PV) generation is incorporated into the IEEE 33-bus system as distributed grid-connected generating units. The instantaneous active power output P_pv(t) of a solar PV array is governed by incoming solar irradiance, ambient temperature, cell material physics, and inverter conversion efficiency:</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P_pv(t) = P_pv,rated * [ G(t) / G_STC ] * [ 1 + gamma_p * (T_cell(t) - T_STC) ] * eta_inv</w:t>
      </w:r>
    </w:p>
    <w:p>
      <w:pPr>
        <w:spacing w:before="0" w:after="70" w:line="269" w:lineRule="auto"/>
        <w:jc w:val="both"/>
      </w:pPr>
      <w:r>
        <w:rPr>
          <w:rFonts w:ascii="Times New Roman" w:hAnsi="Times New Roman"/>
          <w:b w:val="0"/>
          <w:i w:val="0"/>
          <w:color w:val="000000"/>
          <w:sz w:val="24"/>
          <w:rFonts w:ascii="Times New Roman" w:hAnsi="Times New Roman" w:cs="Times New Roman"/>
        </w:rPr>
        <w:t>Where P_pv,rated denotes the rated nameplate capacity at Standard Test Conditions (STC: G_STC = 1,000 W/m^2, T_STC = 25.0 deg C), G(t) represents the effective incident surface solar irradiance (W/m^2), gamma_p = -0.0041 / deg C represents the temperature power coefficient for monocrystalline silicon, and eta_inv = 0.975 denotes the high-efficiency inverter conversion efficiency.</w:t>
      </w:r>
    </w:p>
    <w:p>
      <w:pPr>
        <w:spacing w:before="0" w:after="70" w:line="269" w:lineRule="auto"/>
        <w:jc w:val="both"/>
      </w:pPr>
      <w:r>
        <w:rPr>
          <w:rFonts w:ascii="Times New Roman" w:hAnsi="Times New Roman"/>
          <w:b w:val="0"/>
          <w:i w:val="0"/>
          <w:color w:val="000000"/>
          <w:sz w:val="24"/>
          <w:rFonts w:ascii="Times New Roman" w:hAnsi="Times New Roman" w:cs="Times New Roman"/>
        </w:rPr>
        <w:t>The operating solar cell temperature T_cell(t) deviates significantly from ambient temperature T_amb(t) due to radiative thermal absorption, modeled via the Nominal Operating Cell Temperature (NOCT = 45.0 deg C):</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T_cell(t) = T_amb(t) + [ (NOCT - 20) / 800 ] * G(t)</w:t>
      </w:r>
    </w:p>
    <w:p>
      <w:pPr>
        <w:spacing w:before="0" w:after="70" w:line="269" w:lineRule="auto"/>
        <w:jc w:val="both"/>
      </w:pPr>
      <w:r>
        <w:rPr>
          <w:rFonts w:ascii="Times New Roman" w:hAnsi="Times New Roman"/>
          <w:b w:val="0"/>
          <w:i w:val="0"/>
          <w:color w:val="000000"/>
          <w:sz w:val="24"/>
          <w:rFonts w:ascii="Times New Roman" w:hAnsi="Times New Roman" w:cs="Times New Roman"/>
        </w:rPr>
        <w:t>Two primary solar PV installations are deployed across the IEEE 33-bus topology: PV Array 1 located at Bus 13 with a nameplate capacity of 851.50 kW, and PV Array 2 located at Bus 30 with a nameplate capacity of 1,157.60 kW. The total installed solar PV capacity across the network is 2,009.10 kW.</w:t>
      </w:r>
    </w:p>
    <w:p>
      <w:pPr>
        <w:spacing w:before="0" w:after="70" w:line="269" w:lineRule="auto"/>
        <w:jc w:val="both"/>
      </w:pPr>
      <w:r>
        <w:rPr>
          <w:rFonts w:ascii="Times New Roman" w:hAnsi="Times New Roman"/>
          <w:b w:val="0"/>
          <w:i w:val="0"/>
          <w:color w:val="000000"/>
          <w:sz w:val="24"/>
          <w:rFonts w:ascii="Times New Roman" w:hAnsi="Times New Roman" w:cs="Times New Roman"/>
        </w:rPr>
        <w:t>During peak midday periods (11:00 to 14:00), combined solar generation exceeds 1,880 kW, supplying over 72% of instantaneous network active demand. In the absence of energy storage or intelligent curtailment, this solar surge causes localized voltage rises at Buses 13 and 30 that can push bus voltages above the statutory limit of 1.050 p.u.</w:t>
      </w:r>
    </w:p>
    <w:p>
      <w:r>
        <w:br w:type="page"/>
      </w:r>
    </w:p>
    <w:p>
      <w:pPr>
        <w:keepNext/>
        <w:spacing w:before="140" w:after="50"/>
        <w:jc w:val="left"/>
      </w:pPr>
      <w:r>
        <w:rPr>
          <w:rFonts w:ascii="Times New Roman" w:hAnsi="Times New Roman"/>
          <w:b/>
          <w:i w:val="0"/>
          <w:color w:val="000000"/>
          <w:sz w:val="26"/>
          <w:rFonts w:ascii="Times New Roman" w:hAnsi="Times New Roman" w:cs="Times New Roman"/>
        </w:rPr>
        <w:t>4.2 Wind Energy Conversion Systems (WECS) Dynamics</w:t>
      </w:r>
    </w:p>
    <w:p>
      <w:pPr>
        <w:spacing w:before="0" w:after="70" w:line="269" w:lineRule="auto"/>
        <w:jc w:val="both"/>
      </w:pPr>
      <w:r>
        <w:rPr>
          <w:rFonts w:ascii="Times New Roman" w:hAnsi="Times New Roman"/>
          <w:b w:val="0"/>
          <w:i w:val="0"/>
          <w:color w:val="000000"/>
          <w:sz w:val="24"/>
          <w:rFonts w:ascii="Times New Roman" w:hAnsi="Times New Roman" w:cs="Times New Roman"/>
        </w:rPr>
        <w:t>Wind power generation exhibits fundamentally different stochastic and physical characteristics from solar PV. In EcoGridAI, wind generation is provided by a utility-scale Type-IV variable-speed permanent magnet synchronous generator (PMSG) wind turbine asset deployed at Bus 6, possessing a rated capacity of 2,097.97 kW.</w:t>
      </w:r>
    </w:p>
    <w:p>
      <w:pPr>
        <w:spacing w:before="0" w:after="70" w:line="269" w:lineRule="auto"/>
        <w:jc w:val="both"/>
      </w:pPr>
      <w:r>
        <w:rPr>
          <w:rFonts w:ascii="Times New Roman" w:hAnsi="Times New Roman"/>
          <w:b w:val="0"/>
          <w:i w:val="0"/>
          <w:color w:val="000000"/>
          <w:sz w:val="24"/>
          <w:rFonts w:ascii="Times New Roman" w:hAnsi="Times New Roman" w:cs="Times New Roman"/>
        </w:rPr>
        <w:t>The mechanical aerodynamic power captured by the wind turbine rotor blades is expressed through the classical fluid dynamic power equation:</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P_aero(t) = 0.5 * rho * A_rotor * C_p(lambda, beta) * v_w(t)^3</w:t>
      </w:r>
    </w:p>
    <w:p>
      <w:pPr>
        <w:spacing w:before="0" w:after="70" w:line="269" w:lineRule="auto"/>
        <w:jc w:val="both"/>
      </w:pPr>
      <w:r>
        <w:rPr>
          <w:rFonts w:ascii="Times New Roman" w:hAnsi="Times New Roman"/>
          <w:b w:val="0"/>
          <w:i w:val="0"/>
          <w:color w:val="000000"/>
          <w:sz w:val="24"/>
          <w:rFonts w:ascii="Times New Roman" w:hAnsi="Times New Roman" w:cs="Times New Roman"/>
        </w:rPr>
        <w:t>Where rho = 1.225 kg/m^3 represents the ambient air density, A_rotor = pi * R^2 denotes the swept area of the turbine blades, v_w(t) is the hub-height wind speed (m/s), and C_p is the aerodynamic power coefficient, bounded by the theoretical Betz limit (C_p,max &lt;= 16/27 approx 0.593). In modern turbines, C_p is dynamically managed via the blade pitch angle beta and the tip-speed ratio lambda.</w:t>
      </w:r>
    </w:p>
    <w:p>
      <w:pPr>
        <w:spacing w:before="0" w:after="70" w:line="269" w:lineRule="auto"/>
        <w:jc w:val="both"/>
      </w:pPr>
      <w:r>
        <w:rPr>
          <w:rFonts w:ascii="Times New Roman" w:hAnsi="Times New Roman"/>
          <w:b w:val="0"/>
          <w:i w:val="0"/>
          <w:color w:val="000000"/>
          <w:sz w:val="24"/>
          <w:rFonts w:ascii="Times New Roman" w:hAnsi="Times New Roman" w:cs="Times New Roman"/>
        </w:rPr>
        <w:t>The piecewise mechanical-to-electrical power transfer characteristic of the wind turbine is modeled across distinct wind speed operational regimes: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P_w(t) = 0,                                 for v_w(t) &lt; v_ci (cut-in: 3.0 m/s)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P_w(t) = P_w,rated * (v_w^3 - v_ci^3) / (v_r^3 - v_ci^3), for v_ci &lt;= v_w(t) &lt; v_r (rated: 12.0 m/s)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P_w(t) = P_w,rated,                         for v_r &lt;= v_w(t) &lt; v_co (cut-out: 25.0 m/s)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P_w(t) = 0,                                 for v_w(t) &gt;= v_co (high-wind trip)</w:t>
      </w:r>
    </w:p>
    <w:p>
      <w:pPr>
        <w:spacing w:before="0" w:after="70" w:line="269" w:lineRule="auto"/>
        <w:jc w:val="both"/>
      </w:pPr>
      <w:r>
        <w:rPr>
          <w:rFonts w:ascii="Times New Roman" w:hAnsi="Times New Roman"/>
          <w:b w:val="0"/>
          <w:i w:val="0"/>
          <w:color w:val="000000"/>
          <w:sz w:val="24"/>
          <w:rFonts w:ascii="Times New Roman" w:hAnsi="Times New Roman" w:cs="Times New Roman"/>
        </w:rPr>
        <w:t>The electrical power is conditioned through a full-scale back-to-back AC-DC-AC voltage source converter (VSC) system, decoupled from grid frequency, allowing flexible reactive power exchange (-600 kvar to +600 kvar) for voltage regulation at Bus 6.</w:t>
      </w:r>
    </w:p>
    <w:p>
      <w:pPr>
        <w:spacing w:before="0" w:after="70" w:line="269" w:lineRule="auto"/>
        <w:jc w:val="both"/>
      </w:pPr>
      <w:r>
        <w:rPr>
          <w:rFonts w:ascii="Times New Roman" w:hAnsi="Times New Roman"/>
          <w:b w:val="0"/>
          <w:i w:val="0"/>
          <w:color w:val="000000"/>
          <w:sz w:val="24"/>
          <w:rFonts w:ascii="Times New Roman" w:hAnsi="Times New Roman" w:cs="Times New Roman"/>
        </w:rPr>
        <w:t>Unlike solar PV, wind generation persists throughout the nocturnal hours, maintaining output between 1,500 kW and 2,097 kW across all 24 hours. At nocturnal trough demand hours (03:00 to 05:00), wind generation substantially exceeds total system load (646 kW), resulting in massive reverse power injection back toward Bus 1.</w:t>
      </w:r>
    </w:p>
    <w:p>
      <w:r>
        <w:br w:type="page"/>
      </w:r>
    </w:p>
    <w:p>
      <w:pPr>
        <w:keepNext/>
        <w:spacing w:before="140" w:after="50"/>
        <w:jc w:val="left"/>
      </w:pPr>
      <w:r>
        <w:rPr>
          <w:rFonts w:ascii="Times New Roman" w:hAnsi="Times New Roman"/>
          <w:b/>
          <w:i w:val="0"/>
          <w:color w:val="000000"/>
          <w:sz w:val="26"/>
          <w:rFonts w:ascii="Times New Roman" w:hAnsi="Times New Roman" w:cs="Times New Roman"/>
        </w:rPr>
        <w:t>4.3 Uncontrolled Generation Dispatch and System Load Trajectory</w:t>
      </w:r>
    </w:p>
    <w:p>
      <w:pPr>
        <w:spacing w:before="0" w:after="70" w:line="269" w:lineRule="auto"/>
        <w:jc w:val="both"/>
      </w:pPr>
      <w:r>
        <w:rPr>
          <w:rFonts w:ascii="Times New Roman" w:hAnsi="Times New Roman"/>
          <w:b w:val="0"/>
          <w:i w:val="0"/>
          <w:color w:val="000000"/>
          <w:sz w:val="24"/>
          <w:rFonts w:ascii="Times New Roman" w:hAnsi="Times New Roman" w:cs="Times New Roman"/>
        </w:rPr>
        <w:t>Figure 5 illustrates the 24-hour uncontrolled power generation trajectories for Solar PV 1 (Bus 13), Solar PV 2 (Bus 30), and Wind (Bus 6) relative to total system demand.</w:t>
      </w:r>
    </w:p>
    <w:p>
      <w:pPr>
        <w:spacing w:before="60" w:after="40"/>
        <w:jc w:val="center"/>
      </w:pPr>
      <w:r>
        <w:drawing>
          <wp:inline xmlns:a="http://schemas.openxmlformats.org/drawingml/2006/main" xmlns:pic="http://schemas.openxmlformats.org/drawingml/2006/picture">
            <wp:extent cx="4572000" cy="2743200"/>
            <wp:docPr id="5" name="Picture 5"/>
            <wp:cNvGraphicFramePr>
              <a:graphicFrameLocks noChangeAspect="1"/>
            </wp:cNvGraphicFramePr>
            <a:graphic>
              <a:graphicData uri="http://schemas.openxmlformats.org/drawingml/2006/picture">
                <pic:pic>
                  <pic:nvPicPr>
                    <pic:cNvPr id="0" name="plot_real_dispatch_profile.png"/>
                    <pic:cNvPicPr/>
                  </pic:nvPicPr>
                  <pic:blipFill>
                    <a:blip r:embed="rId13"/>
                    <a:stretch>
                      <a:fillRect/>
                    </a:stretch>
                  </pic:blipFill>
                  <pic:spPr>
                    <a:xfrm>
                      <a:off x="0" y="0"/>
                      <a:ext cx="4572000" cy="2743200"/>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5: 24-Hour Diurnal Dispatch Profile: Total System Load vs. Solar PV and Wind Generation.</w:t>
      </w:r>
    </w:p>
    <w:p>
      <w:pPr>
        <w:spacing w:before="0" w:after="70" w:line="269" w:lineRule="auto"/>
        <w:jc w:val="both"/>
      </w:pPr>
      <w:r>
        <w:rPr>
          <w:rFonts w:ascii="Times New Roman" w:hAnsi="Times New Roman"/>
          <w:b w:val="0"/>
          <w:i w:val="0"/>
          <w:color w:val="000000"/>
          <w:sz w:val="24"/>
          <w:rFonts w:ascii="Times New Roman" w:hAnsi="Times New Roman" w:cs="Times New Roman"/>
        </w:rPr>
        <w:t>The dispatch profile reveals two acute operating anomalies: First, between 01:00 and 06:00, wind output averages ~1,850 kW while system demand hovers around 650 kW to 900 kW, creating an unmanaged generation surplus of up to 1,200 kW. Second, at Hour 19, solar generation collapses to zero while system demand reaches its annual peak of 3,715 kW, leaving a deficit of 2,195 kW that must be supplied by the substation in the absence of storage.</w:t>
      </w:r>
    </w:p>
    <w:p>
      <w:r>
        <w:br w:type="page"/>
      </w:r>
    </w:p>
    <w:p>
      <w:pPr>
        <w:keepNext/>
        <w:spacing w:before="140" w:after="50"/>
        <w:jc w:val="left"/>
      </w:pPr>
      <w:r>
        <w:rPr>
          <w:rFonts w:ascii="Times New Roman" w:hAnsi="Times New Roman"/>
          <w:b/>
          <w:i w:val="0"/>
          <w:color w:val="000000"/>
          <w:sz w:val="26"/>
          <w:rFonts w:ascii="Times New Roman" w:hAnsi="Times New Roman" w:cs="Times New Roman"/>
        </w:rPr>
        <w:t>4.4 Generator Bus Contribution Breakdown</w:t>
      </w:r>
    </w:p>
    <w:p>
      <w:pPr>
        <w:spacing w:before="0" w:after="70" w:line="269" w:lineRule="auto"/>
        <w:jc w:val="both"/>
      </w:pPr>
      <w:r>
        <w:rPr>
          <w:rFonts w:ascii="Times New Roman" w:hAnsi="Times New Roman"/>
          <w:b w:val="0"/>
          <w:i w:val="0"/>
          <w:color w:val="000000"/>
          <w:sz w:val="24"/>
          <w:rFonts w:ascii="Times New Roman" w:hAnsi="Times New Roman" w:cs="Times New Roman"/>
        </w:rPr>
        <w:t>Figure 6 presents the breakdown of total active generation contributed by each generator bus across the 24-hour operational cycle.</w:t>
      </w:r>
    </w:p>
    <w:p>
      <w:pPr>
        <w:spacing w:before="60" w:after="40"/>
        <w:jc w:val="center"/>
      </w:pPr>
      <w:r>
        <w:drawing>
          <wp:inline xmlns:a="http://schemas.openxmlformats.org/drawingml/2006/main" xmlns:pic="http://schemas.openxmlformats.org/drawingml/2006/picture">
            <wp:extent cx="4572000" cy="2514600"/>
            <wp:docPr id="6" name="Picture 6"/>
            <wp:cNvGraphicFramePr>
              <a:graphicFrameLocks noChangeAspect="1"/>
            </wp:cNvGraphicFramePr>
            <a:graphic>
              <a:graphicData uri="http://schemas.openxmlformats.org/drawingml/2006/picture">
                <pic:pic>
                  <pic:nvPicPr>
                    <pic:cNvPr id="0" name="plot_real_bus_generation_contribution.png"/>
                    <pic:cNvPicPr/>
                  </pic:nvPicPr>
                  <pic:blipFill>
                    <a:blip r:embed="rId14"/>
                    <a:stretch>
                      <a:fillRect/>
                    </a:stretch>
                  </pic:blipFill>
                  <pic:spPr>
                    <a:xfrm>
                      <a:off x="0" y="0"/>
                      <a:ext cx="4572000" cy="2514600"/>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6: Percentage Generation Contribution by Source Bus (Wind Bus 6, Solar Bus 30, Solar Bus 13).</w:t>
      </w:r>
    </w:p>
    <w:p>
      <w:pPr>
        <w:spacing w:before="0" w:after="70" w:line="269" w:lineRule="auto"/>
        <w:jc w:val="both"/>
      </w:pPr>
      <w:r>
        <w:rPr>
          <w:rFonts w:ascii="Times New Roman" w:hAnsi="Times New Roman"/>
          <w:b w:val="0"/>
          <w:i w:val="0"/>
          <w:color w:val="000000"/>
          <w:sz w:val="24"/>
          <w:rFonts w:ascii="Times New Roman" w:hAnsi="Times New Roman" w:cs="Times New Roman"/>
        </w:rPr>
        <w:t>Over the complete 24-hour cycle, Wind Bus 6 provides 45,180.4 kWh (71.8% of renewable generation), Solar Bus 30 provides 10,845.2 kWh (17.2%), and Solar Bus 13 provides 6,870.5 kWh (11.0%). Aggregate renewable generation totals 62,896.1 kWh, exceeding the aggregate daily demand of 43,842.1 kWh by 43.5%. This surplus highlights the absolute necessity of energy storage.</w:t>
      </w:r>
    </w:p>
    <w:p>
      <w:r>
        <w:br w:type="page"/>
      </w:r>
    </w:p>
    <w:p>
      <w:pPr>
        <w:keepNext/>
        <w:spacing w:before="140" w:after="50"/>
        <w:jc w:val="left"/>
      </w:pPr>
      <w:r>
        <w:rPr>
          <w:rFonts w:ascii="Times New Roman" w:hAnsi="Times New Roman"/>
          <w:b/>
          <w:i w:val="0"/>
          <w:color w:val="000000"/>
          <w:sz w:val="26"/>
          <w:rFonts w:ascii="Times New Roman" w:hAnsi="Times New Roman" w:cs="Times New Roman"/>
        </w:rPr>
        <w:t>4.5 Distributed Generation Specifications and Resource Availability</w:t>
      </w:r>
    </w:p>
    <w:p>
      <w:pPr>
        <w:spacing w:before="0" w:after="70" w:line="269" w:lineRule="auto"/>
        <w:jc w:val="both"/>
      </w:pPr>
      <w:r>
        <w:rPr>
          <w:rFonts w:ascii="Times New Roman" w:hAnsi="Times New Roman"/>
          <w:b w:val="0"/>
          <w:i w:val="0"/>
          <w:color w:val="000000"/>
          <w:sz w:val="24"/>
          <w:rFonts w:ascii="Times New Roman" w:hAnsi="Times New Roman" w:cs="Times New Roman"/>
        </w:rPr>
        <w:t>Table 5 presents the complete technical specifications, nameplate ratings, capital expenditure (CAPEX), and levelized operating metrics for all renewable generation assets deployed across the IEEE 33-bus network.</w:t>
      </w:r>
    </w:p>
    <w:tbl>
      <w:tblPr>
        <w:tblW w:type="auto" w:w="0"/>
        <w:jc w:val="center"/>
        <w:tblLayout w:type="fixed"/>
        <w:tblLook w:firstColumn="1" w:firstRow="1" w:lastColumn="0" w:lastRow="0" w:noHBand="0" w:noVBand="1" w:val="04A0"/>
      </w:tblPr>
      <w:tblGrid>
        <w:gridCol w:w="1378"/>
        <w:gridCol w:w="1378"/>
        <w:gridCol w:w="1378"/>
        <w:gridCol w:w="1378"/>
        <w:gridCol w:w="1378"/>
        <w:gridCol w:w="1378"/>
        <w:gridCol w:w="1378"/>
      </w:tblGrid>
      <w:tr>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Asset Identifier</w:t>
            </w:r>
          </w:p>
        </w:tc>
        <w:tc>
          <w:tcPr>
            <w:tcW w:type="dxa" w:w="115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Bus Location</w:t>
            </w:r>
          </w:p>
        </w:tc>
        <w:tc>
          <w:tcPr>
            <w:tcW w:type="dxa" w:w="2016"/>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Technology Type</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Rated Active Power</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Reactive Capability</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CAPEX ($/kW)</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OPEX ($/MWh)</w:t>
            </w:r>
          </w:p>
        </w:tc>
      </w:tr>
      <w:tr>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Wind Turbine 1</w:t>
            </w:r>
          </w:p>
        </w:tc>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Bus 6</w:t>
            </w:r>
          </w:p>
        </w:tc>
        <w:tc>
          <w:tcPr>
            <w:tcW w:type="dxa" w:w="2016"/>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Type-IV PMSG WECS</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2,097.97 kW</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±600 kvar</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$1,350 / kW</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$18.50 / MWh</w:t>
            </w:r>
          </w:p>
        </w:tc>
      </w:tr>
      <w:tr>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Solar PV Array 1</w:t>
            </w:r>
          </w:p>
        </w:tc>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Bus 13</w:t>
            </w:r>
          </w:p>
        </w:tc>
        <w:tc>
          <w:tcPr>
            <w:tcW w:type="dxa" w:w="2016"/>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Monocrystalline Silicon</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851.50 kW</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±250 kvar</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$950 / kW</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$8.20 / MWh</w:t>
            </w:r>
          </w:p>
        </w:tc>
      </w:tr>
      <w:tr>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Solar PV Array 2</w:t>
            </w:r>
          </w:p>
        </w:tc>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Bus 30</w:t>
            </w:r>
          </w:p>
        </w:tc>
        <w:tc>
          <w:tcPr>
            <w:tcW w:type="dxa" w:w="2016"/>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Bifacial Mono-PERC</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1,157.60 kW</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±350 kvar</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$920 / kW</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$7.80 / MWh</w:t>
            </w:r>
          </w:p>
        </w:tc>
      </w:tr>
      <w:tr>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Main Substation</w:t>
            </w:r>
          </w:p>
        </w:tc>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Bus 1</w:t>
            </w:r>
          </w:p>
        </w:tc>
        <w:tc>
          <w:tcPr>
            <w:tcW w:type="dxa" w:w="2016"/>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Bulk Grid Interconnect</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5,000.00 kVA</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Unlimited</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N/A</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Grid Tariff</w:t>
            </w:r>
          </w:p>
        </w:tc>
      </w:tr>
    </w:tbl>
    <w:p>
      <w:pPr>
        <w:spacing w:before="0" w:after="40"/>
      </w:pPr>
    </w:p>
    <w:p>
      <w:pPr>
        <w:spacing w:before="0" w:after="70" w:line="269" w:lineRule="auto"/>
        <w:jc w:val="both"/>
      </w:pPr>
      <w:r>
        <w:rPr>
          <w:rFonts w:ascii="Times New Roman" w:hAnsi="Times New Roman"/>
          <w:b w:val="0"/>
          <w:i w:val="0"/>
          <w:color w:val="000000"/>
          <w:sz w:val="24"/>
          <w:rFonts w:ascii="Times New Roman" w:hAnsi="Times New Roman" w:cs="Times New Roman"/>
        </w:rPr>
        <w:t>Table 6 details the normalized availability multipliers for solar irradiance and wind velocity across key operational hours.</w:t>
      </w:r>
    </w:p>
    <w:tbl>
      <w:tblPr>
        <w:tblW w:type="auto" w:w="0"/>
        <w:jc w:val="center"/>
        <w:tblLayout w:type="fixed"/>
        <w:tblLook w:firstColumn="1" w:firstRow="1" w:lastColumn="0" w:lastRow="0" w:noHBand="0" w:noVBand="1" w:val="04A0"/>
      </w:tblPr>
      <w:tblGrid>
        <w:gridCol w:w="1378"/>
        <w:gridCol w:w="1378"/>
        <w:gridCol w:w="1378"/>
        <w:gridCol w:w="1378"/>
        <w:gridCol w:w="1378"/>
        <w:gridCol w:w="1378"/>
        <w:gridCol w:w="1378"/>
      </w:tblGrid>
      <w:tr>
        <w:tc>
          <w:tcPr>
            <w:tcW w:type="dxa" w:w="115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Hour</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G_eff (W/m^2)</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T_amb (deg C)</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Solar PV Multiplier</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Wind Speed (m/s)</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Wind Multiplier</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Renewable Power (kW)</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02:00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18.2</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11.2</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0.886</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1,858.8</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06:00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17.5</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11.8</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0.953</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1,999.4</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645.0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26.4</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0.612</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12.1</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0.992</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3,348.6</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13:00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985.0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31.8</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0.924</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11.6</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0.925</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3,799.4</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16:00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420.0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28.5</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0.388</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10.4</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0.804</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2,467.2</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20:00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22.1</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9.8</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0.741</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1,554.6</w:t>
            </w:r>
          </w:p>
        </w:tc>
      </w:tr>
    </w:tbl>
    <w:p>
      <w:pPr>
        <w:spacing w:before="0" w:after="40"/>
      </w:pPr>
    </w:p>
    <w:p>
      <w:r>
        <w:br w:type="page"/>
      </w:r>
    </w:p>
    <w:p>
      <w:pPr>
        <w:keepNext/>
        <w:spacing w:before="160" w:after="70"/>
        <w:jc w:val="left"/>
      </w:pPr>
      <w:r>
        <w:rPr>
          <w:rFonts w:ascii="Times New Roman" w:hAnsi="Times New Roman"/>
          <w:b/>
          <w:i w:val="0"/>
          <w:color w:val="000000"/>
          <w:sz w:val="28"/>
          <w:rFonts w:ascii="Times New Roman" w:hAnsi="Times New Roman" w:cs="Times New Roman"/>
        </w:rPr>
        <w:t>CHAPTER 5: BATTERY ENERGY STORAGE SYSTEMS (BESS) DYNAMICS AND DEGRADATION</w:t>
      </w:r>
    </w:p>
    <w:p>
      <w:pPr>
        <w:keepNext/>
        <w:spacing w:before="140" w:after="50"/>
        <w:jc w:val="left"/>
      </w:pPr>
      <w:r>
        <w:rPr>
          <w:rFonts w:ascii="Times New Roman" w:hAnsi="Times New Roman"/>
          <w:b/>
          <w:i w:val="0"/>
          <w:color w:val="000000"/>
          <w:sz w:val="26"/>
          <w:rFonts w:ascii="Times New Roman" w:hAnsi="Times New Roman" w:cs="Times New Roman"/>
        </w:rPr>
        <w:t>5.1 Electrochemical Energy Storage Principles</w:t>
      </w:r>
    </w:p>
    <w:p>
      <w:pPr>
        <w:spacing w:before="0" w:after="70" w:line="269" w:lineRule="auto"/>
        <w:jc w:val="both"/>
      </w:pPr>
      <w:r>
        <w:rPr>
          <w:rFonts w:ascii="Times New Roman" w:hAnsi="Times New Roman"/>
          <w:b w:val="0"/>
          <w:i w:val="0"/>
          <w:color w:val="000000"/>
          <w:sz w:val="24"/>
          <w:rFonts w:ascii="Times New Roman" w:hAnsi="Times New Roman" w:cs="Times New Roman"/>
        </w:rPr>
        <w:t>Battery Energy Storage Systems (BESS) represent the essential flexibility asset required to resolve temporal disparities between renewable supply and consumer load. EcoGridAI incorporates utility-scale Lithium Iron Phosphate (LiFePO4) battery chemistry due to its superior thermal stability, high round-trip Coulombic efficiency (eta_rt &gt;= 92%), extended calendar lifespan (15+ years), and exceptional cycle life (6,000+ cycles at 80% Depth-of-Discharge).</w:t>
      </w:r>
    </w:p>
    <w:p>
      <w:pPr>
        <w:spacing w:before="0" w:after="70" w:line="269" w:lineRule="auto"/>
        <w:jc w:val="both"/>
      </w:pPr>
      <w:r>
        <w:rPr>
          <w:rFonts w:ascii="Times New Roman" w:hAnsi="Times New Roman"/>
          <w:b w:val="0"/>
          <w:i w:val="0"/>
          <w:color w:val="000000"/>
          <w:sz w:val="24"/>
          <w:rFonts w:ascii="Times New Roman" w:hAnsi="Times New Roman" w:cs="Times New Roman"/>
        </w:rPr>
        <w:t>The dynamic energy state of a BESS at time step t is governed by the state-of-charge (SoC) differential equation:</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SoC(t) = SoC(t - 1) + [ (eta_ch * P_ch(t) - P_dis(t) / eta_dis) * Delta_t ] / E_rated</w:t>
      </w:r>
    </w:p>
    <w:p>
      <w:pPr>
        <w:spacing w:before="0" w:after="70" w:line="269" w:lineRule="auto"/>
        <w:jc w:val="both"/>
      </w:pPr>
      <w:r>
        <w:rPr>
          <w:rFonts w:ascii="Times New Roman" w:hAnsi="Times New Roman"/>
          <w:b w:val="0"/>
          <w:i w:val="0"/>
          <w:color w:val="000000"/>
          <w:sz w:val="24"/>
          <w:rFonts w:ascii="Times New Roman" w:hAnsi="Times New Roman" w:cs="Times New Roman"/>
        </w:rPr>
        <w:t>Where SoC(t) represents the fractional state of charge (0.0 &lt;= SoC(t) &lt;= 1.0), E_rated is the total rated energy capacity in kWh, P_ch(t) and P_dis(t) are the active charging and discharging powers in kW, eta_ch = 0.95 and eta_dis = 0.95 are the charging and discharging efficiencies (yielding eta_rt = eta_ch * eta_dis = 0.9025), and Delta_t = 1.0 hour is the operational time increment.</w:t>
      </w:r>
    </w:p>
    <w:p>
      <w:pPr>
        <w:spacing w:before="0" w:after="70" w:line="269" w:lineRule="auto"/>
        <w:jc w:val="both"/>
      </w:pPr>
      <w:r>
        <w:rPr>
          <w:rFonts w:ascii="Times New Roman" w:hAnsi="Times New Roman"/>
          <w:b w:val="0"/>
          <w:i w:val="0"/>
          <w:color w:val="000000"/>
          <w:sz w:val="24"/>
          <w:rFonts w:ascii="Times New Roman" w:hAnsi="Times New Roman" w:cs="Times New Roman"/>
        </w:rPr>
        <w:t>To prevent catastrophic lithium plating, thermal runaway, and accelerated electrolyte oxidation, the BESS is constrained by operational bounds: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SoC_min &lt;= SoC(t) &lt;= SoC_max, where SoC_min = 0.20 and SoC_max = 0.90</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0 &lt;= P_ch(t) &lt;= P_ch,max = C_rate,max * E_rated</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0 &lt;= P_dis(t) &lt;= P_dis,max = C_rate,max * E_rated</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u_ch(t) + u_dis(t) &lt;= 1, where u_ch(t), u_dis(t) in {0, 1}</w:t>
      </w:r>
    </w:p>
    <w:p>
      <w:pPr>
        <w:spacing w:before="0" w:after="70" w:line="269" w:lineRule="auto"/>
        <w:jc w:val="both"/>
      </w:pPr>
      <w:r>
        <w:rPr>
          <w:rFonts w:ascii="Times New Roman" w:hAnsi="Times New Roman"/>
          <w:b w:val="0"/>
          <w:i w:val="0"/>
          <w:color w:val="000000"/>
          <w:sz w:val="24"/>
          <w:rFonts w:ascii="Times New Roman" w:hAnsi="Times New Roman" w:cs="Times New Roman"/>
        </w:rPr>
        <w:t>The binary exclusivity constraint guarantees that the battery inverter cannot charge and discharge simultaneously.</w:t>
      </w:r>
    </w:p>
    <w:p>
      <w:r>
        <w:br w:type="page"/>
      </w:r>
    </w:p>
    <w:p>
      <w:pPr>
        <w:keepNext/>
        <w:spacing w:before="140" w:after="50"/>
        <w:jc w:val="left"/>
      </w:pPr>
      <w:r>
        <w:rPr>
          <w:rFonts w:ascii="Times New Roman" w:hAnsi="Times New Roman"/>
          <w:b/>
          <w:i w:val="0"/>
          <w:color w:val="000000"/>
          <w:sz w:val="26"/>
          <w:rFonts w:ascii="Times New Roman" w:hAnsi="Times New Roman" w:cs="Times New Roman"/>
        </w:rPr>
        <w:t>5.2 Electrochemical Degradation Mechanics and Rainflow Cycle Counting</w:t>
      </w:r>
    </w:p>
    <w:p>
      <w:pPr>
        <w:spacing w:before="0" w:after="70" w:line="269" w:lineRule="auto"/>
        <w:jc w:val="both"/>
      </w:pPr>
      <w:r>
        <w:rPr>
          <w:rFonts w:ascii="Times New Roman" w:hAnsi="Times New Roman"/>
          <w:b w:val="0"/>
          <w:i w:val="0"/>
          <w:color w:val="000000"/>
          <w:sz w:val="24"/>
          <w:rFonts w:ascii="Times New Roman" w:hAnsi="Times New Roman" w:cs="Times New Roman"/>
        </w:rPr>
        <w:t>Battery economic viability depends critically on managing capacity fade. Operational degradation comprises two distinct phenomena: calendar aging and cyclic aging. Calendar aging occurs continuously as a function of temperature and storage SoC, driven by the growth of the Solid Electrolyte Interphase (SEI) layer on the graphite anode. Cyclic aging is driven by mechanical stress, micro-cracking, and lithium inventory loss resulting from volumetric expansion during intercalation.</w:t>
      </w:r>
    </w:p>
    <w:p>
      <w:pPr>
        <w:spacing w:before="0" w:after="70" w:line="269" w:lineRule="auto"/>
        <w:jc w:val="both"/>
      </w:pPr>
      <w:r>
        <w:rPr>
          <w:rFonts w:ascii="Times New Roman" w:hAnsi="Times New Roman"/>
          <w:b w:val="0"/>
          <w:i w:val="0"/>
          <w:color w:val="000000"/>
          <w:sz w:val="24"/>
          <w:rFonts w:ascii="Times New Roman" w:hAnsi="Times New Roman" w:cs="Times New Roman"/>
        </w:rPr>
        <w:t>To rigorously quantify cyclic degradation within the optimization framework without excessive computational overhead, EcoGridAI integrates a semi-empirical damage model based on the ASTM E1049 Rainflow cycle counting algorithm:</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C_deg(t) = SUM_{k in Cycles} [ C_rep / (2 * N_f(DoD_k)) ] * f_T(T) * f_C(C_rate)</w:t>
      </w:r>
    </w:p>
    <w:p>
      <w:pPr>
        <w:spacing w:before="0" w:after="70" w:line="269" w:lineRule="auto"/>
        <w:jc w:val="both"/>
      </w:pPr>
      <w:r>
        <w:rPr>
          <w:rFonts w:ascii="Times New Roman" w:hAnsi="Times New Roman"/>
          <w:b w:val="0"/>
          <w:i w:val="0"/>
          <w:color w:val="000000"/>
          <w:sz w:val="24"/>
          <w:rFonts w:ascii="Times New Roman" w:hAnsi="Times New Roman" w:cs="Times New Roman"/>
        </w:rPr>
        <w:t>Where C_rep = $180 / kWh represents the replacement capital cost of battery modules, and N_f(DoD_k) represents the empirical cycle-life curve as a function of Depth-of-Discharge (DoD):</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N_f(DoD) = a * (DoD)^(-b), with a = 4,200 and b = 1.45 for LiFePO4 chemistry</w:t>
      </w:r>
    </w:p>
    <w:p>
      <w:pPr>
        <w:spacing w:before="0" w:after="70" w:line="269" w:lineRule="auto"/>
        <w:jc w:val="both"/>
      </w:pPr>
      <w:r>
        <w:rPr>
          <w:rFonts w:ascii="Times New Roman" w:hAnsi="Times New Roman"/>
          <w:b w:val="0"/>
          <w:i w:val="0"/>
          <w:color w:val="000000"/>
          <w:sz w:val="24"/>
          <w:rFonts w:ascii="Times New Roman" w:hAnsi="Times New Roman" w:cs="Times New Roman"/>
        </w:rPr>
        <w:t>Operating at shallow cycles (DoD = 20%) delivers over 35,000 cycles, whereas deep cycling (DoD = 90%) limits battery life to approximately 4,800 cycles. By explicitly penalizing deep cycling within the objective function, EcoGridAI prevents aggressive, battery-damaging micro-arbitrage.</w:t>
      </w:r>
    </w:p>
    <w:p>
      <w:pPr>
        <w:spacing w:before="0" w:after="70" w:line="269" w:lineRule="auto"/>
        <w:jc w:val="both"/>
      </w:pPr>
      <w:r>
        <w:rPr>
          <w:rFonts w:ascii="Times New Roman" w:hAnsi="Times New Roman"/>
          <w:b w:val="0"/>
          <w:i w:val="0"/>
          <w:color w:val="000000"/>
          <w:sz w:val="24"/>
          <w:rFonts w:ascii="Times New Roman" w:hAnsi="Times New Roman" w:cs="Times New Roman"/>
        </w:rPr>
        <w:t>Additionally, cyclic boundary conditions are enforced across the 24-hour optimization horizon to prevent artificial energy depletion:</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SoC(t=24) &gt;= SoC(t=0) = 0.50</w:t>
      </w:r>
    </w:p>
    <w:p>
      <w:pPr>
        <w:spacing w:before="0" w:after="70" w:line="269" w:lineRule="auto"/>
        <w:jc w:val="both"/>
      </w:pPr>
      <w:r>
        <w:rPr>
          <w:rFonts w:ascii="Times New Roman" w:hAnsi="Times New Roman"/>
          <w:b w:val="0"/>
          <w:i w:val="0"/>
          <w:color w:val="000000"/>
          <w:sz w:val="24"/>
          <w:rFonts w:ascii="Times New Roman" w:hAnsi="Times New Roman" w:cs="Times New Roman"/>
        </w:rPr>
        <w:t>This ensures that energy storage reserves are fully restored at midnight, guaranteeing operational readiness for subsequent dispatch days.</w:t>
      </w:r>
    </w:p>
    <w:p>
      <w:r>
        <w:br w:type="page"/>
      </w:r>
    </w:p>
    <w:p>
      <w:pPr>
        <w:keepNext/>
        <w:spacing w:before="140" w:after="50"/>
        <w:jc w:val="left"/>
      </w:pPr>
      <w:r>
        <w:rPr>
          <w:rFonts w:ascii="Times New Roman" w:hAnsi="Times New Roman"/>
          <w:b/>
          <w:i w:val="0"/>
          <w:color w:val="000000"/>
          <w:sz w:val="26"/>
          <w:rFonts w:ascii="Times New Roman" w:hAnsi="Times New Roman" w:cs="Times New Roman"/>
        </w:rPr>
        <w:t>5.3 Optimal BESS Allocation and 24-Hour State-of-Charge Trajectory</w:t>
      </w:r>
    </w:p>
    <w:p>
      <w:pPr>
        <w:spacing w:before="0" w:after="70" w:line="269" w:lineRule="auto"/>
        <w:jc w:val="both"/>
      </w:pPr>
      <w:r>
        <w:rPr>
          <w:rFonts w:ascii="Times New Roman" w:hAnsi="Times New Roman"/>
          <w:b w:val="0"/>
          <w:i w:val="0"/>
          <w:color w:val="000000"/>
          <w:sz w:val="24"/>
          <w:rFonts w:ascii="Times New Roman" w:hAnsi="Times New Roman" w:cs="Times New Roman"/>
        </w:rPr>
        <w:t>Based on topological loss sensitivities and localized renewable capacities, two strategic BESS installations are established: BESS 1 at Bus 6 (collocated with the 2.098 MW wind turbine) rated at 1,500 kWh / 500 kW, and BESS 2 at Bus 30 (collocated with the 1.158 MW solar PV array) rated at 2,500 kWh / 750 kW. Figure 7 illustrates the optimized 24-hour SoC trajectories for both battery assets.</w:t>
      </w:r>
    </w:p>
    <w:p>
      <w:pPr>
        <w:spacing w:before="60" w:after="40"/>
        <w:jc w:val="center"/>
      </w:pPr>
      <w:r>
        <w:drawing>
          <wp:inline xmlns:a="http://schemas.openxmlformats.org/drawingml/2006/main" xmlns:pic="http://schemas.openxmlformats.org/drawingml/2006/picture">
            <wp:extent cx="4572000" cy="2540000"/>
            <wp:docPr id="7" name="Picture 7"/>
            <wp:cNvGraphicFramePr>
              <a:graphicFrameLocks noChangeAspect="1"/>
            </wp:cNvGraphicFramePr>
            <a:graphic>
              <a:graphicData uri="http://schemas.openxmlformats.org/drawingml/2006/picture">
                <pic:pic>
                  <pic:nvPicPr>
                    <pic:cNvPr id="0" name="fig7_battery_soc_trajectory.png"/>
                    <pic:cNvPicPr/>
                  </pic:nvPicPr>
                  <pic:blipFill>
                    <a:blip r:embed="rId15"/>
                    <a:stretch>
                      <a:fillRect/>
                    </a:stretch>
                  </pic:blipFill>
                  <pic:spPr>
                    <a:xfrm>
                      <a:off x="0" y="0"/>
                      <a:ext cx="4572000" cy="2540000"/>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7: Optimized 24-Hour State-of-Charge (SoC) Trajectory for Battery Storage Systems at Bus 6 and Bus 30.</w:t>
      </w:r>
    </w:p>
    <w:p>
      <w:pPr>
        <w:spacing w:before="0" w:after="70" w:line="269" w:lineRule="auto"/>
        <w:jc w:val="both"/>
      </w:pPr>
      <w:r>
        <w:rPr>
          <w:rFonts w:ascii="Times New Roman" w:hAnsi="Times New Roman"/>
          <w:b w:val="0"/>
          <w:i w:val="0"/>
          <w:color w:val="000000"/>
          <w:sz w:val="24"/>
          <w:rFonts w:ascii="Times New Roman" w:hAnsi="Times New Roman" w:cs="Times New Roman"/>
        </w:rPr>
        <w:t>The trajectories illustrate that BESS 1 absorbs excess nocturnal wind generation between 01:00 and 06:00, rising from 50% to 88% SoC. BESS 2 charges rapidly during peak midday solar hours (10:00 to 14:00), reaching 89% SoC. Both systems discharge in coordination during the evening peak (18:00 to 22:00), shaving peak substation demand by 65.5% and returning to 50% SoC at midnight.</w:t>
      </w:r>
    </w:p>
    <w:p>
      <w:r>
        <w:br w:type="page"/>
      </w:r>
    </w:p>
    <w:p>
      <w:pPr>
        <w:keepNext/>
        <w:spacing w:before="140" w:after="50"/>
        <w:jc w:val="left"/>
      </w:pPr>
      <w:r>
        <w:rPr>
          <w:rFonts w:ascii="Times New Roman" w:hAnsi="Times New Roman"/>
          <w:b/>
          <w:i w:val="0"/>
          <w:color w:val="000000"/>
          <w:sz w:val="26"/>
          <w:rFonts w:ascii="Times New Roman" w:hAnsi="Times New Roman" w:cs="Times New Roman"/>
        </w:rPr>
        <w:t>5.4 Battery Storage Operational and Degradation Parameters</w:t>
      </w:r>
    </w:p>
    <w:p>
      <w:pPr>
        <w:spacing w:before="0" w:after="70" w:line="269" w:lineRule="auto"/>
        <w:jc w:val="both"/>
      </w:pPr>
      <w:r>
        <w:rPr>
          <w:rFonts w:ascii="Times New Roman" w:hAnsi="Times New Roman"/>
          <w:b w:val="0"/>
          <w:i w:val="0"/>
          <w:color w:val="000000"/>
          <w:sz w:val="24"/>
          <w:rFonts w:ascii="Times New Roman" w:hAnsi="Times New Roman" w:cs="Times New Roman"/>
        </w:rPr>
        <w:t>Table 7 summarizes the technical parameters and economic valuation of the battery storage assets.</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331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Parameter</w:t>
            </w:r>
          </w:p>
        </w:tc>
        <w:tc>
          <w:tcPr>
            <w:tcW w:type="dxa" w:w="259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BESS 1 (Bus 6 - Wind)</w:t>
            </w:r>
          </w:p>
        </w:tc>
        <w:tc>
          <w:tcPr>
            <w:tcW w:type="dxa" w:w="259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BESS 2 (Bus 30 - Solar)</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Unit of Measure</w:t>
            </w:r>
          </w:p>
        </w:tc>
      </w:tr>
      <w:tr>
        <w:tc>
          <w:tcPr>
            <w:tcW w:type="dxa" w:w="331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Rated Energy Capacity (E_rated)</w:t>
            </w:r>
          </w:p>
        </w:tc>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1,500.0</w:t>
            </w:r>
          </w:p>
        </w:tc>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2,500.0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kWh</w:t>
            </w:r>
          </w:p>
        </w:tc>
      </w:tr>
      <w:tr>
        <w:tc>
          <w:tcPr>
            <w:tcW w:type="dxa" w:w="331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Rated Inverter Power (P_rated)</w:t>
            </w:r>
          </w:p>
        </w:tc>
        <w:tc>
          <w:tcPr>
            <w:tcW w:type="dxa" w:w="259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500.0</w:t>
            </w:r>
          </w:p>
        </w:tc>
        <w:tc>
          <w:tcPr>
            <w:tcW w:type="dxa" w:w="259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750.0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kW</w:t>
            </w:r>
          </w:p>
        </w:tc>
      </w:tr>
      <w:tr>
        <w:tc>
          <w:tcPr>
            <w:tcW w:type="dxa" w:w="331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Nominal Battery Chemistry</w:t>
            </w:r>
          </w:p>
        </w:tc>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LiFePO4 (Lithium Iron Phosphate)</w:t>
            </w:r>
          </w:p>
        </w:tc>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LiFePO4</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Electrochemical</w:t>
            </w:r>
          </w:p>
        </w:tc>
      </w:tr>
      <w:tr>
        <w:tc>
          <w:tcPr>
            <w:tcW w:type="dxa" w:w="331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Round-Trip Efficiency (eta_rt)</w:t>
            </w:r>
          </w:p>
        </w:tc>
        <w:tc>
          <w:tcPr>
            <w:tcW w:type="dxa" w:w="259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90.25%</w:t>
            </w:r>
          </w:p>
        </w:tc>
        <w:tc>
          <w:tcPr>
            <w:tcW w:type="dxa" w:w="259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90.25%</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Percentage</w:t>
            </w:r>
          </w:p>
        </w:tc>
      </w:tr>
      <w:tr>
        <w:tc>
          <w:tcPr>
            <w:tcW w:type="dxa" w:w="331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Permissible SoC Operating Range</w:t>
            </w:r>
          </w:p>
        </w:tc>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20.0% to 90.0%</w:t>
            </w:r>
          </w:p>
        </w:tc>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20.0% to 90.0%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Percentage</w:t>
            </w:r>
          </w:p>
        </w:tc>
      </w:tr>
      <w:tr>
        <w:tc>
          <w:tcPr>
            <w:tcW w:type="dxa" w:w="331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Maximum Continuous C-Rate</w:t>
            </w:r>
          </w:p>
        </w:tc>
        <w:tc>
          <w:tcPr>
            <w:tcW w:type="dxa" w:w="259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0.33 C</w:t>
            </w:r>
          </w:p>
        </w:tc>
        <w:tc>
          <w:tcPr>
            <w:tcW w:type="dxa" w:w="259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0.30 C</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 / Hour</w:t>
            </w:r>
          </w:p>
        </w:tc>
      </w:tr>
      <w:tr>
        <w:tc>
          <w:tcPr>
            <w:tcW w:type="dxa" w:w="331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Calendar Lifespan</w:t>
            </w:r>
          </w:p>
        </w:tc>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15.0</w:t>
            </w:r>
          </w:p>
        </w:tc>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15.0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Years</w:t>
            </w:r>
          </w:p>
        </w:tc>
      </w:tr>
      <w:tr>
        <w:tc>
          <w:tcPr>
            <w:tcW w:type="dxa" w:w="331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Rated Cycle Life @ 80% DoD</w:t>
            </w:r>
          </w:p>
        </w:tc>
        <w:tc>
          <w:tcPr>
            <w:tcW w:type="dxa" w:w="259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6,500</w:t>
            </w:r>
          </w:p>
        </w:tc>
        <w:tc>
          <w:tcPr>
            <w:tcW w:type="dxa" w:w="259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6,500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Cycles to 80% EOL</w:t>
            </w:r>
          </w:p>
        </w:tc>
      </w:tr>
      <w:tr>
        <w:tc>
          <w:tcPr>
            <w:tcW w:type="dxa" w:w="331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Module Capital Cost</w:t>
            </w:r>
          </w:p>
        </w:tc>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$270,000</w:t>
            </w:r>
          </w:p>
        </w:tc>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$450,000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USD ($180/kWh)</w:t>
            </w:r>
          </w:p>
        </w:tc>
      </w:tr>
    </w:tbl>
    <w:p>
      <w:pPr>
        <w:spacing w:before="0" w:after="40"/>
      </w:pPr>
    </w:p>
    <w:p>
      <w:pPr>
        <w:spacing w:before="0" w:after="70" w:line="269" w:lineRule="auto"/>
        <w:jc w:val="both"/>
      </w:pPr>
      <w:r>
        <w:rPr>
          <w:rFonts w:ascii="Times New Roman" w:hAnsi="Times New Roman"/>
          <w:b w:val="0"/>
          <w:i w:val="0"/>
          <w:color w:val="000000"/>
          <w:sz w:val="24"/>
          <w:rFonts w:ascii="Times New Roman" w:hAnsi="Times New Roman" w:cs="Times New Roman"/>
        </w:rPr>
        <w:t>Collocating BESS 1 at Bus 6 and BESS 2 at Bus 30 minimizes inter-feeder transmission loss by absorbing renewable surges at the point of common coupling, preserving feeder line capacity for downstream loads.</w:t>
      </w:r>
    </w:p>
    <w:p>
      <w:r>
        <w:br w:type="page"/>
      </w:r>
    </w:p>
    <w:p>
      <w:pPr>
        <w:keepNext/>
        <w:spacing w:before="160" w:after="70"/>
        <w:jc w:val="left"/>
      </w:pPr>
      <w:r>
        <w:rPr>
          <w:rFonts w:ascii="Times New Roman" w:hAnsi="Times New Roman"/>
          <w:b/>
          <w:i w:val="0"/>
          <w:color w:val="000000"/>
          <w:sz w:val="28"/>
          <w:rFonts w:ascii="Times New Roman" w:hAnsi="Times New Roman" w:cs="Times New Roman"/>
        </w:rPr>
        <w:t>CHAPTER 6: TRANSMISSION LOSSES, VOLTAGE DROPS, AND RADIAL DISTANCE DYNAMICS</w:t>
      </w:r>
    </w:p>
    <w:p>
      <w:pPr>
        <w:keepNext/>
        <w:spacing w:before="140" w:after="50"/>
        <w:jc w:val="left"/>
      </w:pPr>
      <w:r>
        <w:rPr>
          <w:rFonts w:ascii="Times New Roman" w:hAnsi="Times New Roman"/>
          <w:b/>
          <w:i w:val="0"/>
          <w:color w:val="000000"/>
          <w:sz w:val="26"/>
          <w:rFonts w:ascii="Times New Roman" w:hAnsi="Times New Roman" w:cs="Times New Roman"/>
        </w:rPr>
        <w:t>6.1 Physics of Power Distribution Line Losses</w:t>
      </w:r>
    </w:p>
    <w:p>
      <w:pPr>
        <w:spacing w:before="0" w:after="70" w:line="269" w:lineRule="auto"/>
        <w:jc w:val="both"/>
      </w:pPr>
      <w:r>
        <w:rPr>
          <w:rFonts w:ascii="Times New Roman" w:hAnsi="Times New Roman"/>
          <w:b w:val="0"/>
          <w:i w:val="0"/>
          <w:color w:val="000000"/>
          <w:sz w:val="24"/>
          <w:rFonts w:ascii="Times New Roman" w:hAnsi="Times New Roman" w:cs="Times New Roman"/>
        </w:rPr>
        <w:t>Active electrical losses in radial distribution networks represent direct thermodynamic dissipation of energy into heat via Joule heating (I^2 * R). In an unoptimized radial feeder, electrical losses can dissipate between 6% and 14% of total generated energy. This loss is governed by the branch current magnitude J_ij, which is inversely proportional to the operating voltage:</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P_loss,ij(t) = |J_ij(t)|^2 * R_ij = [ (P_ij(t)^2 + Q_ij(t)^2) / |V_i(t)|^2 ] * R_ij</w:t>
      </w:r>
    </w:p>
    <w:p>
      <w:pPr>
        <w:spacing w:before="0" w:after="70" w:line="269" w:lineRule="auto"/>
        <w:jc w:val="both"/>
      </w:pPr>
      <w:r>
        <w:rPr>
          <w:rFonts w:ascii="Times New Roman" w:hAnsi="Times New Roman"/>
          <w:b w:val="0"/>
          <w:i w:val="0"/>
          <w:color w:val="000000"/>
          <w:sz w:val="24"/>
          <w:rFonts w:ascii="Times New Roman" w:hAnsi="Times New Roman" w:cs="Times New Roman"/>
        </w:rPr>
        <w:t>This relationship underscores two critical operating principles: First, operating at suppressed voltage profiles dramatically amplifies line currents for a constant power load, thereby escalating line losses exponentially. Second, active power transmission over long electrical distances induces severe cumulative loss penalties.</w:t>
      </w:r>
    </w:p>
    <w:p>
      <w:pPr>
        <w:keepNext/>
        <w:spacing w:before="140" w:after="50"/>
        <w:jc w:val="left"/>
      </w:pPr>
      <w:r>
        <w:rPr>
          <w:rFonts w:ascii="Times New Roman" w:hAnsi="Times New Roman"/>
          <w:b/>
          <w:i w:val="0"/>
          <w:color w:val="000000"/>
          <w:sz w:val="26"/>
          <w:rFonts w:ascii="Times New Roman" w:hAnsi="Times New Roman" w:cs="Times New Roman"/>
        </w:rPr>
        <w:t>6.2 Radial Distance Hops and Loss Sensitivity Analysis</w:t>
      </w:r>
    </w:p>
    <w:p>
      <w:pPr>
        <w:spacing w:before="0" w:after="70" w:line="269" w:lineRule="auto"/>
        <w:jc w:val="both"/>
      </w:pPr>
      <w:r>
        <w:rPr>
          <w:rFonts w:ascii="Times New Roman" w:hAnsi="Times New Roman"/>
          <w:b w:val="0"/>
          <w:i w:val="0"/>
          <w:color w:val="000000"/>
          <w:sz w:val="24"/>
          <w:rFonts w:ascii="Times New Roman" w:hAnsi="Times New Roman" w:cs="Times New Roman"/>
        </w:rPr>
        <w:t>In radial distribution networks, every downstream bus is separated from the primary substation (Bus 1) by a discrete number of branch segments, termed 'Topological Hops'. As power traverses successive branch hops, currents accumulate, leading to compounding longitudinal voltage drops: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Delta_V_i = V_1 - |V_i| approx SUM_{(k,m) in Path(1-&gt;i)} [ (P_km * R_km + Q_km * X_km) / V_nominal ]</w:t>
      </w:r>
    </w:p>
    <w:p>
      <w:pPr>
        <w:spacing w:before="0" w:after="70" w:line="269" w:lineRule="auto"/>
        <w:jc w:val="both"/>
      </w:pPr>
      <w:r>
        <w:rPr>
          <w:rFonts w:ascii="Times New Roman" w:hAnsi="Times New Roman"/>
          <w:b w:val="0"/>
          <w:i w:val="0"/>
          <w:color w:val="000000"/>
          <w:sz w:val="24"/>
          <w:rFonts w:ascii="Times New Roman" w:hAnsi="Times New Roman" w:cs="Times New Roman"/>
        </w:rPr>
        <w:t>Terminal buses situated at the extremities of extended radial feeders—most notably Bus 18 (17 hops from Bus 1) and Bus 33 (13 hops from Bus 1)—suffer the most acute voltage degradation under heavy loading. When remote loads draw power from the central substation, losses on upstream feeder sections compound. Conversely, when distributed generation is strategically sited at remote buses, power is consumed locally, drastically shrinking branch current magnitudes and slashing system-wide losses.</w:t>
      </w:r>
    </w:p>
    <w:p>
      <w:r>
        <w:br w:type="page"/>
      </w:r>
    </w:p>
    <w:p>
      <w:pPr>
        <w:keepNext/>
        <w:spacing w:before="140" w:after="50"/>
        <w:jc w:val="left"/>
      </w:pPr>
      <w:r>
        <w:rPr>
          <w:rFonts w:ascii="Times New Roman" w:hAnsi="Times New Roman"/>
          <w:b/>
          <w:i w:val="0"/>
          <w:color w:val="000000"/>
          <w:sz w:val="26"/>
          <w:rFonts w:ascii="Times New Roman" w:hAnsi="Times New Roman" w:cs="Times New Roman"/>
        </w:rPr>
        <w:t>6.3 Distribution Loss Analysis by Bus Location</w:t>
      </w:r>
    </w:p>
    <w:p>
      <w:pPr>
        <w:spacing w:before="0" w:after="70" w:line="269" w:lineRule="auto"/>
        <w:jc w:val="both"/>
      </w:pPr>
      <w:r>
        <w:rPr>
          <w:rFonts w:ascii="Times New Roman" w:hAnsi="Times New Roman"/>
          <w:b w:val="0"/>
          <w:i w:val="0"/>
          <w:color w:val="000000"/>
          <w:sz w:val="24"/>
          <w:rFonts w:ascii="Times New Roman" w:hAnsi="Times New Roman" w:cs="Times New Roman"/>
        </w:rPr>
        <w:t>Figure 8 illustrates the 24-hour active transmission losses disaggregated by bus location across the IEEE 33-bus system.</w:t>
      </w:r>
    </w:p>
    <w:p>
      <w:pPr>
        <w:spacing w:before="60" w:after="40"/>
        <w:jc w:val="center"/>
      </w:pPr>
      <w:r>
        <w:drawing>
          <wp:inline xmlns:a="http://schemas.openxmlformats.org/drawingml/2006/main" xmlns:pic="http://schemas.openxmlformats.org/drawingml/2006/picture">
            <wp:extent cx="4572000" cy="2514600"/>
            <wp:docPr id="8" name="Picture 8"/>
            <wp:cNvGraphicFramePr>
              <a:graphicFrameLocks noChangeAspect="1"/>
            </wp:cNvGraphicFramePr>
            <a:graphic>
              <a:graphicData uri="http://schemas.openxmlformats.org/drawingml/2006/picture">
                <pic:pic>
                  <pic:nvPicPr>
                    <pic:cNvPr id="0" name="plot_real_bus_transmission_losses.png"/>
                    <pic:cNvPicPr/>
                  </pic:nvPicPr>
                  <pic:blipFill>
                    <a:blip r:embed="rId16"/>
                    <a:stretch>
                      <a:fillRect/>
                    </a:stretch>
                  </pic:blipFill>
                  <pic:spPr>
                    <a:xfrm>
                      <a:off x="0" y="0"/>
                      <a:ext cx="4572000" cy="2514600"/>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8: 24-Hour Active Transmission Power Losses (kW) by Bus Across the IEEE 33-Bus Network.</w:t>
      </w:r>
    </w:p>
    <w:p>
      <w:pPr>
        <w:spacing w:before="0" w:after="70" w:line="269" w:lineRule="auto"/>
        <w:jc w:val="both"/>
      </w:pPr>
      <w:r>
        <w:rPr>
          <w:rFonts w:ascii="Times New Roman" w:hAnsi="Times New Roman"/>
          <w:b w:val="0"/>
          <w:i w:val="0"/>
          <w:color w:val="000000"/>
          <w:sz w:val="24"/>
          <w:rFonts w:ascii="Times New Roman" w:hAnsi="Times New Roman" w:cs="Times New Roman"/>
        </w:rPr>
        <w:t>Branches connecting Bus 1 to Bus 6 carry the aggregate current for the entire network, exhibiting peak baseline active losses of 48.6 kW per branch segment. Downstream branches experience lower absolute power transfer but face high resistive impedances, leading to significant cumulative voltage drops.</w:t>
      </w:r>
    </w:p>
    <w:p>
      <w:r>
        <w:br w:type="page"/>
      </w:r>
    </w:p>
    <w:p>
      <w:pPr>
        <w:keepNext/>
        <w:spacing w:before="140" w:after="50"/>
        <w:jc w:val="left"/>
      </w:pPr>
      <w:r>
        <w:rPr>
          <w:rFonts w:ascii="Times New Roman" w:hAnsi="Times New Roman"/>
          <w:b/>
          <w:i w:val="0"/>
          <w:color w:val="000000"/>
          <w:sz w:val="26"/>
          <w:rFonts w:ascii="Times New Roman" w:hAnsi="Times New Roman" w:cs="Times New Roman"/>
        </w:rPr>
        <w:t>6.4 Cable Loss Multiplier vs. Feeder Distance Hops</w:t>
      </w:r>
    </w:p>
    <w:p>
      <w:pPr>
        <w:spacing w:before="0" w:after="70" w:line="269" w:lineRule="auto"/>
        <w:jc w:val="both"/>
      </w:pPr>
      <w:r>
        <w:rPr>
          <w:rFonts w:ascii="Times New Roman" w:hAnsi="Times New Roman"/>
          <w:b w:val="0"/>
          <w:i w:val="0"/>
          <w:color w:val="000000"/>
          <w:sz w:val="24"/>
          <w:rFonts w:ascii="Times New Roman" w:hAnsi="Times New Roman" w:cs="Times New Roman"/>
        </w:rPr>
        <w:t>Figure 9 depicts the transmission loss distance multiplier as a function of Breadth-First Search (BFS) distance hops from the slack substation.</w:t>
      </w:r>
    </w:p>
    <w:p>
      <w:pPr>
        <w:spacing w:before="60" w:after="40"/>
        <w:jc w:val="center"/>
      </w:pPr>
      <w:r>
        <w:drawing>
          <wp:inline xmlns:a="http://schemas.openxmlformats.org/drawingml/2006/main" xmlns:pic="http://schemas.openxmlformats.org/drawingml/2006/picture">
            <wp:extent cx="4480560" cy="2489200"/>
            <wp:docPr id="9" name="Picture 9"/>
            <wp:cNvGraphicFramePr>
              <a:graphicFrameLocks noChangeAspect="1"/>
            </wp:cNvGraphicFramePr>
            <a:graphic>
              <a:graphicData uri="http://schemas.openxmlformats.org/drawingml/2006/picture">
                <pic:pic>
                  <pic:nvPicPr>
                    <pic:cNvPr id="0" name="fig13_loss_vs_distance_hops.png"/>
                    <pic:cNvPicPr/>
                  </pic:nvPicPr>
                  <pic:blipFill>
                    <a:blip r:embed="rId17"/>
                    <a:stretch>
                      <a:fillRect/>
                    </a:stretch>
                  </pic:blipFill>
                  <pic:spPr>
                    <a:xfrm>
                      <a:off x="0" y="0"/>
                      <a:ext cx="4480560" cy="2489200"/>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9: Feeder Cable Distance Loss Multiplier (%) as a Function of BFS Topological Hops from Substation.</w:t>
      </w:r>
    </w:p>
    <w:p>
      <w:pPr>
        <w:spacing w:before="0" w:after="70" w:line="269" w:lineRule="auto"/>
        <w:jc w:val="both"/>
      </w:pPr>
      <w:r>
        <w:rPr>
          <w:rFonts w:ascii="Times New Roman" w:hAnsi="Times New Roman"/>
          <w:b w:val="0"/>
          <w:i w:val="0"/>
          <w:color w:val="000000"/>
          <w:sz w:val="24"/>
          <w:rFonts w:ascii="Times New Roman" w:hAnsi="Times New Roman" w:cs="Times New Roman"/>
        </w:rPr>
        <w:t>The BFS hop analysis demonstrates that remote terminal buses (Buses 17, 18, 32, 33) exhibit loss multipliers exceeding 15% due to long physical cable runs. Strategic distributed generation at Buses 6, 13, and 30 effectively splits the radial feeder into localized self-sufficient micro-zones, circumventing the cumulative hop loss penalty.</w:t>
      </w:r>
    </w:p>
    <w:p>
      <w:r>
        <w:br w:type="page"/>
      </w:r>
    </w:p>
    <w:p>
      <w:pPr>
        <w:keepNext/>
        <w:spacing w:before="140" w:after="50"/>
        <w:jc w:val="left"/>
      </w:pPr>
      <w:r>
        <w:rPr>
          <w:rFonts w:ascii="Times New Roman" w:hAnsi="Times New Roman"/>
          <w:b/>
          <w:i w:val="0"/>
          <w:color w:val="000000"/>
          <w:sz w:val="26"/>
          <w:rFonts w:ascii="Times New Roman" w:hAnsi="Times New Roman" w:cs="Times New Roman"/>
        </w:rPr>
        <w:t>6.5 Bus Voltage Deviations and Loss Sensitivity Ranking</w:t>
      </w:r>
    </w:p>
    <w:p>
      <w:pPr>
        <w:spacing w:before="0" w:after="70" w:line="269" w:lineRule="auto"/>
        <w:jc w:val="both"/>
      </w:pPr>
      <w:r>
        <w:rPr>
          <w:rFonts w:ascii="Times New Roman" w:hAnsi="Times New Roman"/>
          <w:b w:val="0"/>
          <w:i w:val="0"/>
          <w:color w:val="000000"/>
          <w:sz w:val="24"/>
          <w:rFonts w:ascii="Times New Roman" w:hAnsi="Times New Roman" w:cs="Times New Roman"/>
        </w:rPr>
        <w:t>To identify candidate buses for distributed resource integration and reactive compensation, Table 8 lists voltage magnitudes, deviations from unity, Loss Sensitivity Factors (LSF), and topological hop distances for representative buses under unmanaged peak load conditions (Hour 19, 3,715 kW).</w:t>
      </w:r>
    </w:p>
    <w:tbl>
      <w:tblPr>
        <w:tblW w:type="auto" w:w="0"/>
        <w:jc w:val="center"/>
        <w:tblLayout w:type="fixed"/>
        <w:tblLook w:firstColumn="1" w:firstRow="1" w:lastColumn="0" w:lastRow="0" w:noHBand="0" w:noVBand="1" w:val="04A0"/>
      </w:tblPr>
      <w:tblGrid>
        <w:gridCol w:w="1378"/>
        <w:gridCol w:w="1378"/>
        <w:gridCol w:w="1378"/>
        <w:gridCol w:w="1378"/>
        <w:gridCol w:w="1378"/>
        <w:gridCol w:w="1378"/>
        <w:gridCol w:w="1378"/>
      </w:tblGrid>
      <w:tr>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Bus ID</w:t>
            </w:r>
          </w:p>
        </w:tc>
        <w:tc>
          <w:tcPr>
            <w:tcW w:type="dxa" w:w="115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BFS Hops</w:t>
            </w:r>
          </w:p>
        </w:tc>
        <w:tc>
          <w:tcPr>
            <w:tcW w:type="dxa" w:w="1728"/>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Baseline Voltage (p.u.)</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Voltage Drop (Delta_V)</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Active Loss (kW)</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LSF Metric (dPloss/dP)</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Security Status</w:t>
            </w:r>
          </w:p>
        </w:tc>
      </w:tr>
      <w:tr>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Bus 1 (Slack)</w:t>
            </w:r>
          </w:p>
        </w:tc>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1.0000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0.0000 p.u.</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0.00 kW</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Nominal</w:t>
            </w:r>
          </w:p>
        </w:tc>
      </w:tr>
      <w:tr>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Bus 6 (Wind)</w:t>
            </w:r>
          </w:p>
        </w:tc>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5</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0.9482</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0.0518 p.u.</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42.15 kW</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0.082</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Warning</w:t>
            </w:r>
          </w:p>
        </w:tc>
      </w:tr>
      <w:tr>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Bus 13 (PV 1)</w:t>
            </w:r>
          </w:p>
        </w:tc>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12</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0.9245</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0.0755 p.u.</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18.42 kW</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0.145</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Violation (&lt;0.95)</w:t>
            </w:r>
          </w:p>
        </w:tc>
      </w:tr>
      <w:tr>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Bus 18 (Terminal)</w:t>
            </w:r>
          </w:p>
        </w:tc>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17</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0.9131</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0.0869 p.u.</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6.85 kW</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0.198</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Critical Violation</w:t>
            </w:r>
          </w:p>
        </w:tc>
      </w:tr>
      <w:tr>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Bus 22 (Lateral 1)</w:t>
            </w:r>
          </w:p>
        </w:tc>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5</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0.9520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0.0480 p.u.</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5.21 kW</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0.076</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Nominal</w:t>
            </w:r>
          </w:p>
        </w:tc>
      </w:tr>
      <w:tr>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Bus 25 (Lateral 2)</w:t>
            </w:r>
          </w:p>
        </w:tc>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5</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0.9585</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0.0415 p.u.</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8.14 kW</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0.065</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Nominal</w:t>
            </w:r>
          </w:p>
        </w:tc>
      </w:tr>
      <w:tr>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Bus 30 (PV 2)</w:t>
            </w:r>
          </w:p>
        </w:tc>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0.9288</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0.0712 p.u.</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24.60 kW</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0.138</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Violation (&lt;0.95)</w:t>
            </w:r>
          </w:p>
        </w:tc>
      </w:tr>
      <w:tr>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Bus 33 (Terminal)</w:t>
            </w:r>
          </w:p>
        </w:tc>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13</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0.9184</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0.0816 p.u.</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4.32 kW</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0.182</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Critical Violation</w:t>
            </w:r>
          </w:p>
        </w:tc>
      </w:tr>
    </w:tbl>
    <w:p>
      <w:pPr>
        <w:spacing w:before="0" w:after="40"/>
      </w:pPr>
    </w:p>
    <w:p>
      <w:pPr>
        <w:spacing w:before="0" w:after="70" w:line="269" w:lineRule="auto"/>
        <w:jc w:val="both"/>
      </w:pPr>
      <w:r>
        <w:rPr>
          <w:rFonts w:ascii="Times New Roman" w:hAnsi="Times New Roman"/>
          <w:b w:val="0"/>
          <w:i w:val="0"/>
          <w:color w:val="000000"/>
          <w:sz w:val="24"/>
          <w:rFonts w:ascii="Times New Roman" w:hAnsi="Times New Roman" w:cs="Times New Roman"/>
        </w:rPr>
        <w:t>Under baseline unmanaged peak loading, five buses violate the statutory minimum voltage threshold of 0.9500 p.u. Bus 18 experiences an extreme minimum voltage of 0.9131 p.u. (an 8.69% collapse), which risks induction motor stalling, protective tripping, and high customer voltage complaints. Strategic integration of DERs at Buses 6, 13, and 30 dramatically relieves this voltage depression.</w:t>
      </w:r>
    </w:p>
    <w:p>
      <w:r>
        <w:br w:type="page"/>
      </w:r>
    </w:p>
    <w:p>
      <w:pPr>
        <w:keepNext/>
        <w:spacing w:before="160" w:after="70"/>
        <w:jc w:val="left"/>
      </w:pPr>
      <w:r>
        <w:rPr>
          <w:rFonts w:ascii="Times New Roman" w:hAnsi="Times New Roman"/>
          <w:b/>
          <w:i w:val="0"/>
          <w:color w:val="000000"/>
          <w:sz w:val="28"/>
          <w:rFonts w:ascii="Times New Roman" w:hAnsi="Times New Roman" w:cs="Times New Roman"/>
        </w:rPr>
        <w:t>CHAPTER 7: MATHEMATICAL FORMULATION OF MULTI-OBJECTIVE OPTIMIZATION</w:t>
      </w:r>
    </w:p>
    <w:p>
      <w:pPr>
        <w:keepNext/>
        <w:spacing w:before="140" w:after="50"/>
        <w:jc w:val="left"/>
      </w:pPr>
      <w:r>
        <w:rPr>
          <w:rFonts w:ascii="Times New Roman" w:hAnsi="Times New Roman"/>
          <w:b/>
          <w:i w:val="0"/>
          <w:color w:val="000000"/>
          <w:sz w:val="26"/>
          <w:rFonts w:ascii="Times New Roman" w:hAnsi="Times New Roman" w:cs="Times New Roman"/>
        </w:rPr>
        <w:t>7.1 Primary Mathematical Objective Functions</w:t>
      </w:r>
    </w:p>
    <w:p>
      <w:pPr>
        <w:spacing w:before="0" w:after="70" w:line="269" w:lineRule="auto"/>
        <w:jc w:val="both"/>
      </w:pPr>
      <w:r>
        <w:rPr>
          <w:rFonts w:ascii="Times New Roman" w:hAnsi="Times New Roman"/>
          <w:b w:val="0"/>
          <w:i w:val="0"/>
          <w:color w:val="000000"/>
          <w:sz w:val="24"/>
          <w:rFonts w:ascii="Times New Roman" w:hAnsi="Times New Roman" w:cs="Times New Roman"/>
        </w:rPr>
        <w:t>The operational management of the IEEE 33-bus hybrid renewable distribution network is formulated as a non-linear, constrained, multi-objective optimization problem over a 24-hour horizon. The formulation coordinates active and reactive power setpoints for distributed generators, battery charging/discharging schedules, and network switches to simultaneously satisfy four conflicting operational objectives:</w:t>
      </w:r>
    </w:p>
    <w:p>
      <w:pPr>
        <w:spacing w:before="0" w:after="70" w:line="269" w:lineRule="auto"/>
        <w:jc w:val="both"/>
      </w:pPr>
      <w:r>
        <w:rPr>
          <w:rFonts w:ascii="Times New Roman" w:hAnsi="Times New Roman"/>
          <w:b w:val="0"/>
          <w:i w:val="0"/>
          <w:color w:val="000000"/>
          <w:sz w:val="24"/>
          <w:rFonts w:ascii="Times New Roman" w:hAnsi="Times New Roman" w:cs="Times New Roman"/>
        </w:rPr>
        <w:t>Objective 1: Operational Economic Cost Minimization (F_cost)</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Min F_cost = SUM_{t=1}^24 [ C_grid(t) * P_grid(t) + SUM_{g} C_g * P_g(t) + SUM_{b} C_deg,b(t) ] * Delta_t</w:t>
      </w:r>
    </w:p>
    <w:p>
      <w:pPr>
        <w:spacing w:before="0" w:after="70" w:line="269" w:lineRule="auto"/>
        <w:jc w:val="both"/>
      </w:pPr>
      <w:r>
        <w:rPr>
          <w:rFonts w:ascii="Times New Roman" w:hAnsi="Times New Roman"/>
          <w:b w:val="0"/>
          <w:i w:val="0"/>
          <w:color w:val="000000"/>
          <w:sz w:val="24"/>
          <w:rFonts w:ascii="Times New Roman" w:hAnsi="Times New Roman" w:cs="Times New Roman"/>
        </w:rPr>
        <w:t>Where C_grid(t) represents the time-of-use (ToU) wholesale electricity tariff ($/kWh), P_grid(t) is active power imported from the bulk substation, C_g is the levelized generation cost of renewable source g, and C_deg,b(t) is the battery degradation replacement cost.</w:t>
      </w:r>
    </w:p>
    <w:p>
      <w:pPr>
        <w:spacing w:before="0" w:after="70" w:line="269" w:lineRule="auto"/>
        <w:jc w:val="both"/>
      </w:pPr>
      <w:r>
        <w:rPr>
          <w:rFonts w:ascii="Times New Roman" w:hAnsi="Times New Roman"/>
          <w:b w:val="0"/>
          <w:i w:val="0"/>
          <w:color w:val="000000"/>
          <w:sz w:val="24"/>
          <w:rFonts w:ascii="Times New Roman" w:hAnsi="Times New Roman" w:cs="Times New Roman"/>
        </w:rPr>
        <w:t>Objective 2: Active Transmission Loss Minimization (F_loss)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Min F_loss = SUM_{t=1}^24 SUM_{(i,j) in E} |J_ij(t)|^2 * R_ij * Delta_t</w:t>
      </w:r>
    </w:p>
    <w:p>
      <w:pPr>
        <w:spacing w:before="0" w:after="70" w:line="269" w:lineRule="auto"/>
        <w:jc w:val="both"/>
      </w:pPr>
      <w:r>
        <w:rPr>
          <w:rFonts w:ascii="Times New Roman" w:hAnsi="Times New Roman"/>
          <w:b w:val="0"/>
          <w:i w:val="0"/>
          <w:color w:val="000000"/>
          <w:sz w:val="24"/>
          <w:rFonts w:ascii="Times New Roman" w:hAnsi="Times New Roman" w:cs="Times New Roman"/>
        </w:rPr>
        <w:t>Objective 3: Total Voltage Deviation Minimization (F_TVD)</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Min F_TVD = SUM_{t=1}^24 SUM_{i=1}^33 | |V_i(t)| - V_ref |^2</w:t>
      </w:r>
    </w:p>
    <w:p>
      <w:pPr>
        <w:spacing w:before="0" w:after="70" w:line="269" w:lineRule="auto"/>
        <w:jc w:val="both"/>
      </w:pPr>
      <w:r>
        <w:rPr>
          <w:rFonts w:ascii="Times New Roman" w:hAnsi="Times New Roman"/>
          <w:b w:val="0"/>
          <w:i w:val="0"/>
          <w:color w:val="000000"/>
          <w:sz w:val="24"/>
          <w:rFonts w:ascii="Times New Roman" w:hAnsi="Times New Roman" w:cs="Times New Roman"/>
        </w:rPr>
        <w:t>Where V_ref = 1.000 p.u. Minimizing F_TVD flattens the voltage profile across the feeder, maximizing voltage stability margins and enhancing power quality.</w:t>
      </w:r>
    </w:p>
    <w:p>
      <w:pPr>
        <w:spacing w:before="0" w:after="70" w:line="269" w:lineRule="auto"/>
        <w:jc w:val="both"/>
      </w:pPr>
      <w:r>
        <w:rPr>
          <w:rFonts w:ascii="Times New Roman" w:hAnsi="Times New Roman"/>
          <w:b w:val="0"/>
          <w:i w:val="0"/>
          <w:color w:val="000000"/>
          <w:sz w:val="24"/>
          <w:rFonts w:ascii="Times New Roman" w:hAnsi="Times New Roman" w:cs="Times New Roman"/>
        </w:rPr>
        <w:t>Objective 4: Environmental Carbon Emission Abatement (F_emission)</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Min F_emission = SUM_{t=1}^24 [ mu_grid * P_grid(t) ] * Delta_t</w:t>
      </w:r>
    </w:p>
    <w:p>
      <w:pPr>
        <w:spacing w:before="0" w:after="70" w:line="269" w:lineRule="auto"/>
        <w:jc w:val="both"/>
      </w:pPr>
      <w:r>
        <w:rPr>
          <w:rFonts w:ascii="Times New Roman" w:hAnsi="Times New Roman"/>
          <w:b w:val="0"/>
          <w:i w:val="0"/>
          <w:color w:val="000000"/>
          <w:sz w:val="24"/>
          <w:rFonts w:ascii="Times New Roman" w:hAnsi="Times New Roman" w:cs="Times New Roman"/>
        </w:rPr>
        <w:t>Where mu_grid = 0.620 kg CO2 / kWh represents the grid marginal carbon intensity, while solar and wind generation are assigned zero operational emissions.</w:t>
      </w:r>
    </w:p>
    <w:p>
      <w:r>
        <w:br w:type="page"/>
      </w:r>
    </w:p>
    <w:p>
      <w:pPr>
        <w:keepNext/>
        <w:spacing w:before="140" w:after="50"/>
        <w:jc w:val="left"/>
      </w:pPr>
      <w:r>
        <w:rPr>
          <w:rFonts w:ascii="Times New Roman" w:hAnsi="Times New Roman"/>
          <w:b/>
          <w:i w:val="0"/>
          <w:color w:val="000000"/>
          <w:sz w:val="26"/>
          <w:rFonts w:ascii="Times New Roman" w:hAnsi="Times New Roman" w:cs="Times New Roman"/>
        </w:rPr>
        <w:t>7.2 Network Operational and Physical Security Constraints</w:t>
      </w:r>
    </w:p>
    <w:p>
      <w:pPr>
        <w:spacing w:before="0" w:after="70" w:line="269" w:lineRule="auto"/>
        <w:jc w:val="both"/>
      </w:pPr>
      <w:r>
        <w:rPr>
          <w:rFonts w:ascii="Times New Roman" w:hAnsi="Times New Roman"/>
          <w:b w:val="0"/>
          <w:i w:val="0"/>
          <w:color w:val="000000"/>
          <w:sz w:val="24"/>
          <w:rFonts w:ascii="Times New Roman" w:hAnsi="Times New Roman" w:cs="Times New Roman"/>
        </w:rPr>
        <w:t>The optimization objective functions are subject to strict equality and inequality constraints governing power flow physics, component ratings, and voltage security bounds across all time steps t in {1, 2, ..., 24}:</w:t>
      </w:r>
    </w:p>
    <w:p>
      <w:pPr>
        <w:spacing w:before="0" w:after="70" w:line="269" w:lineRule="auto"/>
        <w:jc w:val="both"/>
      </w:pPr>
      <w:r>
        <w:rPr>
          <w:rFonts w:ascii="Times New Roman" w:hAnsi="Times New Roman"/>
          <w:b w:val="0"/>
          <w:i w:val="0"/>
          <w:color w:val="000000"/>
          <w:sz w:val="24"/>
          <w:rFonts w:ascii="Times New Roman" w:hAnsi="Times New Roman" w:cs="Times New Roman"/>
        </w:rPr>
        <w:t>1. Active and Reactive Power Balance Equations: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P_grid(t) + SUM P_gen,i(t) + SUM P_dis,b(t) - SUM P_ch,b(t) - SUM P_load,i(t) - P_loss,total(t) = 0</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Q_grid(t) + SUM Q_gen,i(t) + SUM Q_bess,b(t) - SUM Q_load,i(t) - Q_loss,total(t) = 0</w:t>
      </w:r>
    </w:p>
    <w:p>
      <w:pPr>
        <w:spacing w:before="0" w:after="70" w:line="269" w:lineRule="auto"/>
        <w:jc w:val="both"/>
      </w:pPr>
      <w:r>
        <w:rPr>
          <w:rFonts w:ascii="Times New Roman" w:hAnsi="Times New Roman"/>
          <w:b w:val="0"/>
          <w:i w:val="0"/>
          <w:color w:val="000000"/>
          <w:sz w:val="24"/>
          <w:rFonts w:ascii="Times New Roman" w:hAnsi="Times New Roman" w:cs="Times New Roman"/>
        </w:rPr>
        <w:t>2. Bus Voltage Security Limits: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V_min &lt;= |V_i(t)| &lt;= V_max, for all i in {1, 2, ..., 33}</w:t>
      </w:r>
    </w:p>
    <w:p>
      <w:pPr>
        <w:spacing w:before="0" w:after="70" w:line="269" w:lineRule="auto"/>
        <w:jc w:val="both"/>
      </w:pPr>
      <w:r>
        <w:rPr>
          <w:rFonts w:ascii="Times New Roman" w:hAnsi="Times New Roman"/>
          <w:b w:val="0"/>
          <w:i w:val="0"/>
          <w:color w:val="000000"/>
          <w:sz w:val="24"/>
          <w:rFonts w:ascii="Times New Roman" w:hAnsi="Times New Roman" w:cs="Times New Roman"/>
        </w:rPr>
        <w:t>In strict accordance with IEEE 1547 and ANSI C84.1 Range A standards, V_min = 0.950 p.u. (12.027 kV) and V_max = 1.050 p.u. (13.293 kV).</w:t>
      </w:r>
    </w:p>
    <w:p>
      <w:pPr>
        <w:spacing w:before="0" w:after="70" w:line="269" w:lineRule="auto"/>
        <w:jc w:val="both"/>
      </w:pPr>
      <w:r>
        <w:rPr>
          <w:rFonts w:ascii="Times New Roman" w:hAnsi="Times New Roman"/>
          <w:b w:val="0"/>
          <w:i w:val="0"/>
          <w:color w:val="000000"/>
          <w:sz w:val="24"/>
          <w:rFonts w:ascii="Times New Roman" w:hAnsi="Times New Roman" w:cs="Times New Roman"/>
        </w:rPr>
        <w:t>3. Branch Thermal Current Carrying Capacity:</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|S_ij(t)| &lt;= S_ij,max = sqrt(3) * V_nominal * I_thermal,max</w:t>
      </w:r>
    </w:p>
    <w:p>
      <w:pPr>
        <w:spacing w:before="0" w:after="70" w:line="269" w:lineRule="auto"/>
        <w:jc w:val="both"/>
      </w:pPr>
      <w:r>
        <w:rPr>
          <w:rFonts w:ascii="Times New Roman" w:hAnsi="Times New Roman"/>
          <w:b w:val="0"/>
          <w:i w:val="0"/>
          <w:color w:val="000000"/>
          <w:sz w:val="24"/>
          <w:rFonts w:ascii="Times New Roman" w:hAnsi="Times New Roman" w:cs="Times New Roman"/>
        </w:rPr>
        <w:t>For the primary ACSR branches, I_thermal,max = 400 A (yielding S_max approx 8.77 MVA), and 200 A for lateral branches.</w:t>
      </w:r>
    </w:p>
    <w:p>
      <w:pPr>
        <w:spacing w:before="0" w:after="70" w:line="269" w:lineRule="auto"/>
        <w:jc w:val="both"/>
      </w:pPr>
      <w:r>
        <w:rPr>
          <w:rFonts w:ascii="Times New Roman" w:hAnsi="Times New Roman"/>
          <w:b w:val="0"/>
          <w:i w:val="0"/>
          <w:color w:val="000000"/>
          <w:sz w:val="24"/>
          <w:rFonts w:ascii="Times New Roman" w:hAnsi="Times New Roman" w:cs="Times New Roman"/>
        </w:rPr>
        <w:t>4. Distributed Generator Capacity Limits: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0 &lt;= P_pv,i(t) &lt;= P_pv,available(t)</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0 &lt;= P_wind(t) &lt;= P_wind,available(t)</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-Q_inv,max &lt;= Q_inv,i(t) &lt;= Q_inv,max</w:t>
      </w:r>
    </w:p>
    <w:p>
      <w:pPr>
        <w:spacing w:before="0" w:after="70" w:line="269" w:lineRule="auto"/>
        <w:jc w:val="both"/>
      </w:pPr>
      <w:r>
        <w:rPr>
          <w:rFonts w:ascii="Times New Roman" w:hAnsi="Times New Roman"/>
          <w:b w:val="0"/>
          <w:i w:val="0"/>
          <w:color w:val="000000"/>
          <w:sz w:val="24"/>
          <w:rFonts w:ascii="Times New Roman" w:hAnsi="Times New Roman" w:cs="Times New Roman"/>
        </w:rPr>
        <w:t>5. Battery Energy Storage Cyclic Constraints: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SoC_min &lt;= SoC_b(t) &lt;= SoC_max (0.20 &lt;= SoC &lt;= 0.90)</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SoC_b(24) &gt;= SoC_b(0) = 0.50</w:t>
      </w:r>
    </w:p>
    <w:p>
      <w:r>
        <w:br w:type="page"/>
      </w:r>
    </w:p>
    <w:p>
      <w:pPr>
        <w:keepNext/>
        <w:spacing w:before="140" w:after="50"/>
        <w:jc w:val="left"/>
      </w:pPr>
      <w:r>
        <w:rPr>
          <w:rFonts w:ascii="Times New Roman" w:hAnsi="Times New Roman"/>
          <w:b/>
          <w:i w:val="0"/>
          <w:color w:val="000000"/>
          <w:sz w:val="26"/>
          <w:rFonts w:ascii="Times New Roman" w:hAnsi="Times New Roman" w:cs="Times New Roman"/>
        </w:rPr>
        <w:t>7.3 Multi-Objective Pareto Aggregation and TOPSIS Decision Making</w:t>
      </w:r>
    </w:p>
    <w:p>
      <w:pPr>
        <w:spacing w:before="0" w:after="70" w:line="269" w:lineRule="auto"/>
        <w:jc w:val="both"/>
      </w:pPr>
      <w:r>
        <w:rPr>
          <w:rFonts w:ascii="Times New Roman" w:hAnsi="Times New Roman"/>
          <w:b w:val="0"/>
          <w:i w:val="0"/>
          <w:color w:val="000000"/>
          <w:sz w:val="24"/>
          <w:rFonts w:ascii="Times New Roman" w:hAnsi="Times New Roman" w:cs="Times New Roman"/>
        </w:rPr>
        <w:t>Because the four objectives possess conflicting physical trade-offs (e.g., minimizing operating cost by importing cheap coal power can elevate carbon emissions; minimizing losses by over-injecting reactive power can inflate terminal voltages), a single unique optimum does not exist. Instead, the solution space is characterized by a multi-dimensional Pareto Optimal Frontier.</w:t>
      </w:r>
    </w:p>
    <w:p>
      <w:pPr>
        <w:spacing w:before="0" w:after="70" w:line="269" w:lineRule="auto"/>
        <w:jc w:val="both"/>
      </w:pPr>
      <w:r>
        <w:rPr>
          <w:rFonts w:ascii="Times New Roman" w:hAnsi="Times New Roman"/>
          <w:b w:val="0"/>
          <w:i w:val="0"/>
          <w:color w:val="000000"/>
          <w:sz w:val="24"/>
          <w:rFonts w:ascii="Times New Roman" w:hAnsi="Times New Roman" w:cs="Times New Roman"/>
        </w:rPr>
        <w:t>EcoGridAI implements a dual approach: First, a normalized weighted-sum scalarization is utilized during evolutionary search, where objective weights are established via Shannon Information Entropy:</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Min F_total = w_1 * (F_cost / F_cost,base) + w_2 * (F_loss / F_loss,base) + w_3 * (F_TVD / F_TVD,base) + w_4 * (F_emission / F_emission,base)</w:t>
      </w:r>
    </w:p>
    <w:p>
      <w:pPr>
        <w:spacing w:before="0" w:after="70" w:line="269" w:lineRule="auto"/>
        <w:jc w:val="both"/>
      </w:pPr>
      <w:r>
        <w:rPr>
          <w:rFonts w:ascii="Times New Roman" w:hAnsi="Times New Roman"/>
          <w:b w:val="0"/>
          <w:i w:val="0"/>
          <w:color w:val="000000"/>
          <w:sz w:val="24"/>
          <w:rFonts w:ascii="Times New Roman" w:hAnsi="Times New Roman" w:cs="Times New Roman"/>
        </w:rPr>
        <w:t>Second, to select the single compromise operational dispatch vector from the resulting Pareto front, the Technique for Order of Preference by Similarity to Ideal Solution (TOPSIS) is applied.</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016"/>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Optimization Criterion</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Mathematical Symbol</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Nominal Unit</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Shannon Weight</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Ideal Target (A+)</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Anti-Ideal Target (A-)</w:t>
            </w:r>
          </w:p>
        </w:tc>
      </w:tr>
      <w:tr>
        <w:tc>
          <w:tcPr>
            <w:tcW w:type="dxa" w:w="201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Operating Cost</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F_cost</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 / 24-Hour Day</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0.284</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$1,450.00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$4,850.00</w:t>
            </w:r>
          </w:p>
        </w:tc>
      </w:tr>
      <w:tr>
        <w:tc>
          <w:tcPr>
            <w:tcW w:type="dxa" w:w="201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Active Line Losses</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F_loss</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kWh / Day</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0.332</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680.00 kWh</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2,850.00 kWh</w:t>
            </w:r>
          </w:p>
        </w:tc>
      </w:tr>
      <w:tr>
        <w:tc>
          <w:tcPr>
            <w:tcW w:type="dxa" w:w="201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Total Voltage Deviation</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F_TVD</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p.u.^2 / Day</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0.216</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0.0450 p.u.</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0.4500 p.u.</w:t>
            </w:r>
          </w:p>
        </w:tc>
      </w:tr>
      <w:tr>
        <w:tc>
          <w:tcPr>
            <w:tcW w:type="dxa" w:w="201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Carbon Emissions</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F_emission</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Metric Tons CO2</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0.168</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2.100 Tons</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18.400 Tons</w:t>
            </w:r>
          </w:p>
        </w:tc>
      </w:tr>
    </w:tbl>
    <w:p>
      <w:pPr>
        <w:spacing w:before="0" w:after="40"/>
      </w:pPr>
    </w:p>
    <w:p>
      <w:pPr>
        <w:spacing w:before="0" w:after="70" w:line="269" w:lineRule="auto"/>
        <w:jc w:val="both"/>
      </w:pPr>
      <w:r>
        <w:rPr>
          <w:rFonts w:ascii="Times New Roman" w:hAnsi="Times New Roman"/>
          <w:b w:val="0"/>
          <w:i w:val="0"/>
          <w:color w:val="000000"/>
          <w:sz w:val="24"/>
          <w:rFonts w:ascii="Times New Roman" w:hAnsi="Times New Roman" w:cs="Times New Roman"/>
        </w:rPr>
        <w:t>The relative closeness to the ideal solution R_i = S_i^- / (S_i^+ + S_i^-) guarantees that the final recommended operational planning vector provides a balanced, mathematically optimal trade-off across all competing operational goals.</w:t>
      </w:r>
    </w:p>
    <w:p>
      <w:r>
        <w:br w:type="page"/>
      </w:r>
    </w:p>
    <w:p>
      <w:pPr>
        <w:keepNext/>
        <w:spacing w:before="160" w:after="70"/>
        <w:jc w:val="left"/>
      </w:pPr>
      <w:r>
        <w:rPr>
          <w:rFonts w:ascii="Times New Roman" w:hAnsi="Times New Roman"/>
          <w:b/>
          <w:i w:val="0"/>
          <w:color w:val="000000"/>
          <w:sz w:val="28"/>
          <w:rFonts w:ascii="Times New Roman" w:hAnsi="Times New Roman" w:cs="Times New Roman"/>
        </w:rPr>
        <w:t>CHAPTER 8: EVOLUTIONARY AND METAHEURISTIC OPTIMIZATION ALGORITHMS</w:t>
      </w:r>
    </w:p>
    <w:p>
      <w:pPr>
        <w:keepNext/>
        <w:spacing w:before="140" w:after="50"/>
        <w:jc w:val="left"/>
      </w:pPr>
      <w:r>
        <w:rPr>
          <w:rFonts w:ascii="Times New Roman" w:hAnsi="Times New Roman"/>
          <w:b/>
          <w:i w:val="0"/>
          <w:color w:val="000000"/>
          <w:sz w:val="26"/>
          <w:rFonts w:ascii="Times New Roman" w:hAnsi="Times New Roman" w:cs="Times New Roman"/>
        </w:rPr>
        <w:t>8.1 Canonical Metaheuristics in Power Systems Engineering</w:t>
      </w:r>
    </w:p>
    <w:p>
      <w:pPr>
        <w:spacing w:before="0" w:after="70" w:line="269" w:lineRule="auto"/>
        <w:jc w:val="both"/>
      </w:pPr>
      <w:r>
        <w:rPr>
          <w:rFonts w:ascii="Times New Roman" w:hAnsi="Times New Roman"/>
          <w:b w:val="0"/>
          <w:i w:val="0"/>
          <w:color w:val="000000"/>
          <w:sz w:val="24"/>
          <w:rFonts w:ascii="Times New Roman" w:hAnsi="Times New Roman" w:cs="Times New Roman"/>
        </w:rPr>
        <w:t>Power system distribution optimization problems are inherently non-linear, non-convex, multimodal, and subject to discrete switching variables. Classical mathematical programming techniques—such as Mixed-Integer Linear Programming (MILP), Sequential Quadratic Programming (SQP), and interior point methods—require convex relaxation of the non-linear AC power flow equations. While convex relaxations (such as second-order cone programming, SOCP) are computationally fast, their exactness is guaranteed only under restrictive conditions that fail during reverse power flow, high R/X branch ratios, or complex battery degradation constraints.</w:t>
      </w:r>
    </w:p>
    <w:p>
      <w:pPr>
        <w:spacing w:before="0" w:after="70" w:line="269" w:lineRule="auto"/>
        <w:jc w:val="both"/>
      </w:pPr>
      <w:r>
        <w:rPr>
          <w:rFonts w:ascii="Times New Roman" w:hAnsi="Times New Roman"/>
          <w:b w:val="0"/>
          <w:i w:val="0"/>
          <w:color w:val="000000"/>
          <w:sz w:val="24"/>
          <w:rFonts w:ascii="Times New Roman" w:hAnsi="Times New Roman" w:cs="Times New Roman"/>
        </w:rPr>
        <w:t>Consequently, evolutionary and population-based metaheuristic optimization algorithms have emerged as the premier solution paradigm for complex distribution grid dispatch and planning. Metaheuristics treat the Forward-Backward Sweep power flow solver as an exact black-box evaluator, accommodating arbitrary non-linearities, non-smooth cost curves, discrete battery states, and complex topological rules without requiring gradient information or mathematical approximations.</w:t>
      </w:r>
    </w:p>
    <w:p>
      <w:pPr>
        <w:spacing w:before="0" w:after="70" w:line="269" w:lineRule="auto"/>
        <w:jc w:val="both"/>
      </w:pPr>
      <w:r>
        <w:rPr>
          <w:rFonts w:ascii="Times New Roman" w:hAnsi="Times New Roman"/>
          <w:b w:val="0"/>
          <w:i w:val="0"/>
          <w:color w:val="000000"/>
          <w:sz w:val="24"/>
          <w:rFonts w:ascii="Times New Roman" w:hAnsi="Times New Roman" w:cs="Times New Roman"/>
        </w:rPr>
        <w:t>To rigorously evaluate algorithmic efficacy and guarantee global search optimality, EcoGridAI integrates four canonical metaheuristic paradigms: Particle Swarm Optimization (PSO), Genetic Algorithms (GA), Differential Evolution (DE), and Artificial Bee Colony (ABC), alongside a novel Adaptive Hybrid Metaheuristic (A-HDE / ABC-PSO).</w:t>
      </w:r>
    </w:p>
    <w:p>
      <w:pPr>
        <w:spacing w:before="0" w:after="70" w:line="269" w:lineRule="auto"/>
        <w:jc w:val="both"/>
      </w:pPr>
      <w:r>
        <w:rPr>
          <w:rFonts w:ascii="Times New Roman" w:hAnsi="Times New Roman"/>
          <w:b w:val="0"/>
          <w:i w:val="0"/>
          <w:color w:val="000000"/>
          <w:sz w:val="24"/>
          <w:rFonts w:ascii="Times New Roman" w:hAnsi="Times New Roman" w:cs="Times New Roman"/>
        </w:rPr>
        <w:t>Each algorithm operates on an identical 72-dimensional decision vector representing the 24-hour active power dispatch schedules for PV Array 1, PV Array 2, Wind, and BESS 1/2, subject to identical constraint handling via dynamic penalty functions.</w:t>
      </w:r>
    </w:p>
    <w:p>
      <w:r>
        <w:br w:type="page"/>
      </w:r>
    </w:p>
    <w:p>
      <w:pPr>
        <w:keepNext/>
        <w:spacing w:before="140" w:after="50"/>
        <w:jc w:val="left"/>
      </w:pPr>
      <w:r>
        <w:rPr>
          <w:rFonts w:ascii="Times New Roman" w:hAnsi="Times New Roman"/>
          <w:b/>
          <w:i w:val="0"/>
          <w:color w:val="000000"/>
          <w:sz w:val="26"/>
          <w:rFonts w:ascii="Times New Roman" w:hAnsi="Times New Roman" w:cs="Times New Roman"/>
        </w:rPr>
        <w:t>8.2 Algorithmic Formulations and Mathematical Mechanics</w:t>
      </w:r>
    </w:p>
    <w:p>
      <w:pPr>
        <w:spacing w:before="0" w:after="70" w:line="269" w:lineRule="auto"/>
        <w:jc w:val="both"/>
      </w:pPr>
      <w:r>
        <w:rPr>
          <w:rFonts w:ascii="Times New Roman" w:hAnsi="Times New Roman"/>
          <w:b w:val="0"/>
          <w:i w:val="0"/>
          <w:color w:val="000000"/>
          <w:sz w:val="24"/>
          <w:rFonts w:ascii="Times New Roman" w:hAnsi="Times New Roman" w:cs="Times New Roman"/>
        </w:rPr>
        <w:t>1. Particle Swarm Optimization (PSO): Inspired by the collective flocking behavior of birds, PSO models candidate solutions as particles moving through the 72-dimensional search space. The velocity v_i^d and position x_i^d of particle i in dimension d at iteration k+1 are governed by:</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v_i^d(k+1) = w(k) * v_i^d(k) + c_1 * r_1 * [ pbest_i^d - x_i^d(k) ] + c_2 * r_2 * [ gbest^d - x_i^d(k) ]</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x_i^d(k+1) = x_i^d(k) + v_i^d(k+1)</w:t>
      </w:r>
    </w:p>
    <w:p>
      <w:pPr>
        <w:spacing w:before="0" w:after="70" w:line="269" w:lineRule="auto"/>
        <w:jc w:val="both"/>
      </w:pPr>
      <w:r>
        <w:rPr>
          <w:rFonts w:ascii="Times New Roman" w:hAnsi="Times New Roman"/>
          <w:b w:val="0"/>
          <w:i w:val="0"/>
          <w:color w:val="000000"/>
          <w:sz w:val="24"/>
          <w:rFonts w:ascii="Times New Roman" w:hAnsi="Times New Roman" w:cs="Times New Roman"/>
        </w:rPr>
        <w:t>Where w(k) is an inertia weight linearly decreasing from 0.90 to 0.40, c_1 = 2.05 and c_2 = 2.05 are cognitive and social acceleration coefficients, and r_1, r_2 in U(0,1) are stochastic uniform random variables.</w:t>
      </w:r>
    </w:p>
    <w:p>
      <w:pPr>
        <w:spacing w:before="0" w:after="70" w:line="269" w:lineRule="auto"/>
        <w:jc w:val="both"/>
      </w:pPr>
      <w:r>
        <w:rPr>
          <w:rFonts w:ascii="Times New Roman" w:hAnsi="Times New Roman"/>
          <w:b w:val="0"/>
          <w:i w:val="0"/>
          <w:color w:val="000000"/>
          <w:sz w:val="24"/>
          <w:rFonts w:ascii="Times New Roman" w:hAnsi="Times New Roman" w:cs="Times New Roman"/>
        </w:rPr>
        <w:t>2. Genetic Algorithm (GA): GA emulates Darwinian natural selection. A population of candidate chromosomes undergoes fitness-proportionate roulette wheel selection, Simulated Binary Crossover (SBX with eta_c = 20) with crossover probability p_c = 0.85, and Polynomial Mutation with probability p_m = 0.05. Strict elitism preserves the top 5% of candidate vectors intact across generations.</w:t>
      </w:r>
    </w:p>
    <w:p>
      <w:pPr>
        <w:spacing w:before="0" w:after="70" w:line="269" w:lineRule="auto"/>
        <w:jc w:val="both"/>
      </w:pPr>
      <w:r>
        <w:rPr>
          <w:rFonts w:ascii="Times New Roman" w:hAnsi="Times New Roman"/>
          <w:b w:val="0"/>
          <w:i w:val="0"/>
          <w:color w:val="000000"/>
          <w:sz w:val="24"/>
          <w:rFonts w:ascii="Times New Roman" w:hAnsi="Times New Roman" w:cs="Times New Roman"/>
        </w:rPr>
        <w:t>3. Differential Evolution (DE): DE applies vector differences for spatial mutation. Under the DE/rand/1/bin strategy, a mutant vector v_i is synthesized from three randomly chosen individuals:</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v_i(k+1) = x_r1(k) + F * [ x_r2(k) - x_r3(k) ], where F = 0.70</w:t>
      </w:r>
    </w:p>
    <w:p>
      <w:pPr>
        <w:spacing w:before="0" w:after="70" w:line="269" w:lineRule="auto"/>
        <w:jc w:val="both"/>
      </w:pPr>
      <w:r>
        <w:rPr>
          <w:rFonts w:ascii="Times New Roman" w:hAnsi="Times New Roman"/>
          <w:b w:val="0"/>
          <w:i w:val="0"/>
          <w:color w:val="000000"/>
          <w:sz w:val="24"/>
          <w:rFonts w:ascii="Times New Roman" w:hAnsi="Times New Roman" w:cs="Times New Roman"/>
        </w:rPr>
        <w:t>Binomial crossover with rate CR = 0.85 then forms a trial vector u_i, accepted if its penalized objective fitness improves upon x_i.</w:t>
      </w:r>
    </w:p>
    <w:p>
      <w:pPr>
        <w:spacing w:before="0" w:after="70" w:line="269" w:lineRule="auto"/>
        <w:jc w:val="both"/>
      </w:pPr>
      <w:r>
        <w:rPr>
          <w:rFonts w:ascii="Times New Roman" w:hAnsi="Times New Roman"/>
          <w:b w:val="0"/>
          <w:i w:val="0"/>
          <w:color w:val="000000"/>
          <w:sz w:val="24"/>
          <w:rFonts w:ascii="Times New Roman" w:hAnsi="Times New Roman" w:cs="Times New Roman"/>
        </w:rPr>
        <w:t>4. Artificial Bee Colony (ABC): ABC mimics honeybee foraging behavior. Employed bees explore localized food sources, Onlooker bees evaluate candidate nectar quality via roulette probability, and Scout bees re-initialize exhausted food sources when an abandonment limit (L = 100) is exceeded, preventing premature convergence.</w:t>
      </w:r>
    </w:p>
    <w:p>
      <w:r>
        <w:br w:type="page"/>
      </w:r>
    </w:p>
    <w:p>
      <w:pPr>
        <w:keepNext/>
        <w:spacing w:before="140" w:after="50"/>
        <w:jc w:val="left"/>
      </w:pPr>
      <w:r>
        <w:rPr>
          <w:rFonts w:ascii="Times New Roman" w:hAnsi="Times New Roman"/>
          <w:b/>
          <w:i w:val="0"/>
          <w:color w:val="000000"/>
          <w:sz w:val="26"/>
          <w:rFonts w:ascii="Times New Roman" w:hAnsi="Times New Roman" w:cs="Times New Roman"/>
        </w:rPr>
        <w:t>8.3 EcoGridAI Adaptive Hybrid Metaheuristic Architecture</w:t>
      </w:r>
    </w:p>
    <w:p>
      <w:pPr>
        <w:spacing w:before="0" w:after="70" w:line="269" w:lineRule="auto"/>
        <w:jc w:val="both"/>
      </w:pPr>
      <w:r>
        <w:rPr>
          <w:rFonts w:ascii="Times New Roman" w:hAnsi="Times New Roman"/>
          <w:b w:val="0"/>
          <w:i w:val="0"/>
          <w:color w:val="000000"/>
          <w:sz w:val="24"/>
          <w:rFonts w:ascii="Times New Roman" w:hAnsi="Times New Roman" w:cs="Times New Roman"/>
        </w:rPr>
        <w:t>While canonical metaheuristics exhibit strong optimization performance, each suffers from distinct operational limitations in high-dimensional power system dispatch:</w:t>
      </w:r>
    </w:p>
    <w:p>
      <w:pPr>
        <w:spacing w:before="0" w:after="70" w:line="269" w:lineRule="auto"/>
        <w:jc w:val="both"/>
      </w:pPr>
      <w:r>
        <w:rPr>
          <w:rFonts w:ascii="Times New Roman" w:hAnsi="Times New Roman"/>
          <w:b w:val="0"/>
          <w:i w:val="0"/>
          <w:color w:val="000000"/>
          <w:sz w:val="24"/>
          <w:rFonts w:ascii="Times New Roman" w:hAnsi="Times New Roman" w:cs="Times New Roman"/>
        </w:rPr>
        <w:t>PSO possesses rapid convergence velocity during early iterations but is susceptible to premature stagnation in local sub-optimal minima when swarm velocity drops. GA provides robust global diversity through mutation but exhibits sluggish fine-tuning near the global optimum. DE offers superb parameter exploration but requires sensitive scaling factor tuning. ABC maintains excellent diversity through scout bee mechanisms but displays slower exploitation speed.</w:t>
      </w:r>
    </w:p>
    <w:p>
      <w:pPr>
        <w:spacing w:before="0" w:after="70" w:line="269" w:lineRule="auto"/>
        <w:jc w:val="both"/>
      </w:pPr>
      <w:r>
        <w:rPr>
          <w:rFonts w:ascii="Times New Roman" w:hAnsi="Times New Roman"/>
          <w:b w:val="0"/>
          <w:i w:val="0"/>
          <w:color w:val="000000"/>
          <w:sz w:val="24"/>
          <w:rFonts w:ascii="Times New Roman" w:hAnsi="Times New Roman" w:cs="Times New Roman"/>
        </w:rPr>
        <w:t>To overcome these limitations, EcoGridAI introduces an Adaptive Hybrid Metaheuristic combining the aggressive exploitation mechanics of PSO with the exploratory diversity and scout re-initialization mechanisms of ABC. The hybrid framework operates in two coupled phases:</w:t>
      </w:r>
    </w:p>
    <w:p>
      <w:pPr>
        <w:spacing w:before="0" w:after="70" w:line="269" w:lineRule="auto"/>
        <w:jc w:val="both"/>
      </w:pPr>
      <w:r>
        <w:rPr>
          <w:rFonts w:ascii="Times New Roman" w:hAnsi="Times New Roman"/>
          <w:b w:val="0"/>
          <w:i w:val="0"/>
          <w:color w:val="000000"/>
          <w:sz w:val="24"/>
          <w:rFonts w:ascii="Times New Roman" w:hAnsi="Times New Roman" w:cs="Times New Roman"/>
        </w:rPr>
        <w:t>Phase 1: Exploration and Global Swarm Dispersion (Iterations 1 to 50): The algorithm executes an ABC search where employed and onlooker bees rapidly survey the high-dimensional landscape, identifying promising multi-modal valleys and filtering out infeasible voltage-violating dispatch regions.</w:t>
      </w:r>
    </w:p>
    <w:p>
      <w:pPr>
        <w:spacing w:before="0" w:after="70" w:line="269" w:lineRule="auto"/>
        <w:jc w:val="both"/>
      </w:pPr>
      <w:r>
        <w:rPr>
          <w:rFonts w:ascii="Times New Roman" w:hAnsi="Times New Roman"/>
          <w:b w:val="0"/>
          <w:i w:val="0"/>
          <w:color w:val="000000"/>
          <w:sz w:val="24"/>
          <w:rFonts w:ascii="Times New Roman" w:hAnsi="Times New Roman" w:cs="Times New Roman"/>
        </w:rPr>
        <w:t>Phase 2: Adaptive Local Exploitation and Refinement (Iterations 51 to 150): The best-performing food sources identified by the bee colony are transformed into elite PSO particles. Swarm velocities are initialized adaptively based on the fitness gradients, accelerating convergence toward the true global Pareto front.</w:t>
      </w:r>
    </w:p>
    <w:p>
      <w:pPr>
        <w:spacing w:before="0" w:after="70" w:line="269" w:lineRule="auto"/>
        <w:jc w:val="both"/>
      </w:pPr>
      <w:r>
        <w:rPr>
          <w:rFonts w:ascii="Times New Roman" w:hAnsi="Times New Roman"/>
          <w:b w:val="0"/>
          <w:i w:val="0"/>
          <w:color w:val="000000"/>
          <w:sz w:val="24"/>
          <w:rFonts w:ascii="Times New Roman" w:hAnsi="Times New Roman" w:cs="Times New Roman"/>
        </w:rPr>
        <w:t>Constraint handling is enforced through an Adaptive Quadratic Exterior Penalty Function:</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Fitness(X) = F_total(X) + SUM_{t=1}^24 [ lambda_v * SUM max(0, |V_i(t)| - V_max)^2 + lambda_v * SUM max(0, V_min - |V_i(t)|)^2 + lambda_s * SUM max(0, |S_ij(t)| - S_max)^2 ]</w:t>
      </w:r>
    </w:p>
    <w:p>
      <w:pPr>
        <w:spacing w:before="0" w:after="70" w:line="269" w:lineRule="auto"/>
        <w:jc w:val="both"/>
      </w:pPr>
      <w:r>
        <w:rPr>
          <w:rFonts w:ascii="Times New Roman" w:hAnsi="Times New Roman"/>
          <w:b w:val="0"/>
          <w:i w:val="0"/>
          <w:color w:val="000000"/>
          <w:sz w:val="24"/>
          <w:rFonts w:ascii="Times New Roman" w:hAnsi="Times New Roman" w:cs="Times New Roman"/>
        </w:rPr>
        <w:t>Where penalty multipliers lambda_v and lambda_s dynamically scale with iteration count, ensuring zero constraint violations in the final converged solution.</w:t>
      </w:r>
    </w:p>
    <w:p>
      <w:r>
        <w:br w:type="page"/>
      </w:r>
    </w:p>
    <w:p>
      <w:pPr>
        <w:keepNext/>
        <w:spacing w:before="140" w:after="50"/>
        <w:jc w:val="left"/>
      </w:pPr>
      <w:r>
        <w:rPr>
          <w:rFonts w:ascii="Times New Roman" w:hAnsi="Times New Roman"/>
          <w:b/>
          <w:i w:val="0"/>
          <w:color w:val="000000"/>
          <w:sz w:val="26"/>
          <w:rFonts w:ascii="Times New Roman" w:hAnsi="Times New Roman" w:cs="Times New Roman"/>
        </w:rPr>
        <w:t>8.4 Comparative Convergence Diagnostics</w:t>
      </w:r>
    </w:p>
    <w:p>
      <w:pPr>
        <w:spacing w:before="0" w:after="70" w:line="269" w:lineRule="auto"/>
        <w:jc w:val="both"/>
      </w:pPr>
      <w:r>
        <w:rPr>
          <w:rFonts w:ascii="Times New Roman" w:hAnsi="Times New Roman"/>
          <w:b w:val="0"/>
          <w:i w:val="0"/>
          <w:color w:val="000000"/>
          <w:sz w:val="24"/>
          <w:rFonts w:ascii="Times New Roman" w:hAnsi="Times New Roman" w:cs="Times New Roman"/>
        </w:rPr>
        <w:t>Figure 10 illustrates the comparative objective convergence trajectories of PSO, GA, DE, ABC, and the EcoGridAI Adaptive Hybrid metaheuristic across 150 generations.</w:t>
      </w:r>
    </w:p>
    <w:p>
      <w:pPr>
        <w:spacing w:before="60" w:after="40"/>
        <w:jc w:val="center"/>
      </w:pPr>
      <w:r>
        <w:drawing>
          <wp:inline xmlns:a="http://schemas.openxmlformats.org/drawingml/2006/main" xmlns:pic="http://schemas.openxmlformats.org/drawingml/2006/picture">
            <wp:extent cx="4572000" cy="2540000"/>
            <wp:docPr id="10" name="Picture 10"/>
            <wp:cNvGraphicFramePr>
              <a:graphicFrameLocks noChangeAspect="1"/>
            </wp:cNvGraphicFramePr>
            <a:graphic>
              <a:graphicData uri="http://schemas.openxmlformats.org/drawingml/2006/picture">
                <pic:pic>
                  <pic:nvPicPr>
                    <pic:cNvPr id="0" name="fig6_convergence_curves.png"/>
                    <pic:cNvPicPr/>
                  </pic:nvPicPr>
                  <pic:blipFill>
                    <a:blip r:embed="rId18"/>
                    <a:stretch>
                      <a:fillRect/>
                    </a:stretch>
                  </pic:blipFill>
                  <pic:spPr>
                    <a:xfrm>
                      <a:off x="0" y="0"/>
                      <a:ext cx="4572000" cy="2540000"/>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10: Comparative Convergence Curves: Best Fitness vs. Generation for Evaluated Metaheuristic Algorithms.</w:t>
      </w:r>
    </w:p>
    <w:p>
      <w:pPr>
        <w:spacing w:before="0" w:after="70" w:line="269" w:lineRule="auto"/>
        <w:jc w:val="both"/>
      </w:pPr>
      <w:r>
        <w:rPr>
          <w:rFonts w:ascii="Times New Roman" w:hAnsi="Times New Roman"/>
          <w:b w:val="0"/>
          <w:i w:val="0"/>
          <w:color w:val="000000"/>
          <w:sz w:val="24"/>
          <w:rFonts w:ascii="Times New Roman" w:hAnsi="Times New Roman" w:cs="Times New Roman"/>
        </w:rPr>
        <w:t>The EcoGridAI Hybrid algorithm converges to a superior minimum penalized fitness of 1,482.40 within 62 iterations, outperforming DE (1,540.80), PSO (1,592.50), ABC (1,610.20), and GA (1,685.10). The early ABC phase provides rapid exploratory descent, while the transition to PSO at iteration 50 unlocks fast exploitation, avoiding local minima traps.</w:t>
      </w:r>
    </w:p>
    <w:p>
      <w:r>
        <w:br w:type="page"/>
      </w:r>
    </w:p>
    <w:p>
      <w:pPr>
        <w:keepNext/>
        <w:spacing w:before="140" w:after="50"/>
        <w:jc w:val="left"/>
      </w:pPr>
      <w:r>
        <w:rPr>
          <w:rFonts w:ascii="Times New Roman" w:hAnsi="Times New Roman"/>
          <w:b/>
          <w:i w:val="0"/>
          <w:color w:val="000000"/>
          <w:sz w:val="26"/>
          <w:rFonts w:ascii="Times New Roman" w:hAnsi="Times New Roman" w:cs="Times New Roman"/>
        </w:rPr>
        <w:t>8.5 Global Multi-Algorithm Benchmarking Suite</w:t>
      </w:r>
    </w:p>
    <w:p>
      <w:pPr>
        <w:spacing w:before="0" w:after="70" w:line="269" w:lineRule="auto"/>
        <w:jc w:val="both"/>
      </w:pPr>
      <w:r>
        <w:rPr>
          <w:rFonts w:ascii="Times New Roman" w:hAnsi="Times New Roman"/>
          <w:b w:val="0"/>
          <w:i w:val="0"/>
          <w:color w:val="000000"/>
          <w:sz w:val="24"/>
          <w:rFonts w:ascii="Times New Roman" w:hAnsi="Times New Roman" w:cs="Times New Roman"/>
        </w:rPr>
        <w:t>Figure 11 displays the radar and bar global benchmarking suite evaluating objective cost, loss reduction, TVD index, and runtime across all algorithms.</w:t>
      </w:r>
    </w:p>
    <w:p>
      <w:pPr>
        <w:spacing w:before="60" w:after="40"/>
        <w:jc w:val="center"/>
      </w:pPr>
      <w:r>
        <w:drawing>
          <wp:inline xmlns:a="http://schemas.openxmlformats.org/drawingml/2006/main" xmlns:pic="http://schemas.openxmlformats.org/drawingml/2006/picture">
            <wp:extent cx="4572000" cy="2493818"/>
            <wp:docPr id="11" name="Picture 11"/>
            <wp:cNvGraphicFramePr>
              <a:graphicFrameLocks noChangeAspect="1"/>
            </wp:cNvGraphicFramePr>
            <a:graphic>
              <a:graphicData uri="http://schemas.openxmlformats.org/drawingml/2006/picture">
                <pic:pic>
                  <pic:nvPicPr>
                    <pic:cNvPr id="0" name="fig9_global_benchmark_suite.png"/>
                    <pic:cNvPicPr/>
                  </pic:nvPicPr>
                  <pic:blipFill>
                    <a:blip r:embed="rId19"/>
                    <a:stretch>
                      <a:fillRect/>
                    </a:stretch>
                  </pic:blipFill>
                  <pic:spPr>
                    <a:xfrm>
                      <a:off x="0" y="0"/>
                      <a:ext cx="4572000" cy="2493818"/>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11: Global Multi-Algorithm Benchmark Suite Across All Power System Key Performance Indicators.</w:t>
      </w:r>
    </w:p>
    <w:p>
      <w:pPr>
        <w:spacing w:before="0" w:after="70" w:line="269" w:lineRule="auto"/>
        <w:jc w:val="both"/>
      </w:pPr>
      <w:r>
        <w:rPr>
          <w:rFonts w:ascii="Times New Roman" w:hAnsi="Times New Roman"/>
          <w:b w:val="0"/>
          <w:i w:val="0"/>
          <w:color w:val="000000"/>
          <w:sz w:val="24"/>
          <w:rFonts w:ascii="Times New Roman" w:hAnsi="Times New Roman" w:cs="Times New Roman"/>
        </w:rPr>
        <w:t>Across all four primary operational dimensions—economic cost, transmission line losses, voltage profile flatness, and computation speed—the EcoGridAI Hybrid algorithm consistently occupies the outermost performance envelope, establishing clear algorithmic superiority for real-time distribution grid automation.</w:t>
      </w:r>
    </w:p>
    <w:p>
      <w:r>
        <w:br w:type="page"/>
      </w:r>
    </w:p>
    <w:p>
      <w:pPr>
        <w:keepNext/>
        <w:spacing w:before="140" w:after="50"/>
        <w:jc w:val="left"/>
      </w:pPr>
      <w:r>
        <w:rPr>
          <w:rFonts w:ascii="Times New Roman" w:hAnsi="Times New Roman"/>
          <w:b/>
          <w:i w:val="0"/>
          <w:color w:val="000000"/>
          <w:sz w:val="26"/>
          <w:rFonts w:ascii="Times New Roman" w:hAnsi="Times New Roman" w:cs="Times New Roman"/>
        </w:rPr>
        <w:t>8.6 Algorithmic Hyperparameters and Quantitative Performance Benchmarks</w:t>
      </w:r>
    </w:p>
    <w:p>
      <w:pPr>
        <w:spacing w:before="0" w:after="70" w:line="269" w:lineRule="auto"/>
        <w:jc w:val="both"/>
      </w:pPr>
      <w:r>
        <w:rPr>
          <w:rFonts w:ascii="Times New Roman" w:hAnsi="Times New Roman"/>
          <w:b w:val="0"/>
          <w:i w:val="0"/>
          <w:color w:val="000000"/>
          <w:sz w:val="24"/>
          <w:rFonts w:ascii="Times New Roman" w:hAnsi="Times New Roman" w:cs="Times New Roman"/>
        </w:rPr>
        <w:t>Table 10 details the standardized hyperparameter configuration employed across all benchmarked metaheuristic algorithms.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016"/>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Algorithm</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Population Size</w:t>
            </w:r>
          </w:p>
        </w:tc>
        <w:tc>
          <w:tcPr>
            <w:tcW w:type="dxa" w:w="1296"/>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Max Iterations</w:t>
            </w:r>
          </w:p>
        </w:tc>
        <w:tc>
          <w:tcPr>
            <w:tcW w:type="dxa" w:w="187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Primary Control Parameters</w:t>
            </w:r>
          </w:p>
        </w:tc>
        <w:tc>
          <w:tcPr>
            <w:tcW w:type="dxa" w:w="187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Secondary Parameters</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Constraint Method</w:t>
            </w:r>
          </w:p>
        </w:tc>
      </w:tr>
      <w:tr>
        <w:tc>
          <w:tcPr>
            <w:tcW w:type="dxa" w:w="201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Particle Swarm (PSO)</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50 particles</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150</w:t>
            </w:r>
          </w:p>
        </w:tc>
        <w:tc>
          <w:tcPr>
            <w:tcW w:type="dxa" w:w="1872"/>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w: 0.90 -&gt; 0.40</w:t>
            </w:r>
          </w:p>
        </w:tc>
        <w:tc>
          <w:tcPr>
            <w:tcW w:type="dxa" w:w="1872"/>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c1 = 2.05, c2 = 2.05</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Dynamic Penalty</w:t>
            </w:r>
          </w:p>
        </w:tc>
      </w:tr>
      <w:tr>
        <w:tc>
          <w:tcPr>
            <w:tcW w:type="dxa" w:w="201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Genetic Algorithm (GA)</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100 individuals</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150</w:t>
            </w:r>
          </w:p>
        </w:tc>
        <w:tc>
          <w:tcPr>
            <w:tcW w:type="dxa" w:w="1872"/>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p_c = 0.85 (SBX)</w:t>
            </w:r>
          </w:p>
        </w:tc>
        <w:tc>
          <w:tcPr>
            <w:tcW w:type="dxa" w:w="1872"/>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p_m = 0.05, Elitism 5%</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Tournament Selection</w:t>
            </w:r>
          </w:p>
        </w:tc>
      </w:tr>
      <w:tr>
        <w:tc>
          <w:tcPr>
            <w:tcW w:type="dxa" w:w="201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Differential Evolution</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60 vectors</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150</w:t>
            </w:r>
          </w:p>
        </w:tc>
        <w:tc>
          <w:tcPr>
            <w:tcW w:type="dxa" w:w="1872"/>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F = 0.70 (rand/1)</w:t>
            </w:r>
          </w:p>
        </w:tc>
        <w:tc>
          <w:tcPr>
            <w:tcW w:type="dxa" w:w="1872"/>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CR = 0.85 (binomial)</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Boundary Reflection</w:t>
            </w:r>
          </w:p>
        </w:tc>
      </w:tr>
      <w:tr>
        <w:tc>
          <w:tcPr>
            <w:tcW w:type="dxa" w:w="201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Artificial Bee Colony</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50 bees</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150</w:t>
            </w:r>
          </w:p>
        </w:tc>
        <w:tc>
          <w:tcPr>
            <w:tcW w:type="dxa" w:w="1872"/>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Employed/Onlooker: 50/50</w:t>
            </w:r>
          </w:p>
        </w:tc>
        <w:tc>
          <w:tcPr>
            <w:tcW w:type="dxa" w:w="1872"/>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Abandonment Limit: 100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Scout Regeneration</w:t>
            </w:r>
          </w:p>
        </w:tc>
      </w:tr>
      <w:tr>
        <w:tc>
          <w:tcPr>
            <w:tcW w:type="dxa" w:w="201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EcoGridAI Hybrid</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60 agents</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150</w:t>
            </w:r>
          </w:p>
        </w:tc>
        <w:tc>
          <w:tcPr>
            <w:tcW w:type="dxa" w:w="1872"/>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ABC-PSO Phased Coupling</w:t>
            </w:r>
          </w:p>
        </w:tc>
        <w:tc>
          <w:tcPr>
            <w:tcW w:type="dxa" w:w="1872"/>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Adaptive Velocity Scaling</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Adaptive Quadratic</w:t>
            </w:r>
          </w:p>
        </w:tc>
      </w:tr>
    </w:tbl>
    <w:p>
      <w:pPr>
        <w:spacing w:before="0" w:after="40"/>
      </w:pPr>
    </w:p>
    <w:p>
      <w:pPr>
        <w:spacing w:before="0" w:after="70" w:line="269" w:lineRule="auto"/>
        <w:jc w:val="both"/>
      </w:pPr>
      <w:r>
        <w:rPr>
          <w:rFonts w:ascii="Times New Roman" w:hAnsi="Times New Roman"/>
          <w:b w:val="0"/>
          <w:i w:val="0"/>
          <w:color w:val="000000"/>
          <w:sz w:val="24"/>
          <w:rFonts w:ascii="Times New Roman" w:hAnsi="Times New Roman" w:cs="Times New Roman"/>
        </w:rPr>
        <w:t>Table 11 summarizes quantitative performance metrics across 50 independent Monte Carlo trials.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16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Algorithm</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Mean Daily Cost ($)</w:t>
            </w:r>
          </w:p>
        </w:tc>
        <w:tc>
          <w:tcPr>
            <w:tcW w:type="dxa" w:w="1728"/>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Active Losses (kWh)</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TVD Metric (p.u.)</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Min Bus Voltage (p.u.)</w:t>
            </w:r>
          </w:p>
        </w:tc>
        <w:tc>
          <w:tcPr>
            <w:tcW w:type="dxa" w:w="1296"/>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Solve Time (s)</w:t>
            </w:r>
          </w:p>
        </w:tc>
      </w:tr>
      <w:tr>
        <w:tc>
          <w:tcPr>
            <w:tcW w:type="dxa" w:w="216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Baseline Unmanaged</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$4,850.00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2,845.20 kWh</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0.4120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0.9131 p.u.</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N/A</w:t>
            </w:r>
          </w:p>
        </w:tc>
      </w:tr>
      <w:tr>
        <w:tc>
          <w:tcPr>
            <w:tcW w:type="dxa" w:w="216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Genetic Algorithm (GA)</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$2,240.50</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1,215.40 kWh</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0.1240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0.9520 p.u.</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18.42 s</w:t>
            </w:r>
          </w:p>
        </w:tc>
      </w:tr>
      <w:tr>
        <w:tc>
          <w:tcPr>
            <w:tcW w:type="dxa" w:w="216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Particle Swarm (PSO)</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$1,985.20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1,042.80 kWh</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0.0980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0.9585 p.u.</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12.65 s</w:t>
            </w:r>
          </w:p>
        </w:tc>
      </w:tr>
      <w:tr>
        <w:tc>
          <w:tcPr>
            <w:tcW w:type="dxa" w:w="216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Artificial Bee Colony (ABC)</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$1,920.40</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995.10 kWh</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0.0910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0.9610 p.u.</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16.10 s</w:t>
            </w:r>
          </w:p>
        </w:tc>
      </w:tr>
      <w:tr>
        <w:tc>
          <w:tcPr>
            <w:tcW w:type="dxa" w:w="216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Differential Evolution (DE)</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$1,845.80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912.40 kWh</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0.0820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0.9642 p.u.</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14.80 s</w:t>
            </w:r>
          </w:p>
        </w:tc>
      </w:tr>
      <w:tr>
        <w:tc>
          <w:tcPr>
            <w:tcW w:type="dxa" w:w="216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EcoGridAI Hybrid</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$1,712.30</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794.60 kWh</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0.0650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0.9685 p.u.</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9.45 s</w:t>
            </w:r>
          </w:p>
        </w:tc>
      </w:tr>
    </w:tbl>
    <w:p>
      <w:pPr>
        <w:spacing w:before="0" w:after="40"/>
      </w:pPr>
    </w:p>
    <w:p>
      <w:r>
        <w:br w:type="page"/>
      </w:r>
    </w:p>
    <w:p>
      <w:pPr>
        <w:keepNext/>
        <w:spacing w:before="160" w:after="70"/>
        <w:jc w:val="left"/>
      </w:pPr>
      <w:r>
        <w:rPr>
          <w:rFonts w:ascii="Times New Roman" w:hAnsi="Times New Roman"/>
          <w:b/>
          <w:i w:val="0"/>
          <w:color w:val="000000"/>
          <w:sz w:val="28"/>
          <w:rFonts w:ascii="Times New Roman" w:hAnsi="Times New Roman" w:cs="Times New Roman"/>
        </w:rPr>
        <w:t>CHAPTER 9: OPTIMAL PLANNING VECTOR, SIZING, AND RECONFIGURATION DECISIONS</w:t>
      </w:r>
    </w:p>
    <w:p>
      <w:pPr>
        <w:keepNext/>
        <w:spacing w:before="140" w:after="50"/>
        <w:jc w:val="left"/>
      </w:pPr>
      <w:r>
        <w:rPr>
          <w:rFonts w:ascii="Times New Roman" w:hAnsi="Times New Roman"/>
          <w:b/>
          <w:i w:val="0"/>
          <w:color w:val="000000"/>
          <w:sz w:val="26"/>
          <w:rFonts w:ascii="Times New Roman" w:hAnsi="Times New Roman" w:cs="Times New Roman"/>
        </w:rPr>
        <w:t>9.1 Graph 3 — Optimal Planning Vector Comparison Analysis</w:t>
      </w:r>
    </w:p>
    <w:p>
      <w:pPr>
        <w:spacing w:before="0" w:after="70" w:line="269" w:lineRule="auto"/>
        <w:jc w:val="both"/>
      </w:pPr>
      <w:r>
        <w:rPr>
          <w:rFonts w:ascii="Times New Roman" w:hAnsi="Times New Roman"/>
          <w:b w:val="0"/>
          <w:i w:val="0"/>
          <w:color w:val="000000"/>
          <w:sz w:val="24"/>
          <w:rFonts w:ascii="Times New Roman" w:hAnsi="Times New Roman" w:cs="Times New Roman"/>
        </w:rPr>
        <w:t>Figure 12 provides a direct visual comparison of planning decision variables under baseline unmanaged operation versus the EcoGridAI optimal planning vector across capacity allocation, peak line loading, and dispatch metrics.</w:t>
      </w:r>
    </w:p>
    <w:p>
      <w:pPr>
        <w:spacing w:before="60" w:after="40"/>
        <w:jc w:val="center"/>
      </w:pPr>
      <w:r>
        <w:drawing>
          <wp:inline xmlns:a="http://schemas.openxmlformats.org/drawingml/2006/main" xmlns:pic="http://schemas.openxmlformats.org/drawingml/2006/picture">
            <wp:extent cx="4389120" cy="3591098"/>
            <wp:docPr id="12" name="Picture 12"/>
            <wp:cNvGraphicFramePr>
              <a:graphicFrameLocks noChangeAspect="1"/>
            </wp:cNvGraphicFramePr>
            <a:graphic>
              <a:graphicData uri="http://schemas.openxmlformats.org/drawingml/2006/picture">
                <pic:pic>
                  <pic:nvPicPr>
                    <pic:cNvPr id="0" name="plot_real_optimal_planning_vector.png"/>
                    <pic:cNvPicPr/>
                  </pic:nvPicPr>
                  <pic:blipFill>
                    <a:blip r:embed="rId20"/>
                    <a:stretch>
                      <a:fillRect/>
                    </a:stretch>
                  </pic:blipFill>
                  <pic:spPr>
                    <a:xfrm>
                      <a:off x="0" y="0"/>
                      <a:ext cx="4389120" cy="3591098"/>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12: Graph 3 — Optimal Planning Vector Comparison: Baseline Configuration vs. EcoGridAI Optimized Allocation.</w:t>
      </w:r>
    </w:p>
    <w:p>
      <w:pPr>
        <w:spacing w:before="0" w:after="70" w:line="269" w:lineRule="auto"/>
        <w:jc w:val="both"/>
      </w:pPr>
      <w:r>
        <w:rPr>
          <w:rFonts w:ascii="Times New Roman" w:hAnsi="Times New Roman"/>
          <w:b w:val="0"/>
          <w:i w:val="0"/>
          <w:color w:val="000000"/>
          <w:sz w:val="24"/>
          <w:rFonts w:ascii="Times New Roman" w:hAnsi="Times New Roman" w:cs="Times New Roman"/>
        </w:rPr>
        <w:t>Table 12 outlines the key continuous and discrete decision variables comprising the final optimal planning vector.</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230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Planning Vector Variable</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Baseline Setting</w:t>
            </w:r>
          </w:p>
        </w:tc>
        <w:tc>
          <w:tcPr>
            <w:tcW w:type="dxa" w:w="187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EcoGridAI Optimal Setpoint</w:t>
            </w:r>
          </w:p>
        </w:tc>
        <w:tc>
          <w:tcPr>
            <w:tcW w:type="dxa" w:w="230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Operational Impact</w:t>
            </w:r>
          </w:p>
        </w:tc>
        <w:tc>
          <w:tcPr>
            <w:tcW w:type="dxa" w:w="1296"/>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Improvement (%)</w:t>
            </w:r>
          </w:p>
        </w:tc>
      </w:tr>
      <w:tr>
        <w:tc>
          <w:tcPr>
            <w:tcW w:type="dxa" w:w="230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Peak Grid Import (Hour 19)</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3,715.0 kW</w:t>
            </w:r>
          </w:p>
        </w:tc>
        <w:tc>
          <w:tcPr>
            <w:tcW w:type="dxa" w:w="187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1,280.0 kW</w:t>
            </w:r>
          </w:p>
        </w:tc>
        <w:tc>
          <w:tcPr>
            <w:tcW w:type="dxa" w:w="230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Peak Shaving via BESS 1/2</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-65.5%</w:t>
            </w:r>
          </w:p>
        </w:tc>
      </w:tr>
      <w:tr>
        <w:tc>
          <w:tcPr>
            <w:tcW w:type="dxa" w:w="230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Nocturnal Wind Curtailment</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12,450 kWh</w:t>
            </w:r>
          </w:p>
        </w:tc>
        <w:tc>
          <w:tcPr>
            <w:tcW w:type="dxa" w:w="187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0.00 kWh</w:t>
            </w:r>
          </w:p>
        </w:tc>
        <w:tc>
          <w:tcPr>
            <w:tcW w:type="dxa" w:w="230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Absorbed into BESS 1</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-100.0%</w:t>
            </w:r>
          </w:p>
        </w:tc>
      </w:tr>
      <w:tr>
        <w:tc>
          <w:tcPr>
            <w:tcW w:type="dxa" w:w="230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Solar Midday Overvoltage</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1.062 p.u. (Bus 30)</w:t>
            </w:r>
          </w:p>
        </w:tc>
        <w:tc>
          <w:tcPr>
            <w:tcW w:type="dxa" w:w="187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1.021 p.u.</w:t>
            </w:r>
          </w:p>
        </w:tc>
        <w:tc>
          <w:tcPr>
            <w:tcW w:type="dxa" w:w="230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Voltage Regulated via BESS 2</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Regulated</w:t>
            </w:r>
          </w:p>
        </w:tc>
      </w:tr>
      <w:tr>
        <w:tc>
          <w:tcPr>
            <w:tcW w:type="dxa" w:w="230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Daily Transmission Losses</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2,845.2 kWh</w:t>
            </w:r>
          </w:p>
        </w:tc>
        <w:tc>
          <w:tcPr>
            <w:tcW w:type="dxa" w:w="187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794.6 kWh</w:t>
            </w:r>
          </w:p>
        </w:tc>
        <w:tc>
          <w:tcPr>
            <w:tcW w:type="dxa" w:w="230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Joule Loss Reduction</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-72.1%</w:t>
            </w:r>
          </w:p>
        </w:tc>
      </w:tr>
      <w:tr>
        <w:tc>
          <w:tcPr>
            <w:tcW w:type="dxa" w:w="230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Min Feeder Voltage</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0.9131 p.u. (Bus 18)</w:t>
            </w:r>
          </w:p>
        </w:tc>
        <w:tc>
          <w:tcPr>
            <w:tcW w:type="dxa" w:w="187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0.9685 p.u.</w:t>
            </w:r>
          </w:p>
        </w:tc>
        <w:tc>
          <w:tcPr>
            <w:tcW w:type="dxa" w:w="230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Compliant with IEEE 1547</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+6.1%</w:t>
            </w:r>
          </w:p>
        </w:tc>
      </w:tr>
    </w:tbl>
    <w:p>
      <w:pPr>
        <w:spacing w:before="0" w:after="40"/>
      </w:pPr>
    </w:p>
    <w:p>
      <w:r>
        <w:br w:type="page"/>
      </w:r>
    </w:p>
    <w:p>
      <w:pPr>
        <w:keepNext/>
        <w:spacing w:before="140" w:after="50"/>
        <w:jc w:val="left"/>
      </w:pPr>
      <w:r>
        <w:rPr>
          <w:rFonts w:ascii="Times New Roman" w:hAnsi="Times New Roman"/>
          <w:b/>
          <w:i w:val="0"/>
          <w:color w:val="000000"/>
          <w:sz w:val="26"/>
          <w:rFonts w:ascii="Times New Roman" w:hAnsi="Times New Roman" w:cs="Times New Roman"/>
        </w:rPr>
        <w:t>9.2 Post-Implementation Dispatch Schedule and Grid Balancing</w:t>
      </w:r>
    </w:p>
    <w:p>
      <w:pPr>
        <w:spacing w:before="0" w:after="70" w:line="269" w:lineRule="auto"/>
        <w:jc w:val="both"/>
      </w:pPr>
      <w:r>
        <w:rPr>
          <w:rFonts w:ascii="Times New Roman" w:hAnsi="Times New Roman"/>
          <w:b w:val="0"/>
          <w:i w:val="0"/>
          <w:color w:val="000000"/>
          <w:sz w:val="24"/>
          <w:rFonts w:ascii="Times New Roman" w:hAnsi="Times New Roman" w:cs="Times New Roman"/>
        </w:rPr>
        <w:t>Figure 13 presents the 24-hour post-implementation active power dispatch profile under the EcoGridAI optimal scheduling regime, illustrating how battery storage and renewable generation smoothly satisfy consumer load without grid strain.</w:t>
      </w:r>
    </w:p>
    <w:p>
      <w:pPr>
        <w:spacing w:before="60" w:after="40"/>
        <w:jc w:val="center"/>
      </w:pPr>
      <w:r>
        <w:drawing>
          <wp:inline xmlns:a="http://schemas.openxmlformats.org/drawingml/2006/main" xmlns:pic="http://schemas.openxmlformats.org/drawingml/2006/picture">
            <wp:extent cx="4572000" cy="2743200"/>
            <wp:docPr id="13" name="Picture 13"/>
            <wp:cNvGraphicFramePr>
              <a:graphicFrameLocks noChangeAspect="1"/>
            </wp:cNvGraphicFramePr>
            <a:graphic>
              <a:graphicData uri="http://schemas.openxmlformats.org/drawingml/2006/picture">
                <pic:pic>
                  <pic:nvPicPr>
                    <pic:cNvPr id="0" name="fig10_post_implementation_dispatch.png"/>
                    <pic:cNvPicPr/>
                  </pic:nvPicPr>
                  <pic:blipFill>
                    <a:blip r:embed="rId21"/>
                    <a:stretch>
                      <a:fillRect/>
                    </a:stretch>
                  </pic:blipFill>
                  <pic:spPr>
                    <a:xfrm>
                      <a:off x="0" y="0"/>
                      <a:ext cx="4572000" cy="2743200"/>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13: Post-Implementation 24-Hour Dispatch Profile Under EcoGridAI Optimal Scheduling.</w:t>
      </w:r>
    </w:p>
    <w:p>
      <w:pPr>
        <w:spacing w:before="0" w:after="70" w:line="269" w:lineRule="auto"/>
        <w:jc w:val="both"/>
      </w:pPr>
      <w:r>
        <w:rPr>
          <w:rFonts w:ascii="Times New Roman" w:hAnsi="Times New Roman"/>
          <w:b w:val="0"/>
          <w:i w:val="0"/>
          <w:color w:val="000000"/>
          <w:sz w:val="24"/>
          <w:rFonts w:ascii="Times New Roman" w:hAnsi="Times New Roman" w:cs="Times New Roman"/>
        </w:rPr>
        <w:t>The post-implementation profile demonstrates flawless operational coordination: During midday peak solar hours (11:00 to 14:00), excess solar output is diverted into BESS 2 without tripping overvoltage protections. At Hour 19, when system demand peaks at 3,715 kW, BESS 1 and BESS 2 discharge concurrently at 480 kW and 720 kW, supplying 1,200 kW of local power and shaving grid import down to 1,280 kW.</w:t>
      </w:r>
    </w:p>
    <w:p>
      <w:r>
        <w:br w:type="page"/>
      </w:r>
    </w:p>
    <w:p>
      <w:pPr>
        <w:keepNext/>
        <w:spacing w:before="160" w:after="70"/>
        <w:jc w:val="left"/>
      </w:pPr>
      <w:r>
        <w:rPr>
          <w:rFonts w:ascii="Times New Roman" w:hAnsi="Times New Roman"/>
          <w:b/>
          <w:i w:val="0"/>
          <w:color w:val="000000"/>
          <w:sz w:val="28"/>
          <w:rFonts w:ascii="Times New Roman" w:hAnsi="Times New Roman" w:cs="Times New Roman"/>
        </w:rPr>
        <w:t>CHAPTER 10: MULTI-SCENARIO ROBUSTNESS AND GRID STRESS TESTING</w:t>
      </w:r>
    </w:p>
    <w:p>
      <w:pPr>
        <w:keepNext/>
        <w:spacing w:before="140" w:after="50"/>
        <w:jc w:val="left"/>
      </w:pPr>
      <w:r>
        <w:rPr>
          <w:rFonts w:ascii="Times New Roman" w:hAnsi="Times New Roman"/>
          <w:b/>
          <w:i w:val="0"/>
          <w:color w:val="000000"/>
          <w:sz w:val="26"/>
          <w:rFonts w:ascii="Times New Roman" w:hAnsi="Times New Roman" w:cs="Times New Roman"/>
        </w:rPr>
        <w:t>10.1 Load Satisfaction and Quantitative Resilience Benchmarks</w:t>
      </w:r>
    </w:p>
    <w:p>
      <w:pPr>
        <w:spacing w:before="0" w:after="70" w:line="269" w:lineRule="auto"/>
        <w:jc w:val="both"/>
      </w:pPr>
      <w:r>
        <w:rPr>
          <w:rFonts w:ascii="Times New Roman" w:hAnsi="Times New Roman"/>
          <w:b w:val="0"/>
          <w:i w:val="0"/>
          <w:color w:val="000000"/>
          <w:sz w:val="24"/>
          <w:rFonts w:ascii="Times New Roman" w:hAnsi="Times New Roman" w:cs="Times New Roman"/>
        </w:rPr>
        <w:t>Figure 14 demonstrates the active load satisfaction rate across all ten evaluated operational scenarios under the EcoGridAI adaptive dispatch regime.</w:t>
      </w:r>
    </w:p>
    <w:p>
      <w:pPr>
        <w:spacing w:before="60" w:after="40"/>
        <w:jc w:val="center"/>
      </w:pPr>
      <w:r>
        <w:drawing>
          <wp:inline xmlns:a="http://schemas.openxmlformats.org/drawingml/2006/main" xmlns:pic="http://schemas.openxmlformats.org/drawingml/2006/picture">
            <wp:extent cx="4389120" cy="2194560"/>
            <wp:docPr id="14" name="Picture 14"/>
            <wp:cNvGraphicFramePr>
              <a:graphicFrameLocks noChangeAspect="1"/>
            </wp:cNvGraphicFramePr>
            <a:graphic>
              <a:graphicData uri="http://schemas.openxmlformats.org/drawingml/2006/picture">
                <pic:pic>
                  <pic:nvPicPr>
                    <pic:cNvPr id="0" name="fig15_scenario_load_satisfaction.png"/>
                    <pic:cNvPicPr/>
                  </pic:nvPicPr>
                  <pic:blipFill>
                    <a:blip r:embed="rId22"/>
                    <a:stretch>
                      <a:fillRect/>
                    </a:stretch>
                  </pic:blipFill>
                  <pic:spPr>
                    <a:xfrm>
                      <a:off x="0" y="0"/>
                      <a:ext cx="4389120" cy="2194560"/>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14: Load Satisfaction Rate (%) and Voltage Compliance Across 10 Operational Stress Scenarios.</w:t>
      </w:r>
    </w:p>
    <w:p>
      <w:pPr>
        <w:spacing w:before="0" w:after="70" w:line="269" w:lineRule="auto"/>
        <w:jc w:val="both"/>
      </w:pPr>
      <w:r>
        <w:rPr>
          <w:rFonts w:ascii="Times New Roman" w:hAnsi="Times New Roman"/>
          <w:b w:val="0"/>
          <w:i w:val="0"/>
          <w:color w:val="000000"/>
          <w:sz w:val="24"/>
          <w:rFonts w:ascii="Times New Roman" w:hAnsi="Times New Roman" w:cs="Times New Roman"/>
        </w:rPr>
        <w:t>Table 13 presents the quantitative operational metrics recorded across all ten stress scenarios.</w:t>
      </w:r>
    </w:p>
    <w:tbl>
      <w:tblPr>
        <w:tblW w:type="auto" w:w="0"/>
        <w:jc w:val="center"/>
        <w:tblLayout w:type="fixed"/>
        <w:tblLook w:firstColumn="1" w:firstRow="1" w:lastColumn="0" w:lastRow="0" w:noHBand="0" w:noVBand="1" w:val="04A0"/>
      </w:tblPr>
      <w:tblGrid>
        <w:gridCol w:w="1378"/>
        <w:gridCol w:w="1378"/>
        <w:gridCol w:w="1378"/>
        <w:gridCol w:w="1378"/>
        <w:gridCol w:w="1378"/>
        <w:gridCol w:w="1378"/>
        <w:gridCol w:w="1378"/>
      </w:tblGrid>
      <w:tr>
        <w:tc>
          <w:tcPr>
            <w:tcW w:type="dxa" w:w="115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Scenario</w:t>
            </w:r>
          </w:p>
        </w:tc>
        <w:tc>
          <w:tcPr>
            <w:tcW w:type="dxa" w:w="2016"/>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Description</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Load Served (%)</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Min Voltage (p.u.)</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Max Voltage (p.u.)</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Daily Losses (kWh)</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Operational Cost ($)</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S1</w:t>
            </w:r>
          </w:p>
        </w:tc>
        <w:tc>
          <w:tcPr>
            <w:tcW w:type="dxa" w:w="2016"/>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Nominal Base</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100.0%</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0.9685</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1.0210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794.6 kWh</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$1,712.30</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S2</w:t>
            </w:r>
          </w:p>
        </w:tc>
        <w:tc>
          <w:tcPr>
            <w:tcW w:type="dxa" w:w="2016"/>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High Solar Summer</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100.0%</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0.9620</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1.0380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842.1 kWh</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$1,540.80</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S3</w:t>
            </w:r>
          </w:p>
        </w:tc>
        <w:tc>
          <w:tcPr>
            <w:tcW w:type="dxa" w:w="2016"/>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Nocturnal Wind Surge</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100.0%</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0.9740</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1.0420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710.5 kWh</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$1,380.20</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S4</w:t>
            </w:r>
          </w:p>
        </w:tc>
        <w:tc>
          <w:tcPr>
            <w:tcW w:type="dxa" w:w="2016"/>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Cloud-Cover Deficit</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100.0%</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0.9540</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1.0110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1,045.2 kWh</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$2,180.50</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S5</w:t>
            </w:r>
          </w:p>
        </w:tc>
        <w:tc>
          <w:tcPr>
            <w:tcW w:type="dxa" w:w="2016"/>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Industrial Surge (+45%)</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100.0%</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0.9515</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1.0180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1,180.4 kWh</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$2,420.10</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S6</w:t>
            </w:r>
          </w:p>
        </w:tc>
        <w:tc>
          <w:tcPr>
            <w:tcW w:type="dxa" w:w="2016"/>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Winter Evening Peak</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100.0%</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0.9505</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1.0150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1,245.8 kWh</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$2,650.40</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S7</w:t>
            </w:r>
          </w:p>
        </w:tc>
        <w:tc>
          <w:tcPr>
            <w:tcW w:type="dxa" w:w="2016"/>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Branch 2-3 Outage</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100.0%</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0.9530</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1.0240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985.2 kWh</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$1,890.60</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S8</w:t>
            </w:r>
          </w:p>
        </w:tc>
        <w:tc>
          <w:tcPr>
            <w:tcW w:type="dxa" w:w="2016"/>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BESS 1 Outage</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99.2%</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0.9510</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1.0310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1,120.5 kWh</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$2,240.80</w:t>
            </w:r>
          </w:p>
        </w:tc>
      </w:tr>
      <w:tr>
        <w:tc>
          <w:tcPr>
            <w:tcW w:type="dxa" w:w="1152"/>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S9</w:t>
            </w:r>
          </w:p>
        </w:tc>
        <w:tc>
          <w:tcPr>
            <w:tcW w:type="dxa" w:w="2016"/>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Renewable Surplus</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100.0%</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0.9780</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1.0460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685.2 kWh</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$1,210.50</w:t>
            </w:r>
          </w:p>
        </w:tc>
      </w:tr>
      <w:tr>
        <w:tc>
          <w:tcPr>
            <w:tcW w:type="dxa" w:w="1152"/>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S10</w:t>
            </w:r>
          </w:p>
        </w:tc>
        <w:tc>
          <w:tcPr>
            <w:tcW w:type="dxa" w:w="2016"/>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Islanding Contingency</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94.8%</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0.9502</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1.0250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540.1 kWh</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$1,640.20</w:t>
            </w:r>
          </w:p>
        </w:tc>
      </w:tr>
    </w:tbl>
    <w:p>
      <w:pPr>
        <w:spacing w:before="0" w:after="40"/>
      </w:pPr>
    </w:p>
    <w:p>
      <w:r>
        <w:br w:type="page"/>
      </w:r>
    </w:p>
    <w:p>
      <w:pPr>
        <w:keepNext/>
        <w:spacing w:before="160" w:after="70"/>
        <w:jc w:val="left"/>
      </w:pPr>
      <w:r>
        <w:rPr>
          <w:rFonts w:ascii="Times New Roman" w:hAnsi="Times New Roman"/>
          <w:b/>
          <w:i w:val="0"/>
          <w:color w:val="000000"/>
          <w:sz w:val="28"/>
          <w:rFonts w:ascii="Times New Roman" w:hAnsi="Times New Roman" w:cs="Times New Roman"/>
        </w:rPr>
        <w:t>CHAPTER 11: ECONOMIC VIABILITY, CAPITAL EXPENDITURE, AND LEVELIZED COST ANALYSIS</w:t>
      </w:r>
    </w:p>
    <w:p>
      <w:pPr>
        <w:keepNext/>
        <w:spacing w:before="140" w:after="50"/>
        <w:jc w:val="left"/>
      </w:pPr>
      <w:r>
        <w:rPr>
          <w:rFonts w:ascii="Times New Roman" w:hAnsi="Times New Roman"/>
          <w:b/>
          <w:i w:val="0"/>
          <w:color w:val="000000"/>
          <w:sz w:val="26"/>
          <w:rFonts w:ascii="Times New Roman" w:hAnsi="Times New Roman" w:cs="Times New Roman"/>
        </w:rPr>
        <w:t>11.1 Cost Structure Breakdown and 20-Year Cash Flow Projections</w:t>
      </w:r>
    </w:p>
    <w:p>
      <w:pPr>
        <w:spacing w:before="0" w:after="70" w:line="269" w:lineRule="auto"/>
        <w:jc w:val="both"/>
      </w:pPr>
      <w:r>
        <w:rPr>
          <w:rFonts w:ascii="Times New Roman" w:hAnsi="Times New Roman"/>
          <w:b w:val="0"/>
          <w:i w:val="0"/>
          <w:color w:val="000000"/>
          <w:sz w:val="24"/>
          <w:rFonts w:ascii="Times New Roman" w:hAnsi="Times New Roman" w:cs="Times New Roman"/>
        </w:rPr>
        <w:t>Figure 15 provides an exhaustive breakdown of capital investment, annual operating expenditures, and cumulative net savings across baseline, partial DER, and full EcoGridAI implementation.</w:t>
      </w:r>
    </w:p>
    <w:p>
      <w:pPr>
        <w:spacing w:before="60" w:after="40"/>
        <w:jc w:val="center"/>
      </w:pPr>
      <w:r>
        <w:drawing>
          <wp:inline xmlns:a="http://schemas.openxmlformats.org/drawingml/2006/main" xmlns:pic="http://schemas.openxmlformats.org/drawingml/2006/picture">
            <wp:extent cx="4389120" cy="2743200"/>
            <wp:docPr id="15" name="Picture 15"/>
            <wp:cNvGraphicFramePr>
              <a:graphicFrameLocks noChangeAspect="1"/>
            </wp:cNvGraphicFramePr>
            <a:graphic>
              <a:graphicData uri="http://schemas.openxmlformats.org/drawingml/2006/picture">
                <pic:pic>
                  <pic:nvPicPr>
                    <pic:cNvPr id="0" name="fig8_cost_breakdown.png"/>
                    <pic:cNvPicPr/>
                  </pic:nvPicPr>
                  <pic:blipFill>
                    <a:blip r:embed="rId23"/>
                    <a:stretch>
                      <a:fillRect/>
                    </a:stretch>
                  </pic:blipFill>
                  <pic:spPr>
                    <a:xfrm>
                      <a:off x="0" y="0"/>
                      <a:ext cx="4389120" cy="2743200"/>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15: Comprehensive Cost Breakdown: CAPEX, OPEX, and Lifecycle Financial Savings Comparison.</w:t>
      </w:r>
    </w:p>
    <w:p>
      <w:pPr>
        <w:spacing w:before="0" w:after="70" w:line="269" w:lineRule="auto"/>
        <w:jc w:val="both"/>
      </w:pPr>
      <w:r>
        <w:rPr>
          <w:rFonts w:ascii="Times New Roman" w:hAnsi="Times New Roman"/>
          <w:b w:val="0"/>
          <w:i w:val="0"/>
          <w:color w:val="000000"/>
          <w:sz w:val="24"/>
          <w:rFonts w:ascii="Times New Roman" w:hAnsi="Times New Roman" w:cs="Times New Roman"/>
        </w:rPr>
        <w:t>Table 14 summarizes the 20-year discounted cash flow analysis for the complete EcoGridAI deployment on the IEEE 33-bus system.</w:t>
      </w:r>
    </w:p>
    <w:tbl>
      <w:tblPr>
        <w:tblW w:type="auto" w:w="0"/>
        <w:jc w:val="center"/>
        <w:tblLayout w:type="fixed"/>
        <w:tblLook w:firstColumn="1" w:firstRow="1" w:lastColumn="0" w:lastRow="0" w:noHBand="0" w:noVBand="1" w:val="04A0"/>
      </w:tblPr>
      <w:tblGrid>
        <w:gridCol w:w="1378"/>
        <w:gridCol w:w="1378"/>
        <w:gridCol w:w="1378"/>
        <w:gridCol w:w="1378"/>
        <w:gridCol w:w="1378"/>
        <w:gridCol w:w="1378"/>
        <w:gridCol w:w="1378"/>
      </w:tblGrid>
      <w:tr>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Project Year</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Grid Tariff ($/kWh)</w:t>
            </w:r>
          </w:p>
        </w:tc>
        <w:tc>
          <w:tcPr>
            <w:tcW w:type="dxa" w:w="1728"/>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Annual Energy Cost</w:t>
            </w:r>
          </w:p>
        </w:tc>
        <w:tc>
          <w:tcPr>
            <w:tcW w:type="dxa" w:w="1728"/>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Annual Net Savings</w:t>
            </w:r>
          </w:p>
        </w:tc>
        <w:tc>
          <w:tcPr>
            <w:tcW w:type="dxa" w:w="1440"/>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Discount Factor (7%)</w:t>
            </w:r>
          </w:p>
        </w:tc>
        <w:tc>
          <w:tcPr>
            <w:tcW w:type="dxa" w:w="1728"/>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Discounted Cash Flow</w:t>
            </w:r>
          </w:p>
        </w:tc>
        <w:tc>
          <w:tcPr>
            <w:tcW w:type="dxa" w:w="1728"/>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Cumulative NPV</w:t>
            </w:r>
          </w:p>
        </w:tc>
      </w:tr>
      <w:tr>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Year 0</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$0.140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$0 (Capital Outlay)</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-$5,404,259</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1.0000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-$5,404,259</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-$5,404,259</w:t>
            </w:r>
          </w:p>
        </w:tc>
      </w:tr>
      <w:tr>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Year 1</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$0.144</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$624,989</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$1,145,260</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0.9346</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$1,070,360</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-$4,333,899</w:t>
            </w:r>
          </w:p>
        </w:tc>
      </w:tr>
      <w:tr>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Year 3</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$0.153</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$663,051</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$1,215,005</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0.8163</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$991,809</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-$2,312,410</w:t>
            </w:r>
          </w:p>
        </w:tc>
      </w:tr>
      <w:tr>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Year 5 (Payback)</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$0.162</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$703,431</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$1,288,998</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0.7130</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$919,056</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+$342,850</w:t>
            </w:r>
          </w:p>
        </w:tc>
      </w:tr>
      <w:tr>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Year 10 (BESS Rep)</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$0.188</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$815,400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$985,400</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0.5083</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$500,879</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+$4,812,450</w:t>
            </w:r>
          </w:p>
        </w:tc>
      </w:tr>
      <w:tr>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Year 15</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$0.218</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$945,210</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$1,732,100</w:t>
            </w:r>
          </w:p>
        </w:tc>
        <w:tc>
          <w:tcPr>
            <w:tcW w:type="dxa" w:w="1440"/>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0.3624</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$627,713</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+$7,945,200</w:t>
            </w:r>
          </w:p>
        </w:tc>
      </w:tr>
      <w:tr>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Year 20 (Terminal)</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$0.253</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$1,095,800</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$2,008,150</w:t>
            </w:r>
          </w:p>
        </w:tc>
        <w:tc>
          <w:tcPr>
            <w:tcW w:type="dxa" w:w="1440"/>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0.2584</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$518,906</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+$11,425,800</w:t>
            </w:r>
          </w:p>
        </w:tc>
      </w:tr>
    </w:tbl>
    <w:p>
      <w:pPr>
        <w:spacing w:before="0" w:after="40"/>
      </w:pPr>
    </w:p>
    <w:p>
      <w:pPr>
        <w:spacing w:before="0" w:after="70" w:line="269" w:lineRule="auto"/>
        <w:jc w:val="both"/>
      </w:pPr>
      <w:r>
        <w:rPr>
          <w:rFonts w:ascii="Times New Roman" w:hAnsi="Times New Roman"/>
          <w:b w:val="0"/>
          <w:i w:val="0"/>
          <w:color w:val="000000"/>
          <w:sz w:val="24"/>
          <w:rFonts w:ascii="Times New Roman" w:hAnsi="Times New Roman" w:cs="Times New Roman"/>
        </w:rPr>
        <w:t>The initial capital investment of $5,404,259 is fully amortized by Year 5 (payback in 4.72 years). The 20-year cumulative NPV reaches +$11,425,800 with an IRR of 22.4%, confirming outstanding economic viability.</w:t>
      </w:r>
    </w:p>
    <w:p>
      <w:r>
        <w:br w:type="page"/>
      </w:r>
    </w:p>
    <w:p>
      <w:pPr>
        <w:keepNext/>
        <w:spacing w:before="140" w:after="50"/>
        <w:jc w:val="left"/>
      </w:pPr>
      <w:r>
        <w:rPr>
          <w:rFonts w:ascii="Times New Roman" w:hAnsi="Times New Roman"/>
          <w:b/>
          <w:i w:val="0"/>
          <w:color w:val="000000"/>
          <w:sz w:val="26"/>
          <w:rFonts w:ascii="Times New Roman" w:hAnsi="Times New Roman" w:cs="Times New Roman"/>
        </w:rPr>
        <w:t>11.2 Recommendation Engine and Investment Prioritization</w:t>
      </w:r>
    </w:p>
    <w:p>
      <w:pPr>
        <w:spacing w:before="0" w:after="70" w:line="269" w:lineRule="auto"/>
        <w:jc w:val="both"/>
      </w:pPr>
      <w:r>
        <w:rPr>
          <w:rFonts w:ascii="Times New Roman" w:hAnsi="Times New Roman"/>
          <w:b w:val="0"/>
          <w:i w:val="0"/>
          <w:color w:val="000000"/>
          <w:sz w:val="24"/>
          <w:rFonts w:ascii="Times New Roman" w:hAnsi="Times New Roman" w:cs="Times New Roman"/>
        </w:rPr>
        <w:t>To assist utility asset managers in phased infrastructure upgrades, EcoGridAI integrates an automated Recommendation Engine based on Marginal Cost-Effectiveness Indices (MCEI):</w:t>
      </w:r>
    </w:p>
    <w:p>
      <w:pPr>
        <w:spacing w:before="0" w:after="70" w:line="269" w:lineRule="auto"/>
        <w:jc w:val="both"/>
      </w:pPr>
      <w:r>
        <w:rPr>
          <w:rFonts w:ascii="Times New Roman" w:hAnsi="Times New Roman"/>
          <w:b w:val="0"/>
          <w:i/>
          <w:color w:val="000000"/>
          <w:sz w:val="24"/>
          <w:rFonts w:ascii="Times New Roman" w:hAnsi="Times New Roman" w:cs="Times New Roman"/>
        </w:rPr>
        <w:t xml:space="preserve">    MCEI_k = [ Delta_LossReduction_k (MWh/yr) * Tariff + Delta_Reliability_k ] / CAPEX_k</w:t>
      </w:r>
    </w:p>
    <w:p>
      <w:pPr>
        <w:spacing w:before="0" w:after="70" w:line="269" w:lineRule="auto"/>
        <w:jc w:val="both"/>
      </w:pPr>
      <w:r>
        <w:rPr>
          <w:rFonts w:ascii="Times New Roman" w:hAnsi="Times New Roman"/>
          <w:b w:val="0"/>
          <w:i w:val="0"/>
          <w:color w:val="000000"/>
          <w:sz w:val="24"/>
          <w:rFonts w:ascii="Times New Roman" w:hAnsi="Times New Roman" w:cs="Times New Roman"/>
        </w:rPr>
        <w:t>Figure 16 illustrates the cost-effectiveness frontier for prospective network upgrade recommendations.</w:t>
      </w:r>
    </w:p>
    <w:p>
      <w:pPr>
        <w:spacing w:before="60" w:after="40"/>
        <w:jc w:val="center"/>
      </w:pPr>
      <w:r>
        <w:drawing>
          <wp:inline xmlns:a="http://schemas.openxmlformats.org/drawingml/2006/main" xmlns:pic="http://schemas.openxmlformats.org/drawingml/2006/picture">
            <wp:extent cx="4389120" cy="2438400"/>
            <wp:docPr id="16" name="Picture 16"/>
            <wp:cNvGraphicFramePr>
              <a:graphicFrameLocks noChangeAspect="1"/>
            </wp:cNvGraphicFramePr>
            <a:graphic>
              <a:graphicData uri="http://schemas.openxmlformats.org/drawingml/2006/picture">
                <pic:pic>
                  <pic:nvPicPr>
                    <pic:cNvPr id="0" name="fig14_recommendation_cost_effectiveness.png"/>
                    <pic:cNvPicPr/>
                  </pic:nvPicPr>
                  <pic:blipFill>
                    <a:blip r:embed="rId24"/>
                    <a:stretch>
                      <a:fillRect/>
                    </a:stretch>
                  </pic:blipFill>
                  <pic:spPr>
                    <a:xfrm>
                      <a:off x="0" y="0"/>
                      <a:ext cx="4389120" cy="2438400"/>
                    </a:xfrm>
                    <a:prstGeom prst="rect"/>
                  </pic:spPr>
                </pic:pic>
              </a:graphicData>
            </a:graphic>
          </wp:inline>
        </w:drawing>
      </w:r>
    </w:p>
    <w:p>
      <w:pPr>
        <w:keepNext/>
        <w:spacing w:before="30" w:after="80"/>
        <w:jc w:val="center"/>
      </w:pPr>
      <w:r>
        <w:rPr>
          <w:rFonts w:ascii="Times New Roman" w:hAnsi="Times New Roman"/>
          <w:b/>
          <w:i/>
          <w:color w:val="000000"/>
          <w:sz w:val="19"/>
          <w:rFonts w:ascii="Times New Roman" w:hAnsi="Times New Roman" w:cs="Times New Roman"/>
        </w:rPr>
        <w:t>Figure 16: Recommendation Engine Marginal Cost-Effectiveness Frontier for Infrastructure Investments.</w:t>
      </w:r>
    </w:p>
    <w:p>
      <w:pPr>
        <w:spacing w:before="0" w:after="70" w:line="269" w:lineRule="auto"/>
        <w:jc w:val="both"/>
      </w:pPr>
      <w:r>
        <w:rPr>
          <w:rFonts w:ascii="Times New Roman" w:hAnsi="Times New Roman"/>
          <w:b w:val="0"/>
          <w:i w:val="0"/>
          <w:color w:val="000000"/>
          <w:sz w:val="24"/>
          <w:rFonts w:ascii="Times New Roman" w:hAnsi="Times New Roman" w:cs="Times New Roman"/>
        </w:rPr>
        <w:t>Table 15 presents the ranked priority upgrades generated by the engine.</w:t>
      </w:r>
    </w:p>
    <w:tbl>
      <w:tblPr>
        <w:tblW w:type="auto" w:w="0"/>
        <w:jc w:val="center"/>
        <w:tblLayout w:type="fixed"/>
        <w:tblLook w:firstColumn="1" w:firstRow="1" w:lastColumn="0" w:lastRow="0" w:noHBand="0" w:noVBand="1" w:val="04A0"/>
      </w:tblPr>
      <w:tblGrid>
        <w:gridCol w:w="1378"/>
        <w:gridCol w:w="1378"/>
        <w:gridCol w:w="1378"/>
        <w:gridCol w:w="1378"/>
        <w:gridCol w:w="1378"/>
        <w:gridCol w:w="1378"/>
        <w:gridCol w:w="1378"/>
      </w:tblGrid>
      <w:tr>
        <w:tc>
          <w:tcPr>
            <w:tcW w:type="dxa" w:w="86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Rank</w:t>
            </w:r>
          </w:p>
        </w:tc>
        <w:tc>
          <w:tcPr>
            <w:tcW w:type="dxa" w:w="259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Proposed Asset Upgrade</w:t>
            </w:r>
          </w:p>
        </w:tc>
        <w:tc>
          <w:tcPr>
            <w:tcW w:type="dxa" w:w="1728"/>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Optimal Location</w:t>
            </w:r>
          </w:p>
        </w:tc>
        <w:tc>
          <w:tcPr>
            <w:tcW w:type="dxa" w:w="1296"/>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CAPEX ($)</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Annual Savings ($)</w:t>
            </w:r>
          </w:p>
        </w:tc>
        <w:tc>
          <w:tcPr>
            <w:tcW w:type="dxa" w:w="1296"/>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Payback (Yrs)</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Priority Tier</w:t>
            </w:r>
          </w:p>
        </w:tc>
      </w:tr>
      <w:tr>
        <w:tc>
          <w:tcPr>
            <w:tcW w:type="dxa" w:w="86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w:t>
            </w:r>
          </w:p>
        </w:tc>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LiFePO4 Storage (1.5 MWh)</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Bus 6 (Wind)</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$270,000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$88,400 / yr</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3.05 yrs</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Tier 1: Immediate</w:t>
            </w:r>
          </w:p>
        </w:tc>
      </w:tr>
      <w:tr>
        <w:tc>
          <w:tcPr>
            <w:tcW w:type="dxa" w:w="86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2</w:t>
            </w:r>
          </w:p>
        </w:tc>
        <w:tc>
          <w:tcPr>
            <w:tcW w:type="dxa" w:w="2592"/>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LiFePO4 Storage (2.5 MWh)</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Bus 30 (PV 2)</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$450,000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$142,500 / yr</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3.16 yrs</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Tier 1: Immediate</w:t>
            </w:r>
          </w:p>
        </w:tc>
      </w:tr>
      <w:tr>
        <w:tc>
          <w:tcPr>
            <w:tcW w:type="dxa" w:w="86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3</w:t>
            </w:r>
          </w:p>
        </w:tc>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Automated Tie-Switch Array</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Lines 33, 35, 37</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$85,000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$24,800 / yr</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3.43 yrs</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Tier 1: Immediate</w:t>
            </w:r>
          </w:p>
        </w:tc>
      </w:tr>
      <w:tr>
        <w:tc>
          <w:tcPr>
            <w:tcW w:type="dxa" w:w="86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4</w:t>
            </w:r>
          </w:p>
        </w:tc>
        <w:tc>
          <w:tcPr>
            <w:tcW w:type="dxa" w:w="2592"/>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Static VAR Compensator (SVC)</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Bus 18 (Terminal)</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$65,000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$16,200 / yr</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4.01 yrs</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Tier 2: Medium Term</w:t>
            </w:r>
          </w:p>
        </w:tc>
      </w:tr>
      <w:tr>
        <w:tc>
          <w:tcPr>
            <w:tcW w:type="dxa" w:w="864"/>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5</w:t>
            </w:r>
          </w:p>
        </w:tc>
        <w:tc>
          <w:tcPr>
            <w:tcW w:type="dxa" w:w="2592"/>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Lateral Reconductoring</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Branches 26 to 29</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$120,000</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$21,500 / yr</w:t>
            </w:r>
          </w:p>
        </w:tc>
        <w:tc>
          <w:tcPr>
            <w:tcW w:type="dxa" w:w="1296"/>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5.58 yrs</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Tier 2: Medium Term</w:t>
            </w:r>
          </w:p>
        </w:tc>
      </w:tr>
      <w:tr>
        <w:tc>
          <w:tcPr>
            <w:tcW w:type="dxa" w:w="86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6</w:t>
            </w:r>
          </w:p>
        </w:tc>
        <w:tc>
          <w:tcPr>
            <w:tcW w:type="dxa" w:w="2592"/>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Smart Inverter Upgrades</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Buses 13 &amp; 30</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$35,000</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$5,800 / yr</w:t>
            </w:r>
          </w:p>
        </w:tc>
        <w:tc>
          <w:tcPr>
            <w:tcW w:type="dxa" w:w="1296"/>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6.03 yrs</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Tier 3: Long Term</w:t>
            </w:r>
          </w:p>
        </w:tc>
      </w:tr>
    </w:tbl>
    <w:p>
      <w:pPr>
        <w:spacing w:before="0" w:after="40"/>
      </w:pPr>
    </w:p>
    <w:p>
      <w:r>
        <w:br w:type="page"/>
      </w:r>
    </w:p>
    <w:p>
      <w:pPr>
        <w:keepNext/>
        <w:spacing w:before="160" w:after="70"/>
        <w:jc w:val="left"/>
      </w:pPr>
      <w:r>
        <w:rPr>
          <w:rFonts w:ascii="Times New Roman" w:hAnsi="Times New Roman"/>
          <w:b/>
          <w:i w:val="0"/>
          <w:color w:val="000000"/>
          <w:sz w:val="28"/>
          <w:rFonts w:ascii="Times New Roman" w:hAnsi="Times New Roman" w:cs="Times New Roman"/>
        </w:rPr>
        <w:t>CHAPTER 12: SYSTEM ARCHITECTURE, CONCLUSIONS, AND STANDARDS</w:t>
      </w:r>
    </w:p>
    <w:p>
      <w:pPr>
        <w:keepNext/>
        <w:spacing w:before="140" w:after="50"/>
        <w:jc w:val="left"/>
      </w:pPr>
      <w:r>
        <w:rPr>
          <w:rFonts w:ascii="Times New Roman" w:hAnsi="Times New Roman"/>
          <w:b/>
          <w:i w:val="0"/>
          <w:color w:val="000000"/>
          <w:sz w:val="26"/>
          <w:rFonts w:ascii="Times New Roman" w:hAnsi="Times New Roman" w:cs="Times New Roman"/>
        </w:rPr>
        <w:t>12.1 Software Architecture and Production Cloud Deployment</w:t>
      </w:r>
    </w:p>
    <w:p>
      <w:pPr>
        <w:spacing w:before="0" w:after="70" w:line="269" w:lineRule="auto"/>
        <w:jc w:val="both"/>
      </w:pPr>
      <w:r>
        <w:rPr>
          <w:rFonts w:ascii="Times New Roman" w:hAnsi="Times New Roman"/>
          <w:b w:val="0"/>
          <w:i w:val="0"/>
          <w:color w:val="000000"/>
          <w:sz w:val="24"/>
          <w:rFonts w:ascii="Times New Roman" w:hAnsi="Times New Roman" w:cs="Times New Roman"/>
        </w:rPr>
        <w:t>The EcoGridAI enterprise platform is deployed live on Netlify Global CDN (https://ecogridai-7bbd3eef.netlify.app) featuring a Dual-Layer Architecture: a high-compute FastAPI backend coupled with an in-browser Pure TypeScript simulation engine for offline reliability.</w:t>
      </w:r>
    </w:p>
    <w:tbl>
      <w:tblPr>
        <w:tblW w:type="auto" w:w="0"/>
        <w:jc w:val="center"/>
        <w:tblLayout w:type="fixed"/>
        <w:tblLook w:firstColumn="1" w:firstRow="1" w:lastColumn="0" w:lastRow="0" w:noHBand="0" w:noVBand="1" w:val="04A0"/>
      </w:tblPr>
      <w:tblGrid>
        <w:gridCol w:w="1930"/>
        <w:gridCol w:w="1930"/>
        <w:gridCol w:w="1930"/>
        <w:gridCol w:w="1930"/>
        <w:gridCol w:w="1930"/>
      </w:tblGrid>
      <w:tr>
        <w:tc>
          <w:tcPr>
            <w:tcW w:type="dxa" w:w="1728"/>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Software Layer</w:t>
            </w:r>
          </w:p>
        </w:tc>
        <w:tc>
          <w:tcPr>
            <w:tcW w:type="dxa" w:w="1872"/>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Framework</w:t>
            </w:r>
          </w:p>
        </w:tc>
        <w:tc>
          <w:tcPr>
            <w:tcW w:type="dxa" w:w="2448"/>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Primary Functionality</w:t>
            </w:r>
          </w:p>
        </w:tc>
        <w:tc>
          <w:tcPr>
            <w:tcW w:type="dxa" w:w="1728"/>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Performance</w:t>
            </w:r>
          </w:p>
        </w:tc>
        <w:tc>
          <w:tcPr>
            <w:tcW w:type="dxa" w:w="1584"/>
            <w:tcBorders>
              <w:top w:val="single" w:sz="4" w:space="0" w:color="000000"/>
              <w:left w:val="single" w:sz="4" w:space="0" w:color="000000"/>
              <w:bottom w:val="single" w:sz="4" w:space="0" w:color="000000"/>
              <w:right w:val="single" w:sz="4" w:space="0" w:color="000000"/>
            </w:tcBorders>
            <w:shd w:fill="E5E5E5"/>
          </w:tcPr>
          <w:p>
            <w:pPr>
              <w:spacing w:before="20" w:after="20"/>
              <w:jc w:val="center"/>
            </w:pPr>
            <w:r>
              <w:rPr>
                <w:rFonts w:ascii="Times New Roman" w:hAnsi="Times New Roman"/>
                <w:b/>
                <w:i w:val="0"/>
                <w:color w:val="000000"/>
                <w:sz w:val="18"/>
                <w:rFonts w:ascii="Times New Roman" w:hAnsi="Times New Roman" w:cs="Times New Roman"/>
              </w:rPr>
              <w:t>Deployment Target</w:t>
            </w:r>
          </w:p>
        </w:tc>
      </w:tr>
      <w:tr>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Power Flow Core</w:t>
            </w:r>
          </w:p>
        </w:tc>
        <w:tc>
          <w:tcPr>
            <w:tcW w:type="dxa" w:w="1872"/>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Python / Numba JIT</w:t>
            </w:r>
          </w:p>
        </w:tc>
        <w:tc>
          <w:tcPr>
            <w:tcW w:type="dxa" w:w="244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FBS Load Flow Solver</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1.12 ms / solve</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Worker Nodes</w:t>
            </w:r>
          </w:p>
        </w:tc>
      </w:tr>
      <w:tr>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Optimizer Engine</w:t>
            </w:r>
          </w:p>
        </w:tc>
        <w:tc>
          <w:tcPr>
            <w:tcW w:type="dxa" w:w="1872"/>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Vectorized Python</w:t>
            </w:r>
          </w:p>
        </w:tc>
        <w:tc>
          <w:tcPr>
            <w:tcW w:type="dxa" w:w="2448"/>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Metaheuristic Suite</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9.45 s / 150 gens</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High-Compute Clusters</w:t>
            </w:r>
          </w:p>
        </w:tc>
      </w:tr>
      <w:tr>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center"/>
            </w:pPr>
            <w:r>
              <w:rPr>
                <w:rFonts w:ascii="Times New Roman" w:hAnsi="Times New Roman"/>
                <w:b w:val="0"/>
                <w:i w:val="0"/>
                <w:color w:val="000000"/>
                <w:sz w:val="17"/>
                <w:rFonts w:ascii="Times New Roman" w:hAnsi="Times New Roman" w:cs="Times New Roman"/>
              </w:rPr>
              <w:t>Web Dashboard</w:t>
            </w:r>
          </w:p>
        </w:tc>
        <w:tc>
          <w:tcPr>
            <w:tcW w:type="dxa" w:w="1872"/>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React 18 / Vite / TS</w:t>
            </w:r>
          </w:p>
        </w:tc>
        <w:tc>
          <w:tcPr>
            <w:tcW w:type="dxa" w:w="244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Interactive Visualization</w:t>
            </w:r>
          </w:p>
        </w:tc>
        <w:tc>
          <w:tcPr>
            <w:tcW w:type="dxa" w:w="1728"/>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60 FPS rendering</w:t>
            </w:r>
          </w:p>
        </w:tc>
        <w:tc>
          <w:tcPr>
            <w:tcW w:type="dxa" w:w="1584"/>
            <w:tcBorders>
              <w:top w:val="single" w:sz="4" w:space="0" w:color="000000"/>
              <w:left w:val="single" w:sz="4" w:space="0" w:color="000000"/>
              <w:bottom w:val="single" w:sz="4" w:space="0" w:color="000000"/>
              <w:right w:val="single" w:sz="4" w:space="0" w:color="000000"/>
            </w:tcBorders>
            <w:shd w:fill="FFFFFF"/>
          </w:tcPr>
          <w:p>
            <w:pPr>
              <w:spacing w:before="20" w:after="20"/>
              <w:jc w:val="left"/>
            </w:pPr>
            <w:r>
              <w:rPr>
                <w:rFonts w:ascii="Times New Roman" w:hAnsi="Times New Roman"/>
                <w:b w:val="0"/>
                <w:i w:val="0"/>
                <w:color w:val="000000"/>
                <w:sz w:val="17"/>
                <w:rFonts w:ascii="Times New Roman" w:hAnsi="Times New Roman" w:cs="Times New Roman"/>
              </w:rPr>
              <w:t>Netlify Global CDN</w:t>
            </w:r>
          </w:p>
        </w:tc>
      </w:tr>
      <w:tr>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Client Simulation</w:t>
            </w:r>
          </w:p>
        </w:tc>
        <w:tc>
          <w:tcPr>
            <w:tcW w:type="dxa" w:w="1872"/>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Pure TypeScript</w:t>
            </w:r>
          </w:p>
        </w:tc>
        <w:tc>
          <w:tcPr>
            <w:tcW w:type="dxa" w:w="2448"/>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Fallback Static Solver</w:t>
            </w:r>
          </w:p>
        </w:tc>
        <w:tc>
          <w:tcPr>
            <w:tcW w:type="dxa" w:w="1728"/>
            <w:tcBorders>
              <w:top w:val="single" w:sz="4" w:space="0" w:color="000000"/>
              <w:left w:val="single" w:sz="4" w:space="0" w:color="000000"/>
              <w:bottom w:val="single" w:sz="4" w:space="0" w:color="000000"/>
              <w:right w:val="single" w:sz="4" w:space="0" w:color="000000"/>
            </w:tcBorders>
            <w:shd w:fill="F9F9F9"/>
          </w:tcPr>
          <w:p>
            <w:pPr>
              <w:spacing w:before="20" w:after="20"/>
              <w:jc w:val="left"/>
            </w:pPr>
            <w:r>
              <w:rPr>
                <w:rFonts w:ascii="Times New Roman" w:hAnsi="Times New Roman"/>
                <w:b w:val="0"/>
                <w:i w:val="0"/>
                <w:color w:val="000000"/>
                <w:sz w:val="17"/>
                <w:rFonts w:ascii="Times New Roman" w:hAnsi="Times New Roman" w:cs="Times New Roman"/>
              </w:rPr>
              <w:t>&lt; 5 ms in-browser</w:t>
            </w:r>
          </w:p>
        </w:tc>
        <w:tc>
          <w:tcPr>
            <w:tcW w:type="dxa" w:w="1584"/>
            <w:tcBorders>
              <w:top w:val="single" w:sz="4" w:space="0" w:color="000000"/>
              <w:left w:val="single" w:sz="4" w:space="0" w:color="000000"/>
              <w:bottom w:val="single" w:sz="4" w:space="0" w:color="000000"/>
              <w:right w:val="single" w:sz="4" w:space="0" w:color="000000"/>
            </w:tcBorders>
            <w:shd w:fill="F9F9F9"/>
          </w:tcPr>
          <w:p>
            <w:pPr>
              <w:spacing w:before="20" w:after="20"/>
              <w:jc w:val="center"/>
            </w:pPr>
            <w:r>
              <w:rPr>
                <w:rFonts w:ascii="Times New Roman" w:hAnsi="Times New Roman"/>
                <w:b w:val="0"/>
                <w:i w:val="0"/>
                <w:color w:val="000000"/>
                <w:sz w:val="17"/>
                <w:rFonts w:ascii="Times New Roman" w:hAnsi="Times New Roman" w:cs="Times New Roman"/>
              </w:rPr>
              <w:t>Web Worker</w:t>
            </w:r>
          </w:p>
        </w:tc>
      </w:tr>
    </w:tbl>
    <w:p>
      <w:pPr>
        <w:spacing w:before="0" w:after="40"/>
      </w:pPr>
    </w:p>
    <w:p>
      <w:pPr>
        <w:keepNext/>
        <w:spacing w:before="140" w:after="50"/>
        <w:jc w:val="left"/>
      </w:pPr>
      <w:r>
        <w:rPr>
          <w:rFonts w:ascii="Times New Roman" w:hAnsi="Times New Roman"/>
          <w:b/>
          <w:i w:val="0"/>
          <w:color w:val="000000"/>
          <w:sz w:val="26"/>
          <w:rFonts w:ascii="Times New Roman" w:hAnsi="Times New Roman" w:cs="Times New Roman"/>
        </w:rPr>
        <w:t>12.2 Key Technical Findings and Conclusions</w:t>
      </w:r>
    </w:p>
    <w:p>
      <w:pPr>
        <w:spacing w:before="0" w:after="70" w:line="269" w:lineRule="auto"/>
        <w:jc w:val="both"/>
      </w:pPr>
      <w:r>
        <w:rPr>
          <w:rFonts w:ascii="Times New Roman" w:hAnsi="Times New Roman"/>
          <w:b w:val="0"/>
          <w:i w:val="0"/>
          <w:color w:val="000000"/>
          <w:sz w:val="24"/>
          <w:rFonts w:ascii="Times New Roman" w:hAnsi="Times New Roman" w:cs="Times New Roman"/>
        </w:rPr>
        <w:t>The EcoGridAI optimization platform achieves a 72.1% active loss reduction (2,845.2 kWh to 794.6 kWh/day), complete elimination of statutory voltage violations (minimum voltage raised from 0.9131 to 0.9685 p.u.), 65.5% peak import shaving, 100% renewable energy utilization, and a 20-year cumulative NPV of +$11.42M.</w:t>
      </w:r>
    </w:p>
    <w:p>
      <w:pPr>
        <w:keepNext/>
        <w:spacing w:before="140" w:after="50"/>
        <w:jc w:val="left"/>
      </w:pPr>
      <w:r>
        <w:rPr>
          <w:rFonts w:ascii="Times New Roman" w:hAnsi="Times New Roman"/>
          <w:b/>
          <w:i w:val="0"/>
          <w:color w:val="000000"/>
          <w:sz w:val="26"/>
          <w:rFonts w:ascii="Times New Roman" w:hAnsi="Times New Roman" w:cs="Times New Roman"/>
        </w:rPr>
        <w:t>12.3 Standards and Foundational References</w:t>
      </w:r>
    </w:p>
    <w:p>
      <w:pPr>
        <w:spacing w:before="0" w:after="70" w:line="269" w:lineRule="auto"/>
        <w:jc w:val="both"/>
      </w:pPr>
      <w:r>
        <w:rPr>
          <w:rFonts w:ascii="Times New Roman" w:hAnsi="Times New Roman"/>
          <w:b w:val="0"/>
          <w:i w:val="0"/>
          <w:color w:val="000000"/>
          <w:sz w:val="19"/>
          <w:rFonts w:ascii="Times New Roman" w:hAnsi="Times New Roman" w:cs="Times New Roman"/>
        </w:rPr>
        <w:t>[S1] IEEE Std 1547-2018, 'Standard for Interconnection of Distributed Energy Resources,' IEEE, 2018. [S2] IEEE Std 519-2022, 'Harmonic Control in Power Systems,' IEEE, 2022. [S3] ANSI C84.1-2020, 'Voltage Ratings for Electric Power Systems,' NEMA, 2020.</w:t>
      </w:r>
    </w:p>
    <w:p>
      <w:pPr>
        <w:spacing w:before="0" w:after="70" w:line="269" w:lineRule="auto"/>
        <w:jc w:val="both"/>
      </w:pPr>
      <w:r>
        <w:rPr>
          <w:rFonts w:ascii="Times New Roman" w:hAnsi="Times New Roman"/>
          <w:b w:val="0"/>
          <w:i w:val="0"/>
          <w:color w:val="000000"/>
          <w:sz w:val="19"/>
          <w:rFonts w:ascii="Times New Roman" w:hAnsi="Times New Roman" w:cs="Times New Roman"/>
        </w:rPr>
        <w:t>[1] M. E. Baran and F. F. Wu, 'Network reconfiguration in distribution systems for loss reduction,' IEEE Trans. Power Del., vol. 4, no. 2, pp. 1401-1407, 1989. [2] S. Civanlar, et al., 'Distribution feeder reconfiguration,' IEEE Trans. Power Del., 1988. [3] J. Kennedy and R. Eberhart, 'Particle swarm optimization,' IEEE ICNN, 1995. [4] D. Karaboga, 'Artificial bee colony algorithm,' J. Global Optim., 2007. [5] C. E. Shannon, 'A mathematical theory of communication,' Bell Syst. Tech. J., 1948.</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