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theme/theme1.xml" ContentType="application/vnd.openxmlformats-officedocument.theme+xml"/>
  <ns0:Override PartName="/word/settings.xml" ContentType="application/vnd.openxmlformats-officedocument.wordprocessingml.settings+xml"/>
  <ns0:Override PartName="/word/styles.xml" ContentType="application/vnd.openxmlformats-officedocument.wordprocessingml.styles+xml"/>
  <ns0:Override PartName="/word/webSettings.xml" ContentType="application/vnd.openxmlformats-officedocument.wordprocessingml.webSettings+xml"/>
  <ns0:Override PartName="/word/fontTable.xml" ContentType="application/vnd.openxmlformats-officedocument.wordprocessingml.fontTable+xml"/>
  <ns0:Override PartName="/docProps/core.xml" ContentType="application/vnd.openxmlformats-package.core-properties+xml"/>
  <ns0:Override PartName="/docProps/app.xml" ContentType="application/vnd.openxmlformats-officedocument.extended-properties+xml"/>
</ns0:Types>
</file>

<file path=_rels/.rel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42C48" w14:textId="77777777" w:rsidR="006E0779" w:rsidRDefault="006E0779" w:rsidP="006E0779">
      <w:pPr>
        <w:spacing w:after="480"/>
      </w:pPr>
    </w:p>
    <w:p w14:paraId="1587346E" w14:textId="7EF30FFD" w:rsidR="006E0779" w:rsidRDefault="006E0779" w:rsidP="006E0779">
      <w:pPr>
        <w:pStyle w:val="Title"/>
        <w:spacing w:after="200"/>
        <w:jc w:val="center"/>
      </w:pPr>
      <w:r>
        <w:t>FraudLens</w:t>
      </w:r>
    </w:p>
    <w:p w14:paraId="57F178D7" w14:textId="65B5B375" w:rsidR="006E0779" w:rsidRDefault="006E0779" w:rsidP="006E0779">
      <w:pPr>
        <w:pStyle w:val="Subtitle"/>
        <w:spacing w:after="440"/>
        <w:jc w:val="center"/>
      </w:pPr>
      <w:r>
        <w:t>Explainable Machine Learning for Credit Card Fraud Detection and Investigation</w:t>
      </w:r>
    </w:p>
    <w:p w14:paraId="0A6B2E00" w14:textId="4CD06714" w:rsidR="006E0779" w:rsidRDefault="006E0779" w:rsidP="006E0779">
      <w:pPr>
        <w:jc w:val="center"/>
      </w:pPr>
      <w:r>
        <w:t>A Practice School Report</w:t>
      </w:r>
    </w:p>
    <w:p w14:paraId="4E8F3329" w14:textId="66AA9491" w:rsidR="006E0779" w:rsidRDefault="006E0779" w:rsidP="006E0779">
      <w:pPr>
        <w:spacing w:after="60"/>
        <w:jc w:val="center"/>
      </w:pPr>
      <w:r>
        <w:t>submitted to Manipal Academy of Higher Education</w:t>
      </w:r>
    </w:p>
    <w:p w14:paraId="142D3FD6" w14:textId="26F6C06C" w:rsidR="006E0779" w:rsidRDefault="006E0779" w:rsidP="006E0779">
      <w:pPr>
        <w:spacing w:after="280"/>
        <w:jc w:val="center"/>
      </w:pPr>
      <w:r>
        <w:t>in partial fulfilment of the requirements for the award of the degree of</w:t>
      </w:r>
    </w:p>
    <w:p w14:paraId="444F9387" w14:textId="3BDB7630" w:rsidR="006E0779" w:rsidRDefault="006E0779" w:rsidP="006E0779">
      <w:pPr>
        <w:spacing w:after="80"/>
        <w:jc w:val="center"/>
      </w:pPr>
      <w:r>
        <w:t>BACHELOR OF TECHNOLOGY</w:t>
      </w:r>
    </w:p>
    <w:p w14:paraId="7A553BA0" w14:textId="32DD67AE" w:rsidR="006E0779" w:rsidRDefault="006E0779" w:rsidP="006E0779">
      <w:pPr>
        <w:spacing w:after="480"/>
        <w:jc w:val="center"/>
      </w:pPr>
      <w:r>
        <w:t>in [Programme name]</w:t>
      </w:r>
    </w:p>
    <w:p w14:paraId="7C110A1A" w14:textId="34BD6FAC" w:rsidR="006E0779" w:rsidRDefault="006E0779" w:rsidP="006E0779">
      <w:pPr>
        <w:spacing w:after="80"/>
        <w:jc w:val="center"/>
      </w:pPr>
      <w:r>
        <w:t>Submitted by</w:t>
      </w:r>
    </w:p>
    <w:p w14:paraId="46A21F11" w14:textId="548EBAD9" w:rsidR="006E0779" w:rsidRDefault="006E0779" w:rsidP="006E0779">
      <w:pPr>
        <w:spacing w:after="440"/>
        <w:jc w:val="center"/>
      </w:pPr>
      <w:r>
        <w:t>[Student name]  |  [Registration number]</w:t>
      </w:r>
    </w:p>
    <w:p w14:paraId="4011A6FE" w14:textId="004038F1" w:rsidR="006E0779" w:rsidRDefault="006E0779" w:rsidP="006E0779">
      <w:pPr>
        <w:spacing w:after="140"/>
        <w:jc w:val="center"/>
      </w:pPr>
      <w:r>
        <w:t>Under the guidance of</w:t>
      </w:r>
    </w:p>
    <w:p w14:paraId="20CA09BE" w14:textId="01E47939" w:rsidR="006E0779" w:rsidRDefault="006E0779" w:rsidP="006E0779">
      <w:pPr>
        <w:spacing w:after="80"/>
        <w:jc w:val="center"/>
      </w:pPr>
      <w:r>
        <w:t>External guide: [Name, designation, company]</w:t>
      </w:r>
    </w:p>
    <w:p w14:paraId="06D1C51E" w14:textId="3883CEFD" w:rsidR="006E0779" w:rsidRDefault="006E0779" w:rsidP="006E0779">
      <w:pPr>
        <w:spacing w:after="440"/>
        <w:jc w:val="center"/>
      </w:pPr>
      <w:r>
        <w:t>Internal guide: [Name, designation], SOCE, MIT Bengaluru</w:t>
      </w:r>
    </w:p>
    <w:p w14:paraId="65C8F04D" w14:textId="68B79BE7" w:rsidR="006E0779" w:rsidRDefault="006E0779" w:rsidP="006E0779">
      <w:pPr>
        <w:spacing w:after="80"/>
        <w:jc w:val="center"/>
      </w:pPr>
      <w:r>
        <w:t>SCHOOL OF COMPUTER ENGINEERING</w:t>
      </w:r>
    </w:p>
    <w:p w14:paraId="73FCD760" w14:textId="45DF7490" w:rsidR="006E0779" w:rsidRDefault="006E0779" w:rsidP="006E0779">
      <w:pPr>
        <w:spacing w:after="280"/>
        <w:jc w:val="center"/>
      </w:pPr>
      <w:r>
        <w:t>Manipal Institute of Technology Bengaluru</w:t>
      </w:r>
    </w:p>
    <w:p w14:paraId="7260C676" w14:textId="05AA883E" w:rsidR="006E0779" w:rsidRDefault="006E0779" w:rsidP="006E0779">
      <w:pPr>
        <w:spacing w:after="0"/>
        <w:jc w:val="center"/>
      </w:pPr>
      <w:r>
        <w:t>[Month] 2026</w:t>
      </w:r>
    </w:p>
    <w:p w14:paraId="08BA0C47" w14:textId="6475AE79" w:rsidR="006E0779" w:rsidRDefault="006E0779">
      <w:pPr>
        <w:spacing w:after="160" w:line="278" w:lineRule="auto"/>
      </w:pPr>
      <w:r>
        <w:br w:type="page"/>
      </w:r>
    </w:p>
    <w:p w14:paraId="11B33805" w14:textId="2378C60D" w:rsidR="006E0779" w:rsidRDefault="006E0779" w:rsidP="006E0779">
      <w:pPr>
        <w:pStyle w:val="Heading1"/>
        <w:spacing w:before="0" w:after="280"/>
      </w:pPr>
      <w:r>
        <w:t>Acknowledgement</w:t>
      </w:r>
    </w:p>
    <w:p w14:paraId="5A76956A" w14:textId="124EDDF3" w:rsidR="006E0779" w:rsidRDefault="006E0779" w:rsidP="006E0779">
      <w:r>
        <w:t>[Add personal acknowledgements to your guides and institution before submission.]</w:t>
      </w:r>
    </w:p>
    <w:p w14:paraId="43C55BE1" w14:textId="77777777" w:rsidR="006E0779" w:rsidRDefault="006E0779" w:rsidP="006E0779">
      <w:pPr>
        <w:spacing w:after="180"/>
      </w:pPr>
    </w:p>
    <w:p w14:paraId="326F6E2F" w14:textId="77E2BD8A" w:rsidR="006E0779" w:rsidRDefault="006E0779" w:rsidP="006E0779">
      <w:pPr>
        <w:pStyle w:val="Heading1"/>
        <w:spacing w:before="0" w:after="280"/>
      </w:pPr>
      <w:r>
        <w:t>Abstract</w:t>
      </w:r>
    </w:p>
    <w:p w14:paraId="7D550B9B" w14:textId="3F203906" w:rsidR="006E0779" w:rsidRDefault="006E0779" w:rsidP="006E0779">
      <w:r>
        <w:t>Credit card fraud detection is difficult because fraudulent transactions are rare and a useful system must balance missed fraud against unnecessary review. This project develops an explainable classification model and a compact investigation application for an anonymized credit card dataset. The objective is to show both the machine learning reasoning and how a reviewer can examine an individual model result.</w:t>
      </w:r>
    </w:p>
    <w:p w14:paraId="5872CF11" w14:textId="62F12FE2" w:rsidR="006E0779" w:rsidRDefault="006E0779" w:rsidP="006E0779">
      <w:r>
        <w:t>The study removes exact duplicate research rows, derives a 24-hour position from elapsed transaction time, and compares Logistic Regression, Gaussian Naive Bayes, and XGBoost. A saved preprocessing and XGBoost pipeline supplies scores; an out-of-fold development procedure selects the saved 0.97 decision threshold. FraudLens validates compatible uploads, explains scores using SHAP, compares feature values with legitimate training references, and records simulated analyst decisions.</w:t>
      </w:r>
    </w:p>
    <w:p w14:paraId="3FAE344F" w14:textId="07A609D0" w:rsidR="006E0779" w:rsidRDefault="006E0779" w:rsidP="006E0779">
      <w:r>
        <w:t>On the recorded 141,863-row test partition, the saved model detects 159 of 211 fraud cases, with 40 false positives and 52 false negatives. Precision is 79.90%, recall is 75.36%, F1 is 0.7756, average precision is 0.7821, and ROC-AUC is 0.9713. A separate 1,000-row curated sample supports a guided demonstration of a true positive, false positive, and false negative; its fraud prevalence is deliberately non-representative.</w:t>
      </w:r>
    </w:p>
    <w:p w14:paraId="4C61EB0D" w14:textId="3B3658F5" w:rsidR="006E0779" w:rsidRDefault="006E0779" w:rsidP="006E0779">
      <w:r>
        <w:t>The work shows how model development, error analysis, local explanations, and human review can form a coherent learning project. Its evidence remains limited by test-set consultation during development, hour-group validation that is not forward temporal validation, anonymized features, and uncalibrated model scores. The application is a session-based decision-support simulation, not a banking system.</w:t>
      </w:r>
    </w:p>
    <w:p w14:paraId="1C2EB846" w14:textId="47600C94" w:rsidR="006E0779" w:rsidRDefault="006E0779" w:rsidP="006E0779">
      <w:r>
        <w:t>Software tools: Python, pandas, NumPy, scikit-learn, XGBoost, SHAP, Streamlit, Matplotlib, seaborn, Joblib, and SciPy.</w:t>
      </w:r>
    </w:p>
    <w:p w14:paraId="0F6117AD" w14:textId="1AD60212" w:rsidR="006E0779" w:rsidRDefault="006E0779">
      <w:pPr>
        <w:spacing w:after="160" w:line="278" w:lineRule="auto"/>
      </w:pPr>
      <w:r>
        <w:br w:type="page"/>
      </w:r>
    </w:p>
    <w:p w14:paraId="1F1A2530" w14:textId="49116234" w:rsidR="006E0779" w:rsidRDefault="006E0779" w:rsidP="006E0779">
      <w:pPr>
        <w:pStyle w:val="Heading1"/>
        <w:spacing w:before="0" w:after="280"/>
      </w:pPr>
      <w:r>
        <w:t>Table of Contents</w:t>
      </w:r>
    </w:p>
    <w:p w14:paraId="519099AB" w14:textId="33641A6D" w:rsidR="006E0779" w:rsidRDefault="006E0779" w:rsidP="006E0779">
      <w:pPr>
        <w:spacing w:after="60"/>
      </w:pPr>
      <w:r>
        <w:t>Acknowledgement and Abstract ........................................ 2</w:t>
      </w:r>
    </w:p>
    <w:p w14:paraId="6E0F334B" w14:textId="582FA56D" w:rsidR="006E0779" w:rsidRDefault="006E0779" w:rsidP="006E0779">
      <w:pPr>
        <w:spacing w:after="220"/>
      </w:pPr>
      <w:r>
        <w:t>List of Tables ........................................................... 3</w:t>
      </w:r>
    </w:p>
    <w:p w14:paraId="524F534D" w14:textId="483B9FCB" w:rsidR="006E0779" w:rsidRDefault="006E0779" w:rsidP="006E0779">
      <w:pPr>
        <w:spacing w:after="60"/>
      </w:pPr>
      <w:r>
        <w:t>Chapter 1  Introduction .................................................. 4</w:t>
      </w:r>
    </w:p>
    <w:p w14:paraId="4043EB93" w14:textId="08B12A71" w:rsidR="006E0779" w:rsidRDefault="006E0779" w:rsidP="006E0779">
      <w:pPr>
        <w:spacing w:after="60"/>
      </w:pPr>
      <w:r>
        <w:t>Chapter 2  Background Theory and Literature Review ..................... 5</w:t>
      </w:r>
    </w:p>
    <w:p w14:paraId="4FA5655F" w14:textId="172EC1CF" w:rsidR="006E0779" w:rsidRDefault="006E0779" w:rsidP="006E0779">
      <w:pPr>
        <w:spacing w:after="60"/>
      </w:pPr>
      <w:r>
        <w:t>Chapter 3  Methodology .................................................. 6</w:t>
      </w:r>
    </w:p>
    <w:p w14:paraId="3087E8A1" w14:textId="68F4416D" w:rsidR="006E0779" w:rsidRDefault="006E0779" w:rsidP="006E0779">
      <w:pPr>
        <w:spacing w:after="60"/>
      </w:pPr>
      <w:r>
        <w:t>Chapter 4  Result Analysis ............................................. 7</w:t>
      </w:r>
    </w:p>
    <w:p w14:paraId="07F3AE25" w14:textId="2A6C64E2" w:rsidR="006E0779" w:rsidRDefault="006E0779" w:rsidP="006E0779">
      <w:pPr>
        <w:spacing w:after="60"/>
      </w:pPr>
      <w:r>
        <w:t>Chapter 5  Conclusion and Future Scope ................................ 8</w:t>
      </w:r>
    </w:p>
    <w:p w14:paraId="5AC653C8" w14:textId="058910CD" w:rsidR="006E0779" w:rsidRDefault="006E0779" w:rsidP="006E0779">
      <w:pPr>
        <w:spacing w:after="260"/>
      </w:pPr>
      <w:r>
        <w:t>References ............................................................. 9</w:t>
      </w:r>
    </w:p>
    <w:p w14:paraId="66DED895" w14:textId="0E27C225" w:rsidR="006E0779" w:rsidRDefault="006E0779" w:rsidP="006E0779">
      <w:pPr>
        <w:pStyle w:val="Heading1"/>
        <w:spacing w:before="0" w:after="280"/>
      </w:pPr>
      <w:r>
        <w:t>List of Tables</w:t>
      </w:r>
    </w:p>
    <w:p w14:paraId="5BF17B7B" w14:textId="5A1B05AF" w:rsidR="006E0779" w:rsidRDefault="006E0779" w:rsidP="006E0779">
      <w:pPr>
        <w:spacing w:after="60"/>
      </w:pPr>
      <w:r>
        <w:t>Table 1  Recorded test partition metrics ................................. 7</w:t>
      </w:r>
    </w:p>
    <w:p w14:paraId="32B5006C" w14:textId="64DDF78A" w:rsidR="006E0779" w:rsidRDefault="006E0779" w:rsidP="006E0779">
      <w:pPr>
        <w:spacing w:after="160"/>
      </w:pPr>
      <w:r>
        <w:t>Table 2  Recorded confusion counts ...................................... 7</w:t>
      </w:r>
    </w:p>
    <w:p w14:paraId="4CACE960" w14:textId="2081F187" w:rsidR="006E0779" w:rsidRDefault="006E0779" w:rsidP="006E0779">
      <w:r>
        <w:t>This short report contains no figures.</w:t>
      </w:r>
    </w:p>
    <w:p w14:paraId="1E05277D" w14:textId="46C8B6F5" w:rsidR="006E0779" w:rsidRDefault="006E0779">
      <w:pPr>
        <w:spacing w:after="160" w:line="278" w:lineRule="auto"/>
      </w:pPr>
      <w:r>
        <w:br w:type="page"/>
      </w:r>
    </w:p>
    <w:p w14:paraId="1D1FB8F6" w14:textId="650774AE" w:rsidR="006E0779" w:rsidRDefault="006E0779" w:rsidP="006E0779">
      <w:pPr>
        <w:pStyle w:val="Heading1"/>
        <w:spacing w:before="0" w:after="280"/>
      </w:pPr>
      <w:r>
        <w:t>Chapter 1  Introduction</w:t>
      </w:r>
    </w:p>
    <w:p w14:paraId="21AAB132" w14:textId="2C5C87DC" w:rsidR="006E0779" w:rsidRDefault="006E0779" w:rsidP="006E0779">
      <w:pPr>
        <w:pStyle w:val="Heading2"/>
        <w:spacing w:before="0" w:after="140"/>
      </w:pPr>
      <w:r>
        <w:t>1.1  Introduction</w:t>
      </w:r>
    </w:p>
    <w:p w14:paraId="2023F031" w14:textId="449328FA" w:rsidR="006E0779" w:rsidRDefault="006E0779" w:rsidP="006E0779">
      <w:r>
        <w:t>FraudLens studies classification of anonymized credit card transactions and presents the saved model through a review workflow. Fraud is rare in the source data, so a model can appear accurate while missing most fraud cases. The project therefore emphasizes class-sensitive metrics, model errors, and explanations rather than accuracy alone [1].</w:t>
      </w:r>
    </w:p>
    <w:p w14:paraId="45ECF942" w14:textId="2F234267" w:rsidR="006E0779" w:rsidRDefault="006E0779" w:rsidP="006E0779">
      <w:pPr>
        <w:pStyle w:val="Heading2"/>
        <w:spacing w:before="0" w:after="140"/>
      </w:pPr>
      <w:r>
        <w:t>1.2  Motivation and objectives</w:t>
      </w:r>
    </w:p>
    <w:p w14:paraId="6D20C93A" w14:textId="02D4BF07" w:rsidR="006E0779" w:rsidRDefault="006E0779" w:rsidP="006E0779">
      <w:r>
        <w:t>The immediate motivation was to make the learning behind a conventional dataset-and-model exercise visible. The primary objective is to distinguish suspicious transactions using a reproducible preprocessing and XGBoost pipeline. Secondary objectives are to compare simple baselines, select an explicit review threshold from development predictions, examine false alarms and missed fraud, and explain individual flags without inventing meanings for anonymous PCA components.</w:t>
      </w:r>
    </w:p>
    <w:p w14:paraId="4490A8E1" w14:textId="5DAB5A63" w:rsidR="006E0779" w:rsidRDefault="006E0779" w:rsidP="006E0779">
      <w:r>
        <w:t>The target output is a reviewable model score, a binary flag at the saved threshold, an explanation, and a simulated analyst record. FraudLens accepts only the original dataset feature representation; arbitrary banking datasets cannot be made valid by renaming columns.</w:t>
      </w:r>
    </w:p>
    <w:p w14:paraId="42C8722A" w14:textId="1ED0898E" w:rsidR="006E0779" w:rsidRDefault="006E0779" w:rsidP="006E0779">
      <w:pPr>
        <w:pStyle w:val="Heading2"/>
        <w:spacing w:before="0" w:after="140"/>
      </w:pPr>
      <w:r>
        <w:t>1.3  Project contribution and report structure</w:t>
      </w:r>
    </w:p>
    <w:p w14:paraId="6186C098" w14:textId="0F4DEFCE" w:rsidR="006E0779" w:rsidRDefault="006E0779" w:rsidP="006E0779">
      <w:r>
        <w:t>The notebook preserves exploratory analysis, three model comparisons, unsuccessful and revised tuning attempts, and their limitations. The application adds validated CSV scoring, transaction search, local SHAP explanations, legitimate-training reference bands, session audit export, and a short guided walkthrough. The work progressed from data inspection and baselines to validation, threshold choice, and the investigation interface. Chapters 2-5 describe the background, method, evidence, and next steps.</w:t>
      </w:r>
    </w:p>
    <w:p w14:paraId="5272C642" w14:textId="182CA526" w:rsidR="006E0779" w:rsidRDefault="006E0779">
      <w:pPr>
        <w:spacing w:after="160" w:line="278" w:lineRule="auto"/>
      </w:pPr>
      <w:r>
        <w:br w:type="page"/>
      </w:r>
    </w:p>
    <w:p w14:paraId="03C86E1D" w14:textId="3B34F0B4" w:rsidR="006E0779" w:rsidRDefault="006E0779" w:rsidP="006E0779">
      <w:pPr>
        <w:pStyle w:val="Heading1"/>
        <w:spacing w:before="0" w:after="280"/>
      </w:pPr>
      <w:r>
        <w:t>Chapter 2  Background Theory and Literature Review</w:t>
      </w:r>
    </w:p>
    <w:p w14:paraId="02A2CB7D" w14:textId="3A653EF8" w:rsidR="006E0779" w:rsidRDefault="006E0779" w:rsidP="006E0779">
      <w:pPr>
        <w:pStyle w:val="Heading2"/>
        <w:spacing w:before="0" w:after="140"/>
      </w:pPr>
      <w:r>
        <w:t>2.1  Data and evaluation</w:t>
      </w:r>
    </w:p>
    <w:p w14:paraId="4439912E" w14:textId="1DF5E697" w:rsidR="006E0779" w:rsidRDefault="006E0779" w:rsidP="006E0779">
      <w:r>
        <w:t>The public European credit card dataset contains 284,807 transactions from two days, including 492 fraud cases. It provides Time, Amount, Class, and V1-V28, which are PCA components supplied by the dataset authors; the original behavioral features are unavailable [1]. This project did not perform the source PCA transformation. Rare positives make overall accuracy misleading: a classifier that predicts every cleaned row as legitimate would be about 99.83% accurate while detecting no fraud.</w:t>
      </w:r>
    </w:p>
    <w:p w14:paraId="614F1CA7" w14:textId="4A8CA1A8" w:rsidR="006E0779" w:rsidRDefault="006E0779" w:rsidP="006E0779">
      <w:r>
        <w:t>Precision measures the fraction of flagged cases that are fraud; recall measures the fraction of fraud cases found. F1 combines those two at a chosen threshold. Average precision (AP) summarizes ranking quality across recall levels and is the notebook metric labeled PR-AUC; it is not identical to trapezoidal area under the precision-recall curve [4]. ROC-AUC is also a ranking metric but does not directly describe the false-alert workload.</w:t>
      </w:r>
    </w:p>
    <w:p w14:paraId="1701957F" w14:textId="32D0EF7F" w:rsidR="006E0779" w:rsidRDefault="006E0779" w:rsidP="006E0779">
      <w:pPr>
        <w:pStyle w:val="Heading2"/>
        <w:spacing w:before="0" w:after="140"/>
      </w:pPr>
      <w:r>
        <w:t>2.2  Model and explanation theory</w:t>
      </w:r>
    </w:p>
    <w:p w14:paraId="2624E998" w14:textId="5F1B5AD9" w:rsidR="006E0779" w:rsidRDefault="006E0779" w:rsidP="006E0779">
      <w:r>
        <w:t>Logistic Regression supplies a linear baseline, and Gaussian Naive Bayes supplies a simple probabilistic baseline. XGBoost builds boosted decision trees that can model nonlinear relationships and interactions [2]. The study applies class weighting and explores model settings through randomized search. SHAP assigns feature contributions relative to an explanation baseline [3]. In this implementation, the local contributions reconstruct the raw XGBoost score in log-odds units; they do not show percentage-point changes in calibrated fraud probability or causal effects.</w:t>
      </w:r>
    </w:p>
    <w:p w14:paraId="3E5B5BCC" w14:textId="39946482" w:rsidR="006E0779" w:rsidRDefault="006E0779" w:rsidP="006E0779">
      <w:r>
        <w:t>The literature and dataset documentation support a system that reports minority-class detection and interprets individual predictions. They also constrain the claims: the anonymized components do not reveal merchant or customer behavior, and model validation on historical data alone cannot prove deployment performance.</w:t>
      </w:r>
    </w:p>
    <w:p w14:paraId="229A5926" w14:textId="165ADE06" w:rsidR="006E0779" w:rsidRDefault="006E0779">
      <w:pPr>
        <w:spacing w:after="160" w:line="278" w:lineRule="auto"/>
      </w:pPr>
      <w:r>
        <w:br w:type="page"/>
      </w:r>
    </w:p>
    <w:p w14:paraId="37045024" w14:textId="3B834541" w:rsidR="006E0779" w:rsidRDefault="006E0779" w:rsidP="006E0779">
      <w:pPr>
        <w:pStyle w:val="Heading1"/>
        <w:spacing w:before="0" w:after="280"/>
      </w:pPr>
      <w:r>
        <w:t>Chapter 3  Methodology</w:t>
      </w:r>
    </w:p>
    <w:p w14:paraId="680AA67D" w14:textId="7BA1F408" w:rsidR="006E0779" w:rsidRDefault="006E0779" w:rsidP="006E0779">
      <w:pPr>
        <w:pStyle w:val="Heading2"/>
        <w:spacing w:before="0" w:after="140"/>
      </w:pPr>
      <w:r>
        <w:t>3.1  Data preparation and split</w:t>
      </w:r>
    </w:p>
    <w:p w14:paraId="3712E1C8" w14:textId="6336DC62" w:rsidR="006E0779" w:rsidRDefault="006E0779" w:rsidP="006E0779">
      <w:r>
        <w:t>The notebook removes 1,081 exact duplicate rows for research, leaving 283,726 transactions and 473 fraud cases. It divides the cleaned rows in original order into 141,863 training and 141,863 later test rows. This is an ordered split, although its boundary is not a verified day boundary. Hour is derived as floor(Time / 3600) modulo 24; it represents position within an elapsed 24-hour cycle, not a verified clock hour.</w:t>
      </w:r>
    </w:p>
    <w:p w14:paraId="16F00AD6" w14:textId="4F4B42B2" w:rsidR="006E0779" w:rsidRDefault="006E0779" w:rsidP="006E0779">
      <w:r>
        <w:t>A scikit-learn ColumnTransformer scales Amount and Hour with RobustScaler and passes V1-V28 through. The fitted feature order is scaled Amount, scaled Hour, then V1-V28. The Pipeline joins that transformer to XGBoost so each training fold fits preprocessing on its own training rows. The saved model and threshold are reused by the app without refitting.</w:t>
      </w:r>
    </w:p>
    <w:p w14:paraId="6866ED0E" w14:textId="4FA12B9E" w:rsidR="006E0779" w:rsidRDefault="006E0779" w:rsidP="006E0779">
      <w:pPr>
        <w:pStyle w:val="Heading2"/>
        <w:spacing w:before="0" w:after="140"/>
      </w:pPr>
      <w:r>
        <w:t>3.2  Model development and decision rule</w:t>
      </w:r>
    </w:p>
    <w:p w14:paraId="7E40DAB4" w14:textId="0E7F4359" w:rsidR="006E0779" w:rsidRDefault="006E0779" w:rsidP="006E0779">
      <w:r>
        <w:t>The notebook compares Logistic Regression, Gaussian Naive Bayes, and baseline XGBoost. An initial TimeSeriesSplit search was followed by a revised five-fold GroupKFold search grouped by Hour. GroupKFold holds out hour groups but does not enforce train-before-validation chronology [5]. The revised search tests 15 settings and optimizes AP. Out-of-fold development scores are scanned for F1, selecting the saved threshold of 0.97; the final pipeline is refitted on the full training partition.</w:t>
      </w:r>
    </w:p>
    <w:p w14:paraId="27EEAD9E" w14:textId="0A875587" w:rsidR="006E0779" w:rsidRDefault="006E0779" w:rsidP="006E0779">
      <w:pPr>
        <w:pStyle w:val="Heading2"/>
        <w:spacing w:before="0" w:after="140"/>
      </w:pPr>
      <w:r>
        <w:t>3.3  Investigation workflow</w:t>
      </w:r>
    </w:p>
    <w:p w14:paraId="7159FF67" w14:textId="7CB659B9" w:rsidR="006E0779" w:rsidRDefault="006E0779" w:rsidP="006E0779">
      <w:r>
        <w:t>The Streamlit app follows Overview → Transaction Explorer → Investigation Workspace → Model Intelligence. It validates required numeric inputs (V1-V28, Amount, and Time or Hour), scores compatible rows, and exports scores with generated row references. An investigation separates the model flag, optional known Class label, SHAP explanation, and reviewer judgment. Reference medians and percentile bands come only from legitimate training rows and are descriptive; they do not enter prediction. Approve, Escalate, and Block are session-only simulated decisions.</w:t>
      </w:r>
    </w:p>
    <w:p w14:paraId="76C89DAE" w14:textId="47A3DF38" w:rsidR="006E0779" w:rsidRDefault="006E0779" w:rsidP="006E0779">
      <w:r>
        <w:t>A reproducible 1,000-row sample is drawn from real test-partition rows: 20 true positives, 20 false positives, 20 false negatives, and 940 true negatives. It is intentionally enriched for fraud and errors, so its prevalence and metrics must not be used as population estimates. The complete source dataset is not stored in Git.</w:t>
      </w:r>
    </w:p>
    <w:p w14:paraId="3715852F" w14:textId="4FA33277" w:rsidR="006E0779" w:rsidRDefault="006E0779">
      <w:pPr>
        <w:spacing w:after="160" w:line="278" w:lineRule="auto"/>
      </w:pPr>
      <w:r>
        <w:br w:type="page"/>
      </w:r>
    </w:p>
    <w:p w14:paraId="42D3E9A1" w14:textId="56B69CA1" w:rsidR="006E0779" w:rsidRDefault="006E0779" w:rsidP="006E0779">
      <w:pPr>
        <w:pStyle w:val="Heading1"/>
        <w:spacing w:before="0" w:after="280"/>
      </w:pPr>
      <w:r>
        <w:t>Chapter 4  Result Analysis</w:t>
      </w:r>
    </w:p>
    <w:p w14:paraId="409DC5C3" w14:textId="7FB8B0F0" w:rsidR="006E0779" w:rsidRDefault="006E0779" w:rsidP="006E0779">
      <w:pPr>
        <w:pStyle w:val="Heading2"/>
        <w:spacing w:before="0" w:after="140"/>
      </w:pPr>
      <w:r>
        <w:t>4.1  Recorded test results</w:t>
      </w:r>
    </w:p>
    <w:p w14:paraId="3225BD37" w14:textId="6CD8B1D5" w:rsidR="006E0779" w:rsidRDefault="006E0779" w:rsidP="006E0779">
      <w:r>
        <w:t>Table 1 reports saved metrics for the full 141,863-row test partition, evaluated at the saved 0.97 threshold where applicable. Average precision and ROC-AUC assess score ranking and do not depend on the selected decision threshold.</w:t>
      </w:r>
    </w:p>
    <w:p w14:paraId="220A41C7" w14:textId="7E8A26E3" w:rsidR="006E0779" w:rsidRDefault="006E0779" w:rsidP="006E0779">
      <w:pPr>
        <w:spacing w:after="80"/>
      </w:pPr>
      <w:r>
        <w:t>Table 1  Recorded test partition metrics</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5386"/>
        <w:gridCol w:w="2835"/>
      </w:tblGrid>
      <w:tr w:rsidR="006E0779" w:rsidRPr="006E0779" w14:paraId="34443C3F" w14:textId="77777777" w:rsidTr="006E0779">
        <w:tc>
          <w:tcPr>
            <w:tcW w:w="5386" w:type="dxa"/>
            <w:shd w:val="clear" w:color="auto" w:fill="E6E6E6"/>
          </w:tcPr>
          <w:p w14:paraId="2CF18171" w14:textId="1122E015" w:rsidR="006E0779" w:rsidRPr="006E0779" w:rsidRDefault="006E0779" w:rsidP="006E0779">
            <w:pPr>
              <w:spacing w:after="0"/>
              <w:rPr>
                <w:rFonts w:cs="Times New Roman"/>
                <w:b/>
                <w:sz w:val="20"/>
              </w:rPr>
            </w:pPr>
            <w:r w:rsidRPr="006E0779">
              <w:rPr>
                <w:rFonts w:cs="Times New Roman"/>
                <w:b/>
                <w:sz w:val="20"/>
              </w:rPr>
              <w:t>Metric</w:t>
            </w:r>
          </w:p>
        </w:tc>
        <w:tc>
          <w:tcPr>
            <w:tcW w:w="2835" w:type="dxa"/>
            <w:shd w:val="clear" w:color="auto" w:fill="E6E6E6"/>
          </w:tcPr>
          <w:p w14:paraId="47FF9D59" w14:textId="01FB2D92" w:rsidR="006E0779" w:rsidRPr="006E0779" w:rsidRDefault="006E0779" w:rsidP="006E0779">
            <w:pPr>
              <w:spacing w:after="0"/>
              <w:rPr>
                <w:rFonts w:cs="Times New Roman"/>
                <w:b/>
                <w:sz w:val="20"/>
              </w:rPr>
            </w:pPr>
            <w:r w:rsidRPr="006E0779">
              <w:rPr>
                <w:rFonts w:cs="Times New Roman"/>
                <w:b/>
                <w:sz w:val="20"/>
              </w:rPr>
              <w:t>Recorded value</w:t>
            </w:r>
          </w:p>
        </w:tc>
      </w:tr>
      <w:tr w:rsidR="006E0779" w:rsidRPr="006E0779" w14:paraId="5EA991C5" w14:textId="77777777" w:rsidTr="006E0779">
        <w:tc>
          <w:tcPr>
            <w:tcW w:w="5386" w:type="dxa"/>
          </w:tcPr>
          <w:p w14:paraId="38C7F95B" w14:textId="1C0FE666" w:rsidR="006E0779" w:rsidRPr="006E0779" w:rsidRDefault="006E0779" w:rsidP="006E0779">
            <w:pPr>
              <w:spacing w:after="0"/>
              <w:rPr>
                <w:rFonts w:cs="Times New Roman"/>
                <w:sz w:val="20"/>
              </w:rPr>
            </w:pPr>
            <w:r>
              <w:rPr>
                <w:rFonts w:cs="Times New Roman"/>
                <w:sz w:val="20"/>
              </w:rPr>
              <w:t>Average precision (project PR-AUC)</w:t>
            </w:r>
          </w:p>
        </w:tc>
        <w:tc>
          <w:tcPr>
            <w:tcW w:w="2835" w:type="dxa"/>
          </w:tcPr>
          <w:p w14:paraId="6AB5E1F0" w14:textId="29069EEA" w:rsidR="006E0779" w:rsidRPr="006E0779" w:rsidRDefault="006E0779" w:rsidP="006E0779">
            <w:pPr>
              <w:spacing w:after="0"/>
              <w:jc w:val="center"/>
              <w:rPr>
                <w:rFonts w:cs="Times New Roman"/>
                <w:sz w:val="20"/>
              </w:rPr>
            </w:pPr>
            <w:r>
              <w:rPr>
                <w:rFonts w:cs="Times New Roman"/>
                <w:sz w:val="20"/>
              </w:rPr>
              <w:t>0.7821</w:t>
            </w:r>
          </w:p>
        </w:tc>
      </w:tr>
      <w:tr w:rsidR="006E0779" w:rsidRPr="006E0779" w14:paraId="2F1F23E0" w14:textId="77777777" w:rsidTr="006E0779">
        <w:tc>
          <w:tcPr>
            <w:tcW w:w="5386" w:type="dxa"/>
          </w:tcPr>
          <w:p w14:paraId="2A4A2DC0" w14:textId="7E0B48E7" w:rsidR="006E0779" w:rsidRPr="006E0779" w:rsidRDefault="006E0779" w:rsidP="006E0779">
            <w:pPr>
              <w:spacing w:after="0"/>
              <w:rPr>
                <w:rFonts w:cs="Times New Roman"/>
                <w:sz w:val="20"/>
              </w:rPr>
            </w:pPr>
            <w:r>
              <w:rPr>
                <w:rFonts w:cs="Times New Roman"/>
                <w:sz w:val="20"/>
              </w:rPr>
              <w:t>ROC-AUC</w:t>
            </w:r>
          </w:p>
        </w:tc>
        <w:tc>
          <w:tcPr>
            <w:tcW w:w="2835" w:type="dxa"/>
          </w:tcPr>
          <w:p w14:paraId="7AC9E9E6" w14:textId="11F8B437" w:rsidR="006E0779" w:rsidRPr="006E0779" w:rsidRDefault="006E0779" w:rsidP="006E0779">
            <w:pPr>
              <w:spacing w:after="0"/>
              <w:jc w:val="center"/>
              <w:rPr>
                <w:rFonts w:cs="Times New Roman"/>
                <w:sz w:val="20"/>
              </w:rPr>
            </w:pPr>
            <w:r>
              <w:rPr>
                <w:rFonts w:cs="Times New Roman"/>
                <w:sz w:val="20"/>
              </w:rPr>
              <w:t>0.9713</w:t>
            </w:r>
          </w:p>
        </w:tc>
      </w:tr>
      <w:tr w:rsidR="006E0779" w:rsidRPr="006E0779" w14:paraId="7204F26E" w14:textId="77777777" w:rsidTr="006E0779">
        <w:tc>
          <w:tcPr>
            <w:tcW w:w="5386" w:type="dxa"/>
          </w:tcPr>
          <w:p w14:paraId="58B02403" w14:textId="0D2663D9" w:rsidR="006E0779" w:rsidRPr="006E0779" w:rsidRDefault="006E0779" w:rsidP="006E0779">
            <w:pPr>
              <w:spacing w:after="0"/>
              <w:rPr>
                <w:rFonts w:cs="Times New Roman"/>
                <w:sz w:val="20"/>
              </w:rPr>
            </w:pPr>
            <w:r>
              <w:rPr>
                <w:rFonts w:cs="Times New Roman"/>
                <w:sz w:val="20"/>
              </w:rPr>
              <w:t>Precision</w:t>
            </w:r>
          </w:p>
        </w:tc>
        <w:tc>
          <w:tcPr>
            <w:tcW w:w="2835" w:type="dxa"/>
          </w:tcPr>
          <w:p w14:paraId="7862668C" w14:textId="14D12259" w:rsidR="006E0779" w:rsidRPr="006E0779" w:rsidRDefault="006E0779" w:rsidP="006E0779">
            <w:pPr>
              <w:spacing w:after="0"/>
              <w:jc w:val="center"/>
              <w:rPr>
                <w:rFonts w:cs="Times New Roman"/>
                <w:sz w:val="20"/>
              </w:rPr>
            </w:pPr>
            <w:r>
              <w:rPr>
                <w:rFonts w:cs="Times New Roman"/>
                <w:sz w:val="20"/>
              </w:rPr>
              <w:t>79.90%</w:t>
            </w:r>
          </w:p>
        </w:tc>
      </w:tr>
      <w:tr w:rsidR="006E0779" w:rsidRPr="006E0779" w14:paraId="41CD9570" w14:textId="77777777" w:rsidTr="006E0779">
        <w:tc>
          <w:tcPr>
            <w:tcW w:w="5386" w:type="dxa"/>
          </w:tcPr>
          <w:p w14:paraId="42D5639E" w14:textId="361F71BF" w:rsidR="006E0779" w:rsidRPr="006E0779" w:rsidRDefault="006E0779" w:rsidP="006E0779">
            <w:pPr>
              <w:spacing w:after="0"/>
              <w:rPr>
                <w:rFonts w:cs="Times New Roman"/>
                <w:sz w:val="20"/>
              </w:rPr>
            </w:pPr>
            <w:r>
              <w:rPr>
                <w:rFonts w:cs="Times New Roman"/>
                <w:sz w:val="20"/>
              </w:rPr>
              <w:t>Recall</w:t>
            </w:r>
          </w:p>
        </w:tc>
        <w:tc>
          <w:tcPr>
            <w:tcW w:w="2835" w:type="dxa"/>
          </w:tcPr>
          <w:p w14:paraId="0F5B6F68" w14:textId="6F5B75D0" w:rsidR="006E0779" w:rsidRPr="006E0779" w:rsidRDefault="006E0779" w:rsidP="006E0779">
            <w:pPr>
              <w:spacing w:after="0"/>
              <w:jc w:val="center"/>
              <w:rPr>
                <w:rFonts w:cs="Times New Roman"/>
                <w:sz w:val="20"/>
              </w:rPr>
            </w:pPr>
            <w:r>
              <w:rPr>
                <w:rFonts w:cs="Times New Roman"/>
                <w:sz w:val="20"/>
              </w:rPr>
              <w:t>75.36%</w:t>
            </w:r>
          </w:p>
        </w:tc>
      </w:tr>
      <w:tr w:rsidR="006E0779" w:rsidRPr="006E0779" w14:paraId="778A566F" w14:textId="77777777" w:rsidTr="006E0779">
        <w:tc>
          <w:tcPr>
            <w:tcW w:w="5386" w:type="dxa"/>
          </w:tcPr>
          <w:p w14:paraId="06EACD6C" w14:textId="22C3AD11" w:rsidR="006E0779" w:rsidRPr="006E0779" w:rsidRDefault="006E0779" w:rsidP="006E0779">
            <w:pPr>
              <w:spacing w:after="0"/>
              <w:rPr>
                <w:rFonts w:cs="Times New Roman"/>
                <w:sz w:val="20"/>
              </w:rPr>
            </w:pPr>
            <w:r>
              <w:rPr>
                <w:rFonts w:cs="Times New Roman"/>
                <w:sz w:val="20"/>
              </w:rPr>
              <w:t>F1 score</w:t>
            </w:r>
          </w:p>
        </w:tc>
        <w:tc>
          <w:tcPr>
            <w:tcW w:w="2835" w:type="dxa"/>
          </w:tcPr>
          <w:p w14:paraId="78D752A4" w14:textId="47D32C6F" w:rsidR="006E0779" w:rsidRPr="006E0779" w:rsidRDefault="006E0779" w:rsidP="006E0779">
            <w:pPr>
              <w:spacing w:after="0"/>
              <w:jc w:val="center"/>
              <w:rPr>
                <w:rFonts w:cs="Times New Roman"/>
                <w:sz w:val="20"/>
              </w:rPr>
            </w:pPr>
            <w:r>
              <w:rPr>
                <w:rFonts w:cs="Times New Roman"/>
                <w:sz w:val="20"/>
              </w:rPr>
              <w:t>0.7756</w:t>
            </w:r>
          </w:p>
        </w:tc>
      </w:tr>
    </w:tbl>
    <w:p w14:paraId="27110A9D" w14:textId="77777777" w:rsidR="006E0779" w:rsidRDefault="006E0779" w:rsidP="006E0779">
      <w:pPr>
        <w:spacing w:after="80"/>
      </w:pPr>
    </w:p>
    <w:p w14:paraId="73FC6621" w14:textId="34E6E465" w:rsidR="006E0779" w:rsidRDefault="006E0779" w:rsidP="006E0779">
      <w:pPr>
        <w:spacing w:after="80"/>
      </w:pPr>
      <w:r>
        <w:t>Table 2  Recorded confusion counts</w:t>
      </w:r>
    </w:p>
    <w:tbl>
      <w:tblPr>
        <w:tblW w:w="8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00" w:type="dxa"/>
          <w:left w:w="120" w:type="dxa"/>
          <w:bottom w:w="100" w:type="dxa"/>
          <w:right w:w="120" w:type="dxa"/>
        </w:tblCellMar>
        <w:tblLook w:val="0000" w:firstRow="0" w:lastRow="0" w:firstColumn="0" w:lastColumn="0" w:noHBand="0" w:noVBand="0"/>
      </w:tblPr>
      <w:tblGrid>
        <w:gridCol w:w="5386"/>
        <w:gridCol w:w="2835"/>
      </w:tblGrid>
      <w:tr w:rsidR="006E0779" w:rsidRPr="006E0779" w14:paraId="23BAB5F5" w14:textId="77777777" w:rsidTr="006E0779">
        <w:tc>
          <w:tcPr>
            <w:tcW w:w="5386" w:type="dxa"/>
            <w:shd w:val="clear" w:color="auto" w:fill="E6E6E6"/>
          </w:tcPr>
          <w:p w14:paraId="21762815" w14:textId="3DA02ADC" w:rsidR="006E0779" w:rsidRPr="006E0779" w:rsidRDefault="006E0779" w:rsidP="006E0779">
            <w:pPr>
              <w:spacing w:after="0"/>
              <w:rPr>
                <w:rFonts w:cs="Times New Roman"/>
                <w:b/>
                <w:sz w:val="20"/>
              </w:rPr>
            </w:pPr>
            <w:r w:rsidRPr="006E0779">
              <w:rPr>
                <w:rFonts w:cs="Times New Roman"/>
                <w:b/>
                <w:sz w:val="20"/>
              </w:rPr>
              <w:t>Outcome</w:t>
            </w:r>
          </w:p>
        </w:tc>
        <w:tc>
          <w:tcPr>
            <w:tcW w:w="2835" w:type="dxa"/>
            <w:shd w:val="clear" w:color="auto" w:fill="E6E6E6"/>
          </w:tcPr>
          <w:p w14:paraId="4CEC63BA" w14:textId="44991D0D" w:rsidR="006E0779" w:rsidRPr="006E0779" w:rsidRDefault="006E0779" w:rsidP="006E0779">
            <w:pPr>
              <w:spacing w:after="0"/>
              <w:rPr>
                <w:rFonts w:cs="Times New Roman"/>
                <w:b/>
                <w:sz w:val="20"/>
              </w:rPr>
            </w:pPr>
            <w:r w:rsidRPr="006E0779">
              <w:rPr>
                <w:rFonts w:cs="Times New Roman"/>
                <w:b/>
                <w:sz w:val="20"/>
              </w:rPr>
              <w:t>Count</w:t>
            </w:r>
          </w:p>
        </w:tc>
      </w:tr>
      <w:tr w:rsidR="006E0779" w:rsidRPr="006E0779" w14:paraId="293EE4A8" w14:textId="77777777" w:rsidTr="006E0779">
        <w:tc>
          <w:tcPr>
            <w:tcW w:w="5386" w:type="dxa"/>
          </w:tcPr>
          <w:p w14:paraId="4CE3343F" w14:textId="40FC617A" w:rsidR="006E0779" w:rsidRPr="006E0779" w:rsidRDefault="006E0779" w:rsidP="006E0779">
            <w:pPr>
              <w:spacing w:after="0"/>
              <w:rPr>
                <w:rFonts w:cs="Times New Roman"/>
                <w:sz w:val="20"/>
              </w:rPr>
            </w:pPr>
            <w:r>
              <w:rPr>
                <w:rFonts w:cs="Times New Roman"/>
                <w:sz w:val="20"/>
              </w:rPr>
              <w:t>True positives (fraud flagged)</w:t>
            </w:r>
          </w:p>
        </w:tc>
        <w:tc>
          <w:tcPr>
            <w:tcW w:w="2835" w:type="dxa"/>
          </w:tcPr>
          <w:p w14:paraId="43583039" w14:textId="2D34526C" w:rsidR="006E0779" w:rsidRPr="006E0779" w:rsidRDefault="006E0779" w:rsidP="006E0779">
            <w:pPr>
              <w:spacing w:after="0"/>
              <w:jc w:val="center"/>
              <w:rPr>
                <w:rFonts w:cs="Times New Roman"/>
                <w:sz w:val="20"/>
              </w:rPr>
            </w:pPr>
            <w:r>
              <w:rPr>
                <w:rFonts w:cs="Times New Roman"/>
                <w:sz w:val="20"/>
              </w:rPr>
              <w:t>159</w:t>
            </w:r>
          </w:p>
        </w:tc>
      </w:tr>
      <w:tr w:rsidR="006E0779" w:rsidRPr="006E0779" w14:paraId="3EF01DEE" w14:textId="77777777" w:rsidTr="006E0779">
        <w:tc>
          <w:tcPr>
            <w:tcW w:w="5386" w:type="dxa"/>
          </w:tcPr>
          <w:p w14:paraId="6CD6D4B9" w14:textId="4B4ACF8D" w:rsidR="006E0779" w:rsidRPr="006E0779" w:rsidRDefault="006E0779" w:rsidP="006E0779">
            <w:pPr>
              <w:spacing w:after="0"/>
              <w:rPr>
                <w:rFonts w:cs="Times New Roman"/>
                <w:sz w:val="20"/>
              </w:rPr>
            </w:pPr>
            <w:r>
              <w:rPr>
                <w:rFonts w:cs="Times New Roman"/>
                <w:sz w:val="20"/>
              </w:rPr>
              <w:t>False positives (legitimate flagged)</w:t>
            </w:r>
          </w:p>
        </w:tc>
        <w:tc>
          <w:tcPr>
            <w:tcW w:w="2835" w:type="dxa"/>
          </w:tcPr>
          <w:p w14:paraId="08ABB94B" w14:textId="100937A8" w:rsidR="006E0779" w:rsidRPr="006E0779" w:rsidRDefault="006E0779" w:rsidP="006E0779">
            <w:pPr>
              <w:spacing w:after="0"/>
              <w:jc w:val="center"/>
              <w:rPr>
                <w:rFonts w:cs="Times New Roman"/>
                <w:sz w:val="20"/>
              </w:rPr>
            </w:pPr>
            <w:r>
              <w:rPr>
                <w:rFonts w:cs="Times New Roman"/>
                <w:sz w:val="20"/>
              </w:rPr>
              <w:t>40</w:t>
            </w:r>
          </w:p>
        </w:tc>
      </w:tr>
      <w:tr w:rsidR="006E0779" w:rsidRPr="006E0779" w14:paraId="1AD0EB21" w14:textId="77777777" w:rsidTr="006E0779">
        <w:tc>
          <w:tcPr>
            <w:tcW w:w="5386" w:type="dxa"/>
          </w:tcPr>
          <w:p w14:paraId="1CB90955" w14:textId="4CA8DCEE" w:rsidR="006E0779" w:rsidRPr="006E0779" w:rsidRDefault="006E0779" w:rsidP="006E0779">
            <w:pPr>
              <w:spacing w:after="0"/>
              <w:rPr>
                <w:rFonts w:cs="Times New Roman"/>
                <w:sz w:val="20"/>
              </w:rPr>
            </w:pPr>
            <w:r>
              <w:rPr>
                <w:rFonts w:cs="Times New Roman"/>
                <w:sz w:val="20"/>
              </w:rPr>
              <w:t>False negatives (fraud missed)</w:t>
            </w:r>
          </w:p>
        </w:tc>
        <w:tc>
          <w:tcPr>
            <w:tcW w:w="2835" w:type="dxa"/>
          </w:tcPr>
          <w:p w14:paraId="01A7BB81" w14:textId="05307972" w:rsidR="006E0779" w:rsidRPr="006E0779" w:rsidRDefault="006E0779" w:rsidP="006E0779">
            <w:pPr>
              <w:spacing w:after="0"/>
              <w:jc w:val="center"/>
              <w:rPr>
                <w:rFonts w:cs="Times New Roman"/>
                <w:sz w:val="20"/>
              </w:rPr>
            </w:pPr>
            <w:r>
              <w:rPr>
                <w:rFonts w:cs="Times New Roman"/>
                <w:sz w:val="20"/>
              </w:rPr>
              <w:t>52</w:t>
            </w:r>
          </w:p>
        </w:tc>
      </w:tr>
      <w:tr w:rsidR="006E0779" w:rsidRPr="006E0779" w14:paraId="7655335B" w14:textId="77777777" w:rsidTr="006E0779">
        <w:tc>
          <w:tcPr>
            <w:tcW w:w="5386" w:type="dxa"/>
          </w:tcPr>
          <w:p w14:paraId="5BD90B5B" w14:textId="2FAFBBDE" w:rsidR="006E0779" w:rsidRPr="006E0779" w:rsidRDefault="006E0779" w:rsidP="006E0779">
            <w:pPr>
              <w:spacing w:after="0"/>
              <w:rPr>
                <w:rFonts w:cs="Times New Roman"/>
                <w:sz w:val="20"/>
              </w:rPr>
            </w:pPr>
            <w:r>
              <w:rPr>
                <w:rFonts w:cs="Times New Roman"/>
                <w:sz w:val="20"/>
              </w:rPr>
              <w:t>True negatives (legitimate unflagged)</w:t>
            </w:r>
          </w:p>
        </w:tc>
        <w:tc>
          <w:tcPr>
            <w:tcW w:w="2835" w:type="dxa"/>
          </w:tcPr>
          <w:p w14:paraId="30959A82" w14:textId="03C708FF" w:rsidR="006E0779" w:rsidRPr="006E0779" w:rsidRDefault="006E0779" w:rsidP="006E0779">
            <w:pPr>
              <w:spacing w:after="0"/>
              <w:jc w:val="center"/>
              <w:rPr>
                <w:rFonts w:cs="Times New Roman"/>
                <w:sz w:val="20"/>
              </w:rPr>
            </w:pPr>
            <w:r>
              <w:rPr>
                <w:rFonts w:cs="Times New Roman"/>
                <w:sz w:val="20"/>
              </w:rPr>
              <w:t>141,612</w:t>
            </w:r>
          </w:p>
        </w:tc>
      </w:tr>
    </w:tbl>
    <w:p w14:paraId="33DB6AE9" w14:textId="77777777" w:rsidR="006E0779" w:rsidRDefault="006E0779" w:rsidP="006E0779">
      <w:pPr>
        <w:spacing w:after="80"/>
      </w:pPr>
    </w:p>
    <w:p w14:paraId="6AD59B94" w14:textId="1FBE5AE1" w:rsidR="006E0779" w:rsidRDefault="006E0779" w:rsidP="006E0779">
      <w:pPr>
        <w:pStyle w:val="Heading2"/>
        <w:spacing w:before="0" w:after="140"/>
      </w:pPr>
      <w:r>
        <w:t>4.2  Interpretation and limitations</w:t>
      </w:r>
    </w:p>
    <w:p w14:paraId="7A898F56" w14:textId="42415459" w:rsidR="006E0779" w:rsidRDefault="006E0779" w:rsidP="006E0779">
      <w:r>
        <w:t>The model flagged 199 rows; 159 were labeled fraud, and 52 of 211 fraud rows were missed. Compared with baseline XGBoost, false positives fell from 72 to 40, while detected fraud fell from 166 to 159. This is a precision-recall tradeoff, not an across-the-board gain.</w:t>
      </w:r>
    </w:p>
    <w:p w14:paraId="4433A014" w14:textId="520505C0" w:rsidR="006E0779" w:rsidRDefault="006E0779" w:rsidP="006E0779">
      <w:r>
        <w:t>The test results are recorded development evidence, not an untouched external validation. The notebook inspected the test partition during development and used full-data exploratory analysis. Model settings and the threshold also reused development folds. Further, a score of 0.97 is not an established 97% probability of fraud because calibration was not tested. The curated demo sample is deliberately non-representative and is kept separate from these benchmark results.</w:t>
      </w:r>
    </w:p>
    <w:p w14:paraId="7C7582E9" w14:textId="432C30C3" w:rsidR="006E0779" w:rsidRDefault="006E0779">
      <w:pPr>
        <w:spacing w:after="160" w:line="278" w:lineRule="auto"/>
      </w:pPr>
      <w:r>
        <w:br w:type="page"/>
      </w:r>
    </w:p>
    <w:p w14:paraId="11577618" w14:textId="635A349C" w:rsidR="006E0779" w:rsidRDefault="006E0779" w:rsidP="006E0779">
      <w:pPr>
        <w:pStyle w:val="Heading1"/>
        <w:spacing w:before="0" w:after="280"/>
      </w:pPr>
      <w:r>
        <w:t>Chapter 5  Conclusion and Future Scope</w:t>
      </w:r>
    </w:p>
    <w:p w14:paraId="3E5016EF" w14:textId="218CAAC3" w:rsidR="006E0779" w:rsidRDefault="006E0779" w:rsidP="006E0779">
      <w:pPr>
        <w:pStyle w:val="Heading2"/>
        <w:spacing w:before="0" w:after="140"/>
      </w:pPr>
      <w:r>
        <w:t>5.1  Conclusion</w:t>
      </w:r>
    </w:p>
    <w:p w14:paraId="3E54114A" w14:textId="2FDDF5D2" w:rsidR="006E0779" w:rsidRDefault="006E0779" w:rsidP="006E0779">
      <w:r>
        <w:t>This project connects an imbalanced-classification learning notebook to a usable fraud review workflow. The final recorded result combines 79.90% precision with 75.36% recall on the ordered test partition. FraudLens lets a visitor inspect a successful detection, a false alarm, and a missed fraud, then examine feature contributions and record a simulated decision. The main contribution is a transparent account of model choices and errors, not a claim of production readiness.</w:t>
      </w:r>
    </w:p>
    <w:p w14:paraId="4A30A52C" w14:textId="473D6346" w:rsidR="006E0779" w:rsidRDefault="006E0779" w:rsidP="006E0779">
      <w:pPr>
        <w:pStyle w:val="Heading2"/>
        <w:spacing w:before="0" w:after="140"/>
      </w:pPr>
      <w:r>
        <w:t>5.2  Environmental and societal impact</w:t>
      </w:r>
    </w:p>
    <w:p w14:paraId="071066E4" w14:textId="5692F7C8" w:rsidR="006E0779" w:rsidRDefault="006E0779" w:rsidP="006E0779">
      <w:r>
        <w:t>A well-evaluated fraud-screening tool could help prioritize human reviews and reduce losses, while false alarms can delay legitimate payments and missed cases can leave victims exposed. Anonymous data and session-only records limit the personal data handled by this demonstration. Model training and interactive computation still consume energy; future work should measure whether additional model complexity provides enough benefit to justify that cost. Real use would require privacy controls, access governance, and careful monitoring of unequal error rates.</w:t>
      </w:r>
    </w:p>
    <w:p w14:paraId="1A567341" w14:textId="019055EA" w:rsidR="006E0779" w:rsidRDefault="006E0779" w:rsidP="006E0779">
      <w:pPr>
        <w:pStyle w:val="Heading2"/>
        <w:spacing w:before="0" w:after="140"/>
      </w:pPr>
      <w:r>
        <w:t>5.3  Future scope</w:t>
      </w:r>
    </w:p>
    <w:p w14:paraId="471B326B" w14:textId="73CB6B72" w:rsidR="006E0779" w:rsidRDefault="006E0779" w:rsidP="006E0779">
      <w:r>
        <w:t>First, reserve a genuinely new chronological holdout and keep model selection, threshold selection, and final evaluation separate. A forward-validation experiment would better test how performance changes when future transactions follow earlier training data.</w:t>
      </w:r>
    </w:p>
    <w:p w14:paraId="55CFD238" w14:textId="20C0929A" w:rsidR="006E0779" w:rsidRDefault="006E0779" w:rsidP="006E0779">
      <w:r>
        <w:t>Second, assess score calibration and choose review rules using explicit costs or analyst capacity rather than F1 alone. This would clarify how many cases can be reviewed and whether score bands support reliable operational decisions.</w:t>
      </w:r>
    </w:p>
    <w:p w14:paraId="17D6AB95" w14:textId="7303565B" w:rsidR="006E0779" w:rsidRDefault="006E0779" w:rsidP="006E0779">
      <w:r>
        <w:t>Third, study drift and subgroup errors on later, appropriately governed data. If a real deployment were pursued, persistent case management, authentication, monitoring, and human oversight would be needed before any banking action could be connected to a model output.</w:t>
      </w:r>
    </w:p>
    <w:p w14:paraId="55F5DA61" w14:textId="53C79E71" w:rsidR="006E0779" w:rsidRDefault="006E0779">
      <w:pPr>
        <w:spacing w:after="160" w:line="278" w:lineRule="auto"/>
      </w:pPr>
      <w:r>
        <w:br w:type="page"/>
      </w:r>
    </w:p>
    <w:p w14:paraId="2C1641C6" w14:textId="6CE611E8" w:rsidR="006E0779" w:rsidRDefault="006E0779" w:rsidP="006E0779">
      <w:pPr>
        <w:pStyle w:val="Heading1"/>
        <w:spacing w:before="0" w:after="280"/>
      </w:pPr>
      <w:r>
        <w:t>References</w:t>
      </w:r>
    </w:p>
    <w:p w14:paraId="1C49393A" w14:textId="402533B2" w:rsidR="006E0779" w:rsidRDefault="006E0779" w:rsidP="006E0779">
      <w:pPr>
        <w:pStyle w:val="Heading2"/>
        <w:spacing w:before="0" w:after="140"/>
      </w:pPr>
      <w:r>
        <w:t>Journal and conference papers</w:t>
      </w:r>
    </w:p>
    <w:p w14:paraId="384453A3" w14:textId="30497240" w:rsidR="006E0779" w:rsidRDefault="006E0779" w:rsidP="006E0779">
      <w:r>
        <w:t>[2] T. Chen and C. Guestrin, "XGBoost: A Scalable Tree Boosting System," Proceedings of the 22nd ACM SIGKDD International Conference on Knowledge Discovery and Data Mining, pp. 785-794, 2016.</w:t>
      </w:r>
    </w:p>
    <w:p w14:paraId="779575BD" w14:textId="3BD2DD3B" w:rsidR="006E0779" w:rsidRDefault="006E0779" w:rsidP="006E0779">
      <w:r>
        <w:t>[3] S. M. Lundberg and S.-I. Lee, "A Unified Approach to Interpreting Model Predictions," Advances in Neural Information Processing Systems 30, 2017.</w:t>
      </w:r>
    </w:p>
    <w:p w14:paraId="300BC2BA" w14:textId="4E3A3043" w:rsidR="006E0779" w:rsidRDefault="006E0779" w:rsidP="006E0779">
      <w:pPr>
        <w:pStyle w:val="Heading2"/>
        <w:spacing w:before="0" w:after="140"/>
      </w:pPr>
      <w:r>
        <w:t>Web and project sources</w:t>
      </w:r>
    </w:p>
    <w:p w14:paraId="0A450FE9" w14:textId="16801C23" w:rsidR="006E0779" w:rsidRDefault="006E0779" w:rsidP="006E0779">
      <w:r>
        <w:t>[1] Machine Learning Group, Université Libre de Bruxelles, "Credit Card Fraud Detection," Kaggle dataset documentation, kaggle.com/mlg-ulb/creditcardfraud.</w:t>
      </w:r>
    </w:p>
    <w:p w14:paraId="4095AF24" w14:textId="496CD703" w:rsidR="006E0779" w:rsidRDefault="006E0779" w:rsidP="006E0779">
      <w:r>
        <w:t>[4] scikit-learn developers, "average_precision_score," scikit-learn API reference, scikit-learn.org/stable/modules/generated/sklearn.metrics.average_precision_score.html.</w:t>
      </w:r>
    </w:p>
    <w:p w14:paraId="5348FDF3" w14:textId="32433B0E" w:rsidR="006E0779" w:rsidRDefault="006E0779" w:rsidP="006E0779">
      <w:r>
        <w:t>[5] scikit-learn developers, "GroupKFold," scikit-learn API reference, scikit-learn.org/stable/modules/generated/sklearn.model_selection.GroupKFold.html.</w:t>
      </w:r>
    </w:p>
    <w:p w14:paraId="436D0F18" w14:textId="49E8D2E6" w:rsidR="006E0779" w:rsidRDefault="006E0779" w:rsidP="006E0779">
      <w:r>
        <w:t>[6] FraudLens project repository, fraud_detection.ipynb, model_artifacts/metrics.json, and model_artifacts/fraudlens_assets.json; saved experiments, metrics, and sample provenance.</w:t>
      </w:r>
    </w:p>
    <w:p w14:paraId="1D5F5E61" w14:textId="77777777" w:rsidR="006E0779" w:rsidRPr="006E0779" w:rsidRDefault="006E0779" w:rsidP="006E0779"/>
    <w:sectPr w:rsidR="006E0779" w:rsidRPr="006E0779" w:rsidSect="006E0779">
      <w:pgSz w:w="11907" w:h="16839"/>
      <w:pgMar w:top="1191" w:right="1247" w:bottom="1191" w:left="136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79"/>
    <w:rsid w:val="005653C0"/>
    <w:rsid w:val="006E07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3AD2F82"/>
  <w15:chartTrackingRefBased/>
  <w15:docId w15:val="{CAD03A9C-06DA-47DE-88FE-5C1A5B047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Times New Roman" w:hAnsi="Times New Roman"/>
      <w:color w:val="000000"/>
      <w:sz w:val="22"/>
    </w:rPr>
  </w:style>
  <w:style w:type="paragraph" w:styleId="Heading1">
    <w:name w:val="heading 1"/>
    <w:basedOn w:val="Normal"/>
    <w:next w:val="Normal"/>
    <w:link w:val="Heading1Char"/>
    <w:uiPriority w:val="9"/>
    <w:qFormat/>
    <w:rsid w:val="006E0779"/>
    <w:pPr>
      <w:keepNext/>
      <w:keepLines/>
      <w:spacing w:before="360" w:after="80"/>
      <w:outlineLvl w:val="0"/>
    </w:pPr>
    <w:rPr>
      <w:rFonts w:eastAsiaTheme="majorEastAsia" w:cstheme="majorBidi"/>
      <w:sz w:val="30"/>
      <w:szCs w:val="40"/>
    </w:rPr>
  </w:style>
  <w:style w:type="paragraph" w:styleId="Heading2">
    <w:name w:val="heading 2"/>
    <w:basedOn w:val="Normal"/>
    <w:next w:val="Normal"/>
    <w:link w:val="Heading2Char"/>
    <w:uiPriority w:val="9"/>
    <w:unhideWhenUsed/>
    <w:qFormat/>
    <w:rsid w:val="006E0779"/>
    <w:pPr>
      <w:keepNext/>
      <w:keepLines/>
      <w:spacing w:before="160" w:after="80"/>
      <w:outlineLvl w:val="1"/>
    </w:pPr>
    <w:rPr>
      <w:rFonts w:eastAsiaTheme="majorEastAsia" w:cstheme="majorBidi"/>
      <w:sz w:val="24"/>
      <w:szCs w:val="32"/>
    </w:rPr>
  </w:style>
  <w:style w:type="paragraph" w:styleId="Heading3">
    <w:name w:val="heading 3"/>
    <w:basedOn w:val="Normal"/>
    <w:next w:val="Normal"/>
    <w:link w:val="Heading3Char"/>
    <w:uiPriority w:val="9"/>
    <w:semiHidden/>
    <w:unhideWhenUsed/>
    <w:qFormat/>
    <w:rsid w:val="006E0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779"/>
    <w:rPr>
      <w:rFonts w:ascii="Times New Roman" w:eastAsiaTheme="majorEastAsia" w:hAnsi="Times New Roman" w:cstheme="majorBidi"/>
      <w:color w:val="000000"/>
      <w:sz w:val="30"/>
      <w:szCs w:val="40"/>
    </w:rPr>
  </w:style>
  <w:style w:type="character" w:customStyle="1" w:styleId="Heading2Char">
    <w:name w:val="Heading 2 Char"/>
    <w:basedOn w:val="DefaultParagraphFont"/>
    <w:link w:val="Heading2"/>
    <w:uiPriority w:val="9"/>
    <w:rsid w:val="006E0779"/>
    <w:rPr>
      <w:rFonts w:ascii="Times New Roman" w:eastAsiaTheme="majorEastAsia" w:hAnsi="Times New Roman" w:cstheme="majorBidi"/>
      <w:color w:val="000000"/>
      <w:szCs w:val="32"/>
    </w:rPr>
  </w:style>
  <w:style w:type="character" w:customStyle="1" w:styleId="Heading3Char">
    <w:name w:val="Heading 3 Char"/>
    <w:basedOn w:val="DefaultParagraphFont"/>
    <w:link w:val="Heading3"/>
    <w:uiPriority w:val="9"/>
    <w:semiHidden/>
    <w:rsid w:val="006E0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779"/>
    <w:rPr>
      <w:rFonts w:eastAsiaTheme="majorEastAsia" w:cstheme="majorBidi"/>
      <w:color w:val="272727" w:themeColor="text1" w:themeTint="D8"/>
    </w:rPr>
  </w:style>
  <w:style w:type="paragraph" w:styleId="Title">
    <w:name w:val="Title"/>
    <w:basedOn w:val="Normal"/>
    <w:next w:val="Normal"/>
    <w:link w:val="TitleChar"/>
    <w:uiPriority w:val="10"/>
    <w:qFormat/>
    <w:rsid w:val="006E0779"/>
    <w:pPr>
      <w:spacing w:after="80"/>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6E0779"/>
    <w:rPr>
      <w:rFonts w:ascii="Times New Roman" w:eastAsiaTheme="majorEastAsia" w:hAnsi="Times New Roman" w:cstheme="majorBidi"/>
      <w:b/>
      <w:color w:val="000000"/>
      <w:spacing w:val="-10"/>
      <w:kern w:val="28"/>
      <w:sz w:val="40"/>
      <w:szCs w:val="56"/>
    </w:rPr>
  </w:style>
  <w:style w:type="paragraph" w:styleId="Subtitle">
    <w:name w:val="Subtitle"/>
    <w:basedOn w:val="Normal"/>
    <w:next w:val="Normal"/>
    <w:link w:val="SubtitleChar"/>
    <w:uiPriority w:val="11"/>
    <w:qFormat/>
    <w:rsid w:val="006E077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6E0779"/>
    <w:rPr>
      <w:rFonts w:ascii="Times New Roman" w:eastAsiaTheme="majorEastAsia" w:hAnsi="Times New Roman" w:cstheme="majorBidi"/>
      <w:color w:val="000000"/>
      <w:spacing w:val="15"/>
      <w:sz w:val="28"/>
      <w:szCs w:val="28"/>
    </w:rPr>
  </w:style>
  <w:style w:type="paragraph" w:styleId="Quote">
    <w:name w:val="Quote"/>
    <w:basedOn w:val="Normal"/>
    <w:next w:val="Normal"/>
    <w:link w:val="QuoteChar"/>
    <w:uiPriority w:val="29"/>
    <w:qFormat/>
    <w:rsid w:val="006E0779"/>
    <w:pPr>
      <w:spacing w:before="160"/>
      <w:jc w:val="center"/>
    </w:pPr>
    <w:rPr>
      <w:i/>
      <w:iCs/>
      <w:color w:val="404040" w:themeColor="text1" w:themeTint="BF"/>
    </w:rPr>
  </w:style>
  <w:style w:type="character" w:customStyle="1" w:styleId="QuoteChar">
    <w:name w:val="Quote Char"/>
    <w:basedOn w:val="DefaultParagraphFont"/>
    <w:link w:val="Quote"/>
    <w:uiPriority w:val="29"/>
    <w:rsid w:val="006E0779"/>
    <w:rPr>
      <w:i/>
      <w:iCs/>
      <w:color w:val="404040" w:themeColor="text1" w:themeTint="BF"/>
    </w:rPr>
  </w:style>
  <w:style w:type="paragraph" w:styleId="ListParagraph">
    <w:name w:val="List Paragraph"/>
    <w:basedOn w:val="Normal"/>
    <w:uiPriority w:val="34"/>
    <w:qFormat/>
    <w:rsid w:val="006E0779"/>
    <w:pPr>
      <w:ind w:left="720"/>
      <w:contextualSpacing/>
    </w:pPr>
  </w:style>
  <w:style w:type="character" w:styleId="IntenseEmphasis">
    <w:name w:val="Intense Emphasis"/>
    <w:basedOn w:val="DefaultParagraphFont"/>
    <w:uiPriority w:val="21"/>
    <w:qFormat/>
    <w:rsid w:val="006E0779"/>
    <w:rPr>
      <w:i/>
      <w:iCs/>
      <w:color w:val="2F5496" w:themeColor="accent1" w:themeShade="BF"/>
    </w:rPr>
  </w:style>
  <w:style w:type="paragraph" w:styleId="IntenseQuote">
    <w:name w:val="Intense Quote"/>
    <w:basedOn w:val="Normal"/>
    <w:next w:val="Normal"/>
    <w:link w:val="IntenseQuoteChar"/>
    <w:uiPriority w:val="30"/>
    <w:qFormat/>
    <w:rsid w:val="006E0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779"/>
    <w:rPr>
      <w:i/>
      <w:iCs/>
      <w:color w:val="2F5496" w:themeColor="accent1" w:themeShade="BF"/>
    </w:rPr>
  </w:style>
  <w:style w:type="character" w:styleId="IntenseReference">
    <w:name w:val="Intense Reference"/>
    <w:basedOn w:val="DefaultParagraphFont"/>
    <w:uiPriority w:val="32"/>
    <w:qFormat/>
    <w:rsid w:val="006E07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Khanna</dc:creator>
  <cp:keywords/>
  <dc:description/>
  <cp:lastModifiedBy/>
</cp:coreProperties>
</file>