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/Relationships>
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PHILIPPINE STARTUP CHALLENGE XI</w:t>
      </w:r>
    </w:p>
    <w:p>
      <w:r>
        <w:rPr>
          <w:b/>
        </w:rPr>
        <w:t xml:space="preserve">TEAM NAME:</w:t>
      </w:r>
      <w:r>
        <w:t xml:space="preserve"> _(fill in)_</w:t>
      </w:r>
    </w:p>
    <w:p>
      <w:r>
        <w:rPr>
          <w:b/>
        </w:rPr>
        <w:t xml:space="preserve">STARTUP NAME:</w:t>
      </w:r>
      <w:r>
        <w:t xml:space="preserve"> TimbangAI</w:t>
      </w:r>
    </w:p>
    <w:p>
      <w:r>
        <w:rPr>
          <w:b/>
        </w:rPr>
        <w:t xml:space="preserve">CONCEPT NOTE</w:t>
      </w:r>
    </w:p>
    <w:p>
      <w:pPr>
        <w:pStyle w:val="Quote"/>
        <w:ind w:left="360"/>
      </w:pPr>
      <w:r>
        <w:rPr>
          <w:b/>
        </w:rPr>
        <w:t xml:space="preserve">Name note for the team:</w:t>
      </w:r>
      <w:r>
        <w:t xml:space="preserve"> the earlier concept note was filed as </w:t>
      </w:r>
      <w:r>
        <w:rPr>
          <w:b/>
        </w:rPr>
        <w:t xml:space="preserve">SeePat (SIPAT)</w:t>
      </w:r>
      <w:r>
        <w:t xml:space="preserve"> while the</w:t>
      </w:r>
    </w:p>
    <w:p>
      <w:pPr>
        <w:pStyle w:val="Quote"/>
        <w:ind w:left="360"/>
      </w:pPr>
      <w:r>
        <w:t xml:space="preserve">refined document is </w:t>
      </w:r>
      <w:r>
        <w:rPr>
          <w:b/>
        </w:rPr>
        <w:t xml:space="preserve">TimbangAI</w:t>
      </w:r>
      <w:r>
        <w:t xml:space="preserve">. This note uses </w:t>
      </w:r>
      <w:r>
        <w:rPr>
          <w:b/>
        </w:rPr>
        <w:t xml:space="preserve">TimbangAI</w:t>
      </w:r>
      <w:r>
        <w:t xml:space="preserve"> throughout because "timbang" (to</w:t>
      </w:r>
    </w:p>
    <w:p>
      <w:pPr>
        <w:pStyle w:val="Quote"/>
        <w:ind w:left="360"/>
      </w:pPr>
      <w:r>
        <w:t xml:space="preserve">weigh) is a natural *spoken address* for a voice-first product — the owner literally says</w:t>
      </w:r>
    </w:p>
    <w:p>
      <w:pPr>
        <w:pStyle w:val="Quote"/>
        <w:ind w:left="360"/>
      </w:pPr>
      <w:r>
        <w:t xml:space="preserve">"Timbang, nakabenta ako ng…" — whereas "sipat" (to observe) describes looking at a dashboard.</w:t>
      </w:r>
    </w:p>
    <w:p>
      <w:pPr>
        <w:pStyle w:val="Quote"/>
        <w:ind w:left="360"/>
      </w:pPr>
      <w:r>
        <w:t xml:space="preserve">Confirm which name was registered with DICT and keep one name across every document.</w:t>
      </w:r>
    </w:p>
    <w:p>
      <w:pPr>
        <w:pBdr>
          <w:bottom w:val="single" w:sz="6" w:space="1" w:color="94A3B8"/>
        </w:pBdr>
      </w:pPr>
    </w:p>
    <w:p>
      <w:pPr>
        <w:pStyle w:val="Heading2"/>
      </w:pPr>
      <w:r>
        <w:t xml:space="preserve">I. SUMMARY</w:t>
      </w:r>
    </w:p>
    <w:p>
      <w:r>
        <w:t xml:space="preserve">TimbangAI is a mobile-first, voice-enabled financial decision copilot for Filipino</w:t>
      </w:r>
    </w:p>
    <w:p>
      <w:r>
        <w:t xml:space="preserve">microentrepreneurs — sari-sari stores, carinderias, public-market vendors, home-based sellers and</w:t>
      </w:r>
    </w:p>
    <w:p>
      <w:r>
        <w:t xml:space="preserve">neighborhood retailers.</w:t>
      </w:r>
    </w:p>
    <w:p>
      <w:r>
        <w:t xml:space="preserve">It addresses a practical decision gap: **owners know how much money entered the cash box today, but</w:t>
      </w:r>
    </w:p>
    <w:p>
      <w:r>
        <w:t xml:space="preserve">not how much they actually earned.** Sales, expenses, inventory, customer credit (*utang*) and</w:t>
      </w:r>
    </w:p>
    <w:p>
      <w:r>
        <w:t xml:space="preserve">household withdrawals are tracked separately, or not at all, which makes *"Kumikita ba talaga</w:t>
      </w:r>
    </w:p>
    <w:p>
      <w:r>
        <w:t xml:space="preserve">ako?"*, *"Nasaan ang puhunan ko?"* and *"Bakit malakas ang benta pero walang natitirang pera?"*</w:t>
      </w:r>
    </w:p>
    <w:p>
      <w:r>
        <w:t xml:space="preserve">surprisingly difficult to answer.</w:t>
      </w:r>
    </w:p>
    <w:p>
      <w:r>
        <w:t xml:space="preserve">Unlike a conventional POS or bookkeeping app, TimbangAI is positioned as **explainable,</w:t>
      </w:r>
    </w:p>
    <w:p>
      <w:r>
        <w:t xml:space="preserve">conversational decision intelligence**. Deterministic accounting formulas compute every financial</w:t>
      </w:r>
    </w:p>
    <w:p>
      <w:r>
        <w:t xml:space="preserve">figure; AI is confined to interpretation, explanation and prediction. The core promise:</w:t>
      </w:r>
    </w:p>
    <w:p>
      <w:pPr>
        <w:pStyle w:val="Quote"/>
        <w:ind w:left="360"/>
      </w:pPr>
      <w:r>
        <w:t xml:space="preserve">**Millions of Filipino entrepreneurs know how much they sold today. TimbangAI helps them</w:t>
      </w:r>
    </w:p>
    <w:p>
      <w:pPr>
        <w:pStyle w:val="Quote"/>
        <w:ind w:left="360"/>
      </w:pPr>
      <w:r>
        <w:t xml:space="preserve">understand how much they actually earned — and what to consider doing tomorrow.**</w:t>
      </w:r>
    </w:p>
    <w:p>
      <w:r>
        <w:rPr>
          <w:b/>
        </w:rPr>
        <w:t xml:space="preserve">Current status:</w:t>
      </w:r>
      <w:r>
        <w:t xml:space="preserve"> a working prototype exists, with the deterministic finance engine covered by an</w:t>
      </w:r>
    </w:p>
    <w:p>
      <w:r>
        <w:t xml:space="preserve">automated test suite (see Section IX.C).</w:t>
      </w:r>
    </w:p>
    <w:p>
      <w:pPr>
        <w:pBdr>
          <w:bottom w:val="single" w:sz="6" w:space="1" w:color="94A3B8"/>
        </w:pBdr>
      </w:pPr>
    </w:p>
    <w:p>
      <w:pPr>
        <w:pStyle w:val="Heading2"/>
      </w:pPr>
      <w:r>
        <w:t xml:space="preserve">II. BACKGROUND OF THE PROBLEM</w:t>
      </w:r>
    </w:p>
    <w:p>
      <w:r>
        <w:t xml:space="preserve">Many microentrepreneurs still depend on notebooks, calculators, memory, chat messages or fragmented</w:t>
      </w:r>
    </w:p>
    <w:p>
      <w:r>
        <w:t xml:space="preserve">digital tools. These methods make it hard to connect sales, expenses, inventory, receivables and cash</w:t>
      </w:r>
    </w:p>
    <w:p>
      <w:r>
        <w:t xml:space="preserve">into one reliable view of business health.</w:t>
      </w:r>
    </w:p>
    <w:p>
      <w:r>
        <w:rPr>
          <w:b/>
        </w:rPr>
        <w:t xml:space="preserve">Scale.</w:t>
      </w:r>
      <w:r>
        <w:t xml:space="preserve"> 2024 Philippine MSME statistics report **1,236,908 MSMEs, or 99.63% of all business</w:t>
      </w:r>
    </w:p>
    <w:p>
      <w:r>
        <w:t xml:space="preserve">establishments</w:t>
      </w:r>
      <w:r>
        <w:rPr>
          <w:b/>
        </w:rPr>
        <w:t xml:space="preserve">, with </w:t>
      </w:r>
      <w:r>
        <w:t xml:space="preserve">microenterprises alone accounting for 1,125,476 — 90.66% of</w:t>
      </w:r>
    </w:p>
    <w:p>
      <w:r>
        <w:t xml:space="preserve">establishments.** _(Source: Philippine Information Agency, citing DTI/PSA 2024 MSME statistics.)_</w:t>
      </w:r>
    </w:p>
    <w:p>
      <w:r>
        <w:rPr>
          <w:b/>
        </w:rPr>
        <w:t xml:space="preserve">Digitalisation gap.</w:t>
      </w:r>
      <w:r>
        <w:t xml:space="preserve"> DTI's MSME baseline found **23% of surveyed MSMEs did not use ICT tools for</w:t>
      </w:r>
    </w:p>
    <w:p>
      <w:r>
        <w:t xml:space="preserve">business, 51% used only basic tools, and only 6% used advanced digital tools; 73% reported a need for</w:t>
      </w:r>
    </w:p>
    <w:p>
      <w:r>
        <w:t xml:space="preserve">capacity building, particularly in financial management, customer development and content</w:t>
      </w:r>
    </w:p>
    <w:p>
      <w:r>
        <w:t xml:space="preserve">management.** _(Source: DTI, Baseline Survey on Digitalization of MSMEs in the Philippines,</w:t>
      </w:r>
    </w:p>
    <w:p>
      <w:r>
        <w:t xml:space="preserve">September 2020.)_ National programmes such as DTI's </w:t>
      </w:r>
      <w:r>
        <w:rPr>
          <w:b/>
        </w:rPr>
        <w:t xml:space="preserve">"Tindahan Mo, e-Level Up Mo!"</w:t>
      </w:r>
      <w:r>
        <w:t xml:space="preserve"> continue to</w:t>
      </w:r>
    </w:p>
    <w:p>
      <w:r>
        <w:t xml:space="preserve">promote sari-sari store and MSME digitalisation.</w:t>
      </w:r>
    </w:p>
    <w:p>
      <w:r>
        <w:rPr>
          <w:b/>
        </w:rPr>
        <w:t xml:space="preserve">The five recurring information gaps.</w:t>
      </w:r>
      <w:r>
        <w:t xml:space="preserve"> A microentrepreneur might say *"₱8,000 ang benta ko</w:t>
      </w:r>
    </w:p>
    <w:p>
      <w:r>
        <w:t xml:space="preserve">ngayon."* But ₱8,000 in sales is not ₱8,000 in profit: some is inventory cost, some is operating</w:t>
      </w:r>
    </w:p>
    <w:p>
      <w:r>
        <w:t xml:space="preserve">expense, some may be *utang*, some may have been withdrawn for the household, and some capital may be</w:t>
      </w:r>
    </w:p>
    <w:p>
      <w:r>
        <w:t xml:space="preserve">sitting in slow-moving stock. The owner sees </w:t>
      </w:r>
      <w:r>
        <w:rPr>
          <w:b/>
        </w:rPr>
        <w:t xml:space="preserve">cash movement</w:t>
      </w:r>
      <w:r>
        <w:t xml:space="preserve">, not the **financial state of the</w:t>
      </w:r>
    </w:p>
    <w:p>
      <w:r>
        <w:t xml:space="preserve">business**:</w:t>
      </w:r>
    </w:p>
    <w:p>
      <w:pPr>
        <w:ind w:left="360"/>
      </w:pPr>
      <w:r>
        <w:t xml:space="preserve">1. </w:t>
      </w:r>
      <w:r>
        <w:rPr>
          <w:b/>
        </w:rPr>
        <w:t xml:space="preserve">Profit gap</w:t>
      </w:r>
      <w:r>
        <w:t xml:space="preserve"> — *Magkano talaga ang kinita ko?*</w:t>
      </w:r>
    </w:p>
    <w:p>
      <w:pPr>
        <w:ind w:left="360"/>
      </w:pPr>
      <w:r>
        <w:t xml:space="preserve">2. </w:t>
      </w:r>
      <w:r>
        <w:rPr>
          <w:b/>
        </w:rPr>
        <w:t xml:space="preserve">Capital gap</w:t>
      </w:r>
      <w:r>
        <w:t xml:space="preserve"> — *Nasaan ngayon ang puhunan ko?*</w:t>
      </w:r>
    </w:p>
    <w:p>
      <w:pPr>
        <w:ind w:left="360"/>
      </w:pPr>
      <w:r>
        <w:t xml:space="preserve">3. </w:t>
      </w:r>
      <w:r>
        <w:rPr>
          <w:b/>
        </w:rPr>
        <w:t xml:space="preserve">Cash-flow gap</w:t>
      </w:r>
      <w:r>
        <w:t xml:space="preserve"> — *Bakit mataas ang benta pero kulang ang cash?*</w:t>
      </w:r>
    </w:p>
    <w:p>
      <w:pPr>
        <w:ind w:left="360"/>
      </w:pPr>
      <w:r>
        <w:t xml:space="preserve">4. </w:t>
      </w:r>
      <w:r>
        <w:rPr>
          <w:b/>
        </w:rPr>
        <w:t xml:space="preserve">Inventory gap</w:t>
      </w:r>
      <w:r>
        <w:t xml:space="preserve"> — *Ano ang mabilis maubos at ano ang hindi gumagalaw?*</w:t>
      </w:r>
    </w:p>
    <w:p>
      <w:pPr>
        <w:ind w:left="360"/>
      </w:pPr>
      <w:r>
        <w:t xml:space="preserve">5. </w:t>
      </w:r>
      <w:r>
        <w:rPr>
          <w:b/>
        </w:rPr>
        <w:t xml:space="preserve">Decision gap</w:t>
      </w:r>
      <w:r>
        <w:t xml:space="preserve"> — *Ano ang dapat kong gawin bukas?*</w:t>
      </w:r>
    </w:p>
    <w:p>
      <w:r>
        <w:t xml:space="preserve">The problem is therefore </w:t>
      </w:r>
      <w:r>
        <w:rPr>
          <w:b/>
        </w:rPr>
        <w:t xml:space="preserve">not simply the absence of POS software.</w:t>
      </w:r>
      <w:r>
        <w:t xml:space="preserve"> It is the absence of</w:t>
      </w:r>
    </w:p>
    <w:p>
      <w:r>
        <w:rPr>
          <w:b/>
        </w:rPr>
        <w:t xml:space="preserve">accessible business intelligence for entrepreneurs who are not accountants or data analysts.</w:t>
      </w:r>
    </w:p>
    <w:p>
      <w:pPr>
        <w:pBdr>
          <w:bottom w:val="single" w:sz="6" w:space="1" w:color="94A3B8"/>
        </w:pBdr>
      </w:pPr>
    </w:p>
    <w:p>
      <w:pPr>
        <w:pStyle w:val="Heading2"/>
      </w:pPr>
      <w:r>
        <w:t xml:space="preserve">III. PROPOSED STARTUP SOLUTION</w:t>
      </w:r>
    </w:p>
    <w:p>
      <w:r>
        <w:t xml:space="preserve">TimbangAI follows a continuous loop:</w:t>
      </w:r>
    </w:p>
    <w:p>
      <w:r>
        <w:rPr>
          <w:b/>
        </w:rPr>
        <w:t xml:space="preserve">RECORD → COMPUTE → UNDERSTAND → PREDICT → DECIDE</w:t>
      </w:r>
    </w:p>
    <w:p>
      <w:r>
        <w:t xml:space="preserve">Owners record sales, purchases, expenses, inventory movements and customer credit through simple</w:t>
      </w:r>
    </w:p>
    <w:p>
      <w:r>
        <w:t xml:space="preserve">forms, conversational text, or a proposed voice-to-transaction interface. Every verified transaction</w:t>
      </w:r>
    </w:p>
    <w:p>
      <w:r>
        <w:t xml:space="preserve">updates a </w:t>
      </w:r>
      <w:r>
        <w:rPr>
          <w:b/>
        </w:rPr>
        <w:t xml:space="preserve">Microenterprise Business Twin</w:t>
      </w:r>
      <w:r>
        <w:t xml:space="preserve"> — a live digital representation of cash, inventory,</w:t>
      </w:r>
    </w:p>
    <w:p>
      <w:r>
        <w:t xml:space="preserve">receivables, payables, sales, expenses and profitability.</w:t>
      </w:r>
    </w:p>
    <w:p>
      <w:pPr>
        <w:pStyle w:val="Heading3"/>
      </w:pPr>
      <w:r>
        <w:t xml:space="preserve">A. Trust architecture: AI does not produce the numbers</w:t>
      </w:r>
    </w:p>
    <w:p>
      <w:r>
        <w:rPr>
          <w:b/>
        </w:rPr>
        <w:t xml:space="preserve">Business Records → Financial Engine → Business Twin → Analytics → AI Explanation → Owner Decision</w:t>
      </w:r>
    </w:p>
    <w:p>
      <w:r>
        <w:t xml:space="preserve">Never:</w:t>
      </w:r>
    </w:p>
    <w:p>
      <w:r>
        <w:rPr>
          <w:b/>
        </w:rPr>
        <w:t xml:space="preserve">Business Records → LLM → Financial Answer</w:t>
      </w:r>
    </w:p>
    <w:p>
      <w:r>
        <w:t xml:space="preserve">Every figure an owner sees is computed by deterministic formulas from their own verified ledger. This</w:t>
      </w:r>
    </w:p>
    <w:p>
      <w:r>
        <w:t xml:space="preserve">makes the system accurate, auditable, explainable and technically defensible — and it is the reason</w:t>
      </w:r>
    </w:p>
    <w:p>
      <w:r>
        <w:t xml:space="preserve">the prototype's AI-free answering layer can run </w:t>
      </w:r>
      <w:r>
        <w:rPr>
          <w:b/>
        </w:rPr>
        <w:t xml:space="preserve">offline at zero marginal cost</w:t>
      </w:r>
      <w:r>
        <w:t xml:space="preserve">.</w:t>
      </w:r>
    </w:p>
    <w:p>
      <w:pPr>
        <w:pStyle w:val="Heading3"/>
      </w:pPr>
      <w:r>
        <w:t xml:space="preserve">B. Core modules</w:t>
      </w:r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r>
        <w:tc>
          <w:tcPr>
            <w:tcW w:w="0" w:type="auto"/>
            <w:shd w:val="clear" w:fill="E2F5F1"/>
            <w:vAlign w:val="center"/>
          </w:tcPr>
          <w:p>
            <w:pPr>
              <w:spacing w:after="40" w:before="40"/>
            </w:pPr>
            <w:r>
              <w:t xml:space="preserve">Module</w:t>
            </w:r>
          </w:p>
        </w:tc>
        <w:tc>
          <w:tcPr>
            <w:tcW w:w="0" w:type="auto"/>
            <w:shd w:val="clear" w:fill="E2F5F1"/>
            <w:vAlign w:val="center"/>
          </w:tcPr>
          <w:p>
            <w:pPr>
              <w:spacing w:after="40" w:before="40"/>
            </w:pPr>
            <w:r>
              <w:t xml:space="preserve">Function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40" w:before="40"/>
            </w:pPr>
            <w:r>
              <w:rPr>
                <w:b/>
              </w:rPr>
              <w:t xml:space="preserve">Timbang Ledger</w:t>
            </w:r>
          </w:p>
        </w:tc>
        <w:tc>
          <w:tcPr>
            <w:tcW w:w="0" w:type="auto"/>
            <w:vAlign w:val="center"/>
          </w:tcPr>
          <w:p>
            <w:pPr>
              <w:spacing w:after="40" w:before="40"/>
            </w:pPr>
            <w:r>
              <w:t xml:space="preserve">Sales, purchases, expenses, cash movement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40" w:before="40"/>
            </w:pPr>
            <w:r>
              <w:rPr>
                <w:b/>
              </w:rPr>
              <w:t xml:space="preserve">Timbang Inventory</w:t>
            </w:r>
          </w:p>
        </w:tc>
        <w:tc>
          <w:tcPr>
            <w:tcW w:w="0" w:type="auto"/>
            <w:vAlign w:val="center"/>
          </w:tcPr>
          <w:p>
            <w:pPr>
              <w:spacing w:after="40" w:before="40"/>
            </w:pPr>
            <w:r>
              <w:t xml:space="preserve">Stock, cost of goods sold, fast/slow movers, restocking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40" w:before="40"/>
            </w:pPr>
            <w:r>
              <w:rPr>
                <w:b/>
              </w:rPr>
              <w:t xml:space="preserve">Timbang Utang</w:t>
            </w:r>
          </w:p>
        </w:tc>
        <w:tc>
          <w:tcPr>
            <w:tcW w:w="0" w:type="auto"/>
            <w:vAlign w:val="center"/>
          </w:tcPr>
          <w:p>
            <w:pPr>
              <w:spacing w:after="40" w:before="40"/>
            </w:pPr>
            <w:r>
              <w:t xml:space="preserve">Customer receivables and repayment tracking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40" w:before="40"/>
            </w:pPr>
            <w:r>
              <w:rPr>
                <w:b/>
              </w:rPr>
              <w:t xml:space="preserve">Timbang Voice</w:t>
            </w:r>
          </w:p>
        </w:tc>
        <w:tc>
          <w:tcPr>
            <w:tcW w:w="0" w:type="auto"/>
            <w:vAlign w:val="center"/>
          </w:tcPr>
          <w:p>
            <w:pPr>
              <w:spacing w:after="40" w:before="40"/>
            </w:pPr>
            <w:r>
              <w:t xml:space="preserve">Voice/text to structured business transactions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40" w:before="40"/>
            </w:pPr>
            <w:r>
              <w:rPr>
                <w:b/>
              </w:rPr>
              <w:t xml:space="preserve">Timbang Insights</w:t>
            </w:r>
          </w:p>
        </w:tc>
        <w:tc>
          <w:tcPr>
            <w:tcW w:w="0" w:type="auto"/>
            <w:vAlign w:val="center"/>
          </w:tcPr>
          <w:p>
            <w:pPr>
              <w:spacing w:after="40" w:before="40"/>
            </w:pPr>
            <w:r>
              <w:t xml:space="preserve">Explainable business recommendations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40" w:before="40"/>
            </w:pPr>
            <w:r>
              <w:rPr>
                <w:b/>
              </w:rPr>
              <w:t xml:space="preserve">Timbang Score</w:t>
            </w:r>
          </w:p>
        </w:tc>
        <w:tc>
          <w:tcPr>
            <w:tcW w:w="0" w:type="auto"/>
            <w:vAlign w:val="center"/>
          </w:tcPr>
          <w:p>
            <w:pPr>
              <w:spacing w:after="40" w:before="40"/>
            </w:pPr>
            <w:r>
              <w:t xml:space="preserve">Versioned, decomposable business-health indicator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40" w:before="40"/>
            </w:pPr>
            <w:r>
              <w:rPr>
                <w:b/>
              </w:rPr>
              <w:t xml:space="preserve">Nasaan ang Puhunan Ko?</w:t>
            </w:r>
          </w:p>
        </w:tc>
        <w:tc>
          <w:tcPr>
            <w:tcW w:w="0" w:type="auto"/>
            <w:vAlign w:val="center"/>
          </w:tcPr>
          <w:p>
            <w:pPr>
              <w:spacing w:after="40" w:before="40"/>
            </w:pPr>
            <w:r>
              <w:t xml:space="preserve">Capital decomposition and visualisation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C. Two distinct capital questions *(corrected)*</w:t>
      </w:r>
    </w:p>
    <w:p>
      <w:r>
        <w:t xml:space="preserve">The earlier concept note used the word *puhunan* for </w:t>
      </w:r>
      <w:r>
        <w:rPr>
          <w:b/>
        </w:rPr>
        <w:t xml:space="preserve">two different questions</w:t>
      </w:r>
      <w:r>
        <w:t xml:space="preserve">, and both worked</w:t>
      </w:r>
    </w:p>
    <w:p>
      <w:r>
        <w:t xml:space="preserve">examples summed to a believable total — which is precisely why the ambiguity survived review. They</w:t>
      </w:r>
    </w:p>
    <w:p>
      <w:r>
        <w:t xml:space="preserve">are now separated and stated precisely:</w:t>
      </w:r>
    </w:p>
    <w:p>
      <w:r>
        <w:rPr>
          <w:b/>
        </w:rPr>
        <w:t xml:space="preserve">1. COMPOSITION — "Nasaan ang Puhunan Ko?"</w:t>
      </w:r>
      <w:r>
        <w:t xml:space="preserve"> Where capital sits </w:t>
      </w:r>
      <w:r>
        <w:rPr>
          <w:b/>
        </w:rPr>
        <w:t xml:space="preserve">right now</w:t>
      </w:r>
      <w:r>
        <w:t xml:space="preserve">:</w:t>
      </w:r>
    </w:p>
    <w:p>
      <w:pPr>
        <w:pStyle w:val="Code"/>
        <w:shd w:val="clear" w:fill="F1F5F9"/>
        <w:spacing w:after="0" w:line="240" w:lineRule="auto"/>
      </w:pPr>
      <w:r>
        <w:rPr>
          <w:rFonts w:ascii="Consolas" w:hAnsi="Consolas"/>
          <w:sz w:val="19"/>
        </w:rPr>
        <w:t xml:space="preserve">Assets − Liabilities = Cash + Paninda + Utang sa Iyo + Kagamitan − Utang sa Supplier</w:t>
      </w:r>
    </w:p>
    <w:p>
      <w:r>
        <w:rPr>
          <w:b/>
        </w:rPr>
        <w:t xml:space="preserve">2. PROVENANCE — "Saan Napunta ang Pera Ko?"</w:t>
      </w:r>
      <w:r>
        <w:t xml:space="preserve"> How capital was built and consumed **since</w:t>
      </w:r>
    </w:p>
    <w:p>
      <w:r>
        <w:t xml:space="preserve">inception**:</w:t>
      </w:r>
    </w:p>
    <w:p>
      <w:pPr>
        <w:pStyle w:val="Code"/>
        <w:shd w:val="clear" w:fill="F1F5F9"/>
        <w:spacing w:after="0" w:line="240" w:lineRule="auto"/>
      </w:pPr>
      <w:r>
        <w:rPr>
          <w:rFonts w:ascii="Consolas" w:hAnsi="Consolas"/>
          <w:sz w:val="19"/>
        </w:rPr>
        <w:t xml:space="preserve">Puhunan na Inilagay + Naipon na Kita</w:t>
      </w:r>
    </w:p>
    <w:p>
      <w:pPr>
        <w:pStyle w:val="Code"/>
        <w:shd w:val="clear" w:fill="F1F5F9"/>
        <w:spacing w:after="0" w:line="240" w:lineRule="auto"/>
      </w:pPr>
      <w:r>
        <w:rPr>
          <w:rFonts w:ascii="Consolas" w:hAnsi="Consolas"/>
          <w:sz w:val="19"/>
        </w:rPr>
        <w:t xml:space="preserve">      = Kinuhang Pera + (Cash + Paninda + Utang sa Iyo + Kagamitan − Utang sa Supplier)</w:t>
      </w:r>
    </w:p>
    <w:p>
      <w:r>
        <w:t xml:space="preserve">Withdrawals and expenses are </w:t>
      </w:r>
      <w:r>
        <w:rPr>
          <w:b/>
        </w:rPr>
        <w:t xml:space="preserve">flows, not locations</w:t>
      </w:r>
      <w:r>
        <w:t xml:space="preserve">. They cannot be a place where capital currently</w:t>
      </w:r>
    </w:p>
    <w:p>
      <w:r>
        <w:t xml:space="preserve">*sits*, so they never appear as a composition component. Both views are guaranteed consistent because</w:t>
      </w:r>
    </w:p>
    <w:p>
      <w:r>
        <w:t xml:space="preserve">they reduce to the same identity, which the prototype asserts after every transaction:</w:t>
      </w:r>
    </w:p>
    <w:p>
      <w:pPr>
        <w:pStyle w:val="Code"/>
        <w:shd w:val="clear" w:fill="F1F5F9"/>
        <w:spacing w:after="0" w:line="240" w:lineRule="auto"/>
      </w:pPr>
      <w:r>
        <w:rPr>
          <w:rFonts w:ascii="Consolas" w:hAnsi="Consolas"/>
          <w:sz w:val="19"/>
        </w:rPr>
        <w:t xml:space="preserve">Assets − Liabilities  =  Capital Injected − Withdrawals + Cumulative Net Profit</w:t>
      </w:r>
    </w:p>
    <w:p>
      <w:pPr>
        <w:pStyle w:val="Heading3"/>
      </w:pPr>
      <w:r>
        <w:t xml:space="preserve">D. Cost of goods sold *(corrected)*</w:t>
      </w:r>
    </w:p>
    <w:p>
      <w:r>
        <w:t xml:space="preserve">The earlier note specified </w:t>
      </w:r>
      <w:r>
        <w:rPr>
          <w:rFonts w:ascii="Consolas" w:hAnsi="Consolas"/>
          <w:sz w:val="19"/>
        </w:rPr>
        <w:t xml:space="preserve">COGS = Opening Inventory + Purchases − Closing Inventory</w:t>
      </w:r>
      <w:r>
        <w:t xml:space="preserve">. That is the</w:t>
      </w:r>
    </w:p>
    <w:p>
      <w:r>
        <w:rPr>
          <w:b/>
        </w:rPr>
        <w:t xml:space="preserve">periodic</w:t>
      </w:r>
      <w:r>
        <w:t xml:space="preserve"> method, and it </w:t>
      </w:r>
      <w:r>
        <w:rPr>
          <w:b/>
        </w:rPr>
        <w:t xml:space="preserve">requires a physical stock count</w:t>
      </w:r>
      <w:r>
        <w:t xml:space="preserve"> — which makes a *daily* profit figure</w:t>
      </w:r>
    </w:p>
    <w:p>
      <w:r>
        <w:t xml:space="preserve">impossible, contradicting the product's own promise to answer *"Magkano kinita ko ngayong linggo?"*</w:t>
      </w:r>
    </w:p>
    <w:p>
      <w:r>
        <w:t xml:space="preserve">TimbangAI therefore uses </w:t>
      </w:r>
      <w:r>
        <w:rPr>
          <w:b/>
        </w:rPr>
        <w:t xml:space="preserve">perpetual inventory at moving weighted average cost</w:t>
      </w:r>
      <w:r>
        <w:t xml:space="preserve">: cost of goods sold</w:t>
      </w:r>
    </w:p>
    <w:p>
      <w:r>
        <w:t xml:space="preserve">is derived at the moment of each sale, so daily profit is available </w:t>
      </w:r>
      <w:r>
        <w:rPr>
          <w:b/>
        </w:rPr>
        <w:t xml:space="preserve">without counting shelves</w:t>
      </w:r>
      <w:r>
        <w:t xml:space="preserve">.</w:t>
      </w:r>
    </w:p>
    <w:p>
      <w:r>
        <w:t xml:space="preserve">Inventory value is held as an exact integer in centavos and the cost basis is never a rounding</w:t>
      </w:r>
    </w:p>
    <w:p>
      <w:r>
        <w:t xml:space="preserve">accumulator, so the books cannot drift. Stock adjustments (spoilage, shrinkage) carry their own cost</w:t>
      </w:r>
    </w:p>
    <w:p>
      <w:r>
        <w:t xml:space="preserve">basis, and sales recorded before the matching purchase is entered produce a *negative* inventory</w:t>
      </w:r>
    </w:p>
    <w:p>
      <w:r>
        <w:t xml:space="preserve">position — which keeps the identity intact and self-corrects when the purchase is recorded, rather</w:t>
      </w:r>
    </w:p>
    <w:p>
      <w:r>
        <w:t xml:space="preserve">than silently booking cost against an asset that was never created.</w:t>
      </w:r>
    </w:p>
    <w:p>
      <w:pPr>
        <w:pStyle w:val="Heading3"/>
      </w:pPr>
      <w:r>
        <w:t xml:space="preserve">E. Timbang Score *(corrected)*</w:t>
      </w:r>
    </w:p>
    <w:p>
      <w:r>
        <w:t xml:space="preserve">The earlier note promised a score that is "not an arbitrary AI-generated score" and "decomposable</w:t>
      </w:r>
    </w:p>
    <w:p>
      <w:r>
        <w:t xml:space="preserve">into its contributing metrics" — but published no weights, normalisation or baseline, which left it</w:t>
      </w:r>
    </w:p>
    <w:p>
      <w:r>
        <w:t xml:space="preserve">underdetermined and therefore not reproducible. </w:t>
      </w:r>
      <w:r>
        <w:rPr>
          <w:b/>
        </w:rPr>
        <w:t xml:space="preserve">Timbang Score v1</w:t>
      </w:r>
      <w:r>
        <w:t xml:space="preserve"> now publishes six weighted</w:t>
      </w:r>
    </w:p>
    <w:p>
      <w:r>
        <w:t xml:space="preserve">dimensions whose weights sum to exactly 1.00:</w:t>
      </w:r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r>
        <w:tc>
          <w:tcPr>
            <w:tcW w:w="0" w:type="auto"/>
            <w:shd w:val="clear" w:fill="E2F5F1"/>
            <w:vAlign w:val="center"/>
          </w:tcPr>
          <w:p>
            <w:pPr>
              <w:spacing w:after="40" w:before="40"/>
            </w:pPr>
            <w:r>
              <w:t xml:space="preserve">Dimension</w:t>
            </w:r>
          </w:p>
        </w:tc>
        <w:tc>
          <w:tcPr>
            <w:tcW w:w="0" w:type="auto"/>
            <w:shd w:val="clear" w:fill="E2F5F1"/>
            <w:vAlign w:val="center"/>
          </w:tcPr>
          <w:p>
            <w:pPr>
              <w:spacing w:after="40" w:before="40"/>
            </w:pPr>
            <w:r>
              <w:t xml:space="preserve">Weight</w:t>
            </w:r>
          </w:p>
        </w:tc>
        <w:tc>
          <w:tcPr>
            <w:tcW w:w="0" w:type="auto"/>
            <w:shd w:val="clear" w:fill="E2F5F1"/>
            <w:vAlign w:val="center"/>
          </w:tcPr>
          <w:p>
            <w:pPr>
              <w:spacing w:after="40" w:before="40"/>
            </w:pPr>
            <w:r>
              <w:t xml:space="preserve">Basis</w:t>
            </w:r>
          </w:p>
        </w:tc>
        <w:tc>
          <w:tcPr>
            <w:tcW w:w="0" w:type="auto"/>
            <w:shd w:val="clear" w:fill="E2F5F1"/>
            <w:vAlign w:val="center"/>
          </w:tcPr>
          <w:p>
            <w:pPr>
              <w:spacing w:after="40" w:before="40"/>
            </w:pPr>
            <w:r>
              <w:t xml:space="preserve">Full marks at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40" w:before="40"/>
            </w:pPr>
            <w:r>
              <w:t xml:space="preserve">Profitability *(Kita)*</w:t>
            </w:r>
          </w:p>
        </w:tc>
        <w:tc>
          <w:tcPr>
            <w:tcW w:w="0" w:type="auto"/>
            <w:vAlign w:val="center"/>
          </w:tcPr>
          <w:p>
            <w:pPr>
              <w:spacing w:after="40" w:before="40"/>
            </w:pPr>
            <w:r>
              <w:t xml:space="preserve">0.25</w:t>
            </w:r>
          </w:p>
        </w:tc>
        <w:tc>
          <w:tcPr>
            <w:tcW w:w="0" w:type="auto"/>
            <w:vAlign w:val="center"/>
          </w:tcPr>
          <w:p>
            <w:pPr>
              <w:spacing w:after="40" w:before="40"/>
            </w:pPr>
            <w:r>
              <w:t xml:space="preserve">Net margin</w:t>
            </w:r>
          </w:p>
        </w:tc>
        <w:tc>
          <w:tcPr>
            <w:tcW w:w="0" w:type="auto"/>
            <w:vAlign w:val="center"/>
          </w:tcPr>
          <w:p>
            <w:pPr>
              <w:spacing w:after="40" w:before="40"/>
            </w:pPr>
            <w:r>
              <w:t xml:space="preserve">20% margin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40" w:before="40"/>
            </w:pPr>
            <w:r>
              <w:t xml:space="preserve">Cash-flow health *(Cash)*</w:t>
            </w:r>
          </w:p>
        </w:tc>
        <w:tc>
          <w:tcPr>
            <w:tcW w:w="0" w:type="auto"/>
            <w:vAlign w:val="center"/>
          </w:tcPr>
          <w:p>
            <w:pPr>
              <w:spacing w:after="40" w:before="40"/>
            </w:pPr>
            <w:r>
              <w:t xml:space="preserve">0.20</w:t>
            </w:r>
          </w:p>
        </w:tc>
        <w:tc>
          <w:tcPr>
            <w:tcW w:w="0" w:type="auto"/>
            <w:vAlign w:val="center"/>
          </w:tcPr>
          <w:p>
            <w:pPr>
              <w:spacing w:after="40" w:before="40"/>
            </w:pPr>
            <w:r>
              <w:t xml:space="preserve">Weeks of operating outflow covered by cash</w:t>
            </w:r>
          </w:p>
        </w:tc>
        <w:tc>
          <w:tcPr>
            <w:tcW w:w="0" w:type="auto"/>
            <w:vAlign w:val="center"/>
          </w:tcPr>
          <w:p>
            <w:pPr>
              <w:spacing w:after="40" w:before="40"/>
            </w:pPr>
            <w:r>
              <w:t xml:space="preserve">2×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40" w:before="40"/>
            </w:pPr>
            <w:r>
              <w:t xml:space="preserve">Inventory efficiency *(Galaw ng Paninda)*</w:t>
            </w:r>
          </w:p>
        </w:tc>
        <w:tc>
          <w:tcPr>
            <w:tcW w:w="0" w:type="auto"/>
            <w:vAlign w:val="center"/>
          </w:tcPr>
          <w:p>
            <w:pPr>
              <w:spacing w:after="40" w:before="40"/>
            </w:pPr>
            <w:r>
              <w:t xml:space="preserve">0.15</w:t>
            </w:r>
          </w:p>
        </w:tc>
        <w:tc>
          <w:tcPr>
            <w:tcW w:w="0" w:type="auto"/>
            <w:vAlign w:val="center"/>
          </w:tcPr>
          <w:p>
            <w:pPr>
              <w:spacing w:after="40" w:before="40"/>
            </w:pPr>
            <w:r>
              <w:t xml:space="preserve">Inventory turnover</w:t>
            </w:r>
          </w:p>
        </w:tc>
        <w:tc>
          <w:tcPr>
            <w:tcW w:w="0" w:type="auto"/>
            <w:vAlign w:val="center"/>
          </w:tcPr>
          <w:p>
            <w:pPr>
              <w:spacing w:after="40" w:before="40"/>
            </w:pPr>
            <w:r>
              <w:t xml:space="preserve">2× per period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40" w:before="40"/>
            </w:pPr>
            <w:r>
              <w:t xml:space="preserve">Receivable exposure *(Utang sa Iyo)*</w:t>
            </w:r>
          </w:p>
        </w:tc>
        <w:tc>
          <w:tcPr>
            <w:tcW w:w="0" w:type="auto"/>
            <w:vAlign w:val="center"/>
          </w:tcPr>
          <w:p>
            <w:pPr>
              <w:spacing w:after="40" w:before="40"/>
            </w:pPr>
            <w:r>
              <w:t xml:space="preserve">0.15</w:t>
            </w:r>
          </w:p>
        </w:tc>
        <w:tc>
          <w:tcPr>
            <w:tcW w:w="0" w:type="auto"/>
            <w:vAlign w:val="center"/>
          </w:tcPr>
          <w:p>
            <w:pPr>
              <w:spacing w:after="40" w:before="40"/>
            </w:pPr>
            <w:r>
              <w:t xml:space="preserve">Outstanding utang ÷ period sales</w:t>
            </w:r>
          </w:p>
        </w:tc>
        <w:tc>
          <w:tcPr>
            <w:tcW w:w="0" w:type="auto"/>
            <w:vAlign w:val="center"/>
          </w:tcPr>
          <w:p>
            <w:pPr>
              <w:spacing w:after="40" w:before="40"/>
            </w:pPr>
            <w:r>
              <w:t xml:space="preserve">0% (zero at 50%)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40" w:before="40"/>
            </w:pPr>
            <w:r>
              <w:t xml:space="preserve">Expense control *(Gastos)*</w:t>
            </w:r>
          </w:p>
        </w:tc>
        <w:tc>
          <w:tcPr>
            <w:tcW w:w="0" w:type="auto"/>
            <w:vAlign w:val="center"/>
          </w:tcPr>
          <w:p>
            <w:pPr>
              <w:spacing w:after="40" w:before="40"/>
            </w:pPr>
            <w:r>
              <w:t xml:space="preserve">0.15</w:t>
            </w:r>
          </w:p>
        </w:tc>
        <w:tc>
          <w:tcPr>
            <w:tcW w:w="0" w:type="auto"/>
            <w:vAlign w:val="center"/>
          </w:tcPr>
          <w:p>
            <w:pPr>
              <w:spacing w:after="40" w:before="40"/>
            </w:pPr>
            <w:r>
              <w:t xml:space="preserve">Operating costs + shrinkage ÷ sales</w:t>
            </w:r>
          </w:p>
        </w:tc>
        <w:tc>
          <w:tcPr>
            <w:tcW w:w="0" w:type="auto"/>
            <w:vAlign w:val="center"/>
          </w:tcPr>
          <w:p>
            <w:pPr>
              <w:spacing w:after="40" w:before="40"/>
            </w:pPr>
            <w:r>
              <w:t xml:space="preserve">20% or below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40" w:before="40"/>
            </w:pPr>
            <w:r>
              <w:t xml:space="preserve">Sales stability *(Tibay ng Benta)*</w:t>
            </w:r>
          </w:p>
        </w:tc>
        <w:tc>
          <w:tcPr>
            <w:tcW w:w="0" w:type="auto"/>
            <w:vAlign w:val="center"/>
          </w:tcPr>
          <w:p>
            <w:pPr>
              <w:spacing w:after="40" w:before="40"/>
            </w:pPr>
            <w:r>
              <w:t xml:space="preserve">0.10</w:t>
            </w:r>
          </w:p>
        </w:tc>
        <w:tc>
          <w:tcPr>
            <w:tcW w:w="0" w:type="auto"/>
            <w:vAlign w:val="center"/>
          </w:tcPr>
          <w:p>
            <w:pPr>
              <w:spacing w:after="40" w:before="40"/>
            </w:pPr>
            <w:r>
              <w:t xml:space="preserve">Day-to-day coefficient of variation</w:t>
            </w:r>
          </w:p>
        </w:tc>
        <w:tc>
          <w:tcPr>
            <w:tcW w:w="0" w:type="auto"/>
            <w:vAlign w:val="center"/>
          </w:tcPr>
          <w:p>
            <w:pPr>
              <w:spacing w:after="40" w:before="40"/>
            </w:pPr>
            <w:r>
              <w:t xml:space="preserve">0% (zero at 100%)</w:t>
            </w:r>
          </w:p>
        </w:tc>
      </w:tr>
    </w:tbl>
    <w:p>
      <w:pPr>
        <w:spacing w:after="80"/>
      </w:pPr>
    </w:p>
    <w:p>
      <w:r>
        <w:t xml:space="preserve">The same ledger always yields the same score; every point of the total is attributable to a named</w:t>
      </w:r>
    </w:p>
    <w:p>
      <w:r>
        <w:t xml:space="preserve">dimension. The score is </w:t>
      </w:r>
      <w:r>
        <w:rPr>
          <w:b/>
        </w:rPr>
        <w:t xml:space="preserve">versioned</w:t>
      </w:r>
      <w:r>
        <w:t xml:space="preserve"> so that changing the model never silently changes an owner's</w:t>
      </w:r>
    </w:p>
    <w:p>
      <w:r>
        <w:t xml:space="preserve">history.</w:t>
      </w:r>
    </w:p>
    <w:p>
      <w:pPr>
        <w:pStyle w:val="Heading3"/>
      </w:pPr>
      <w:r>
        <w:t xml:space="preserve">F. Voice-to-transaction *(corrected — with honest constraints)*</w:t>
      </w:r>
    </w:p>
    <w:p>
      <w:r>
        <w:t xml:space="preserve">Voice is constrained along three deliberate axes, each tied to a real failure mode:</w:t>
      </w:r>
    </w:p>
    <w:p>
      <w:pPr>
        <w:ind w:left="360"/>
      </w:pPr>
      <w:r>
        <w:t xml:space="preserve">1. </w:t>
      </w:r>
      <w:r>
        <w:rPr>
          <w:b/>
        </w:rPr>
        <w:t xml:space="preserve">Constrained vocabulary, not open transcription.</w:t>
      </w:r>
      <w:r>
        <w:t xml:space="preserve"> The recogniser is only asked to distinguish</w:t>
      </w:r>
    </w:p>
    <w:p>
      <w:r>
        <w:t xml:space="preserve">items the store actually sells, plus numbers. Free-form Taglish transcription runs at roughly</w:t>
      </w:r>
    </w:p>
    <w:p>
      <w:r>
        <w:rPr>
          <w:b/>
        </w:rPr>
        <w:t xml:space="preserve">19–25% word error</w:t>
      </w:r>
      <w:r>
        <w:t xml:space="preserve"> on the best available engines; slot-filling against a known SKU list is an</w:t>
      </w:r>
    </w:p>
    <w:p>
      <w:r>
        <w:t xml:space="preserve">engineering problem rather than a research problem.</w:t>
      </w:r>
    </w:p>
    <w:p>
      <w:pPr>
        <w:ind w:left="360"/>
      </w:pPr>
      <w:r>
        <w:t xml:space="preserve">2. </w:t>
      </w:r>
      <w:r>
        <w:rPr>
          <w:b/>
        </w:rPr>
        <w:t xml:space="preserve">Numbers never auto-post.</w:t>
      </w:r>
      <w:r>
        <w:t xml:space="preserve"> A misheard item name is obvious on screen; a misheard **quantity or</w:t>
      </w:r>
    </w:p>
    <w:p>
      <w:r>
        <w:t xml:space="preserve">price silently corrupts the ledger and every downstream insight.** Item identity may be inferred;</w:t>
      </w:r>
    </w:p>
    <w:p>
      <w:r>
        <w:t xml:space="preserve">amounts and quantities always require explicit owner confirmation.</w:t>
      </w:r>
    </w:p>
    <w:p>
      <w:pPr>
        <w:ind w:left="360"/>
      </w:pPr>
      <w:r>
        <w:t xml:space="preserve">3. </w:t>
      </w:r>
      <w:r>
        <w:rPr>
          <w:b/>
        </w:rPr>
        <w:t xml:space="preserve">Drafts, not records.</w:t>
      </w:r>
      <w:r>
        <w:t xml:space="preserve"> Voice parsing produces a draft that cannot be persisted until the owner</w:t>
      </w:r>
    </w:p>
    <w:p>
      <w:r>
        <w:t xml:space="preserve">accepts it. This makes "AI never silently modifies financial records" a property of the software</w:t>
      </w:r>
    </w:p>
    <w:p>
      <w:r>
        <w:t xml:space="preserve">rather than a promise.</w:t>
      </w:r>
    </w:p>
    <w:p>
      <w:r>
        <w:rPr>
          <w:b/>
        </w:rPr>
        <w:t xml:space="preserve">Honest limitation.</w:t>
      </w:r>
      <w:r>
        <w:t xml:space="preserve"> Offline Filipino speech recognition is </w:t>
      </w:r>
      <w:r>
        <w:rPr>
          <w:b/>
        </w:rPr>
        <w:t xml:space="preserve">not currently available</w:t>
      </w:r>
      <w:r>
        <w:t xml:space="preserve"> at</w:t>
      </w:r>
    </w:p>
    <w:p>
      <w:r>
        <w:t xml:space="preserve">production quality. The only offline Filipino model in wide circulation reports ~18.9% word error on</w:t>
      </w:r>
    </w:p>
    <w:p>
      <w:r>
        <w:t xml:space="preserve">clean read speech and 97.9% on the BABEL set, is ~320MB, and is licensed </w:t>
      </w:r>
      <w:r>
        <w:rPr>
          <w:b/>
        </w:rPr>
        <w:t xml:space="preserve">non-commercially</w:t>
      </w:r>
      <w:r>
        <w:t xml:space="preserve">.</w:t>
      </w:r>
    </w:p>
    <w:p>
      <w:r>
        <w:t xml:space="preserve">Browser-based recognition is accurate but requires connectivity. TimbangAI therefore treats voice as</w:t>
      </w:r>
    </w:p>
    <w:p>
      <w:r>
        <w:t xml:space="preserve">an </w:t>
      </w:r>
      <w:r>
        <w:rPr>
          <w:b/>
        </w:rPr>
        <w:t xml:space="preserve">accelerator rather than a prerequisite</w:t>
      </w:r>
      <w:r>
        <w:t xml:space="preserve">: every flow it serves has an equivalent typed path, and</w:t>
      </w:r>
    </w:p>
    <w:p>
      <w:r>
        <w:t xml:space="preserve">the answering layer works offline. _(External evidential basis: published FLEURS/BABEL benchmark</w:t>
      </w:r>
    </w:p>
    <w:p>
      <w:r>
        <w:t xml:space="preserve">figures for the Vosk Filipino model and documented hallucination behaviour in Whisper-family models,</w:t>
      </w:r>
    </w:p>
    <w:p>
      <w:r>
        <w:t xml:space="preserve">ACM FAccT 2024.)_</w:t>
      </w:r>
    </w:p>
    <w:p>
      <w:pPr>
        <w:pStyle w:val="Heading3"/>
      </w:pPr>
      <w:r>
        <w:t xml:space="preserve">G. Offline-first behaviour</w:t>
      </w:r>
    </w:p>
    <w:p>
      <w:r>
        <w:t xml:space="preserve">TimbangAI is a mobile-first Progressive Web App. The deterministic engine, the Business Twin, the</w:t>
      </w:r>
    </w:p>
    <w:p>
      <w:r>
        <w:t xml:space="preserve">capital views and the question-answering layer all run </w:t>
      </w:r>
      <w:r>
        <w:rPr>
          <w:b/>
        </w:rPr>
        <w:t xml:space="preserve">on-device</w:t>
      </w:r>
      <w:r>
        <w:t xml:space="preserve">, so recording and basic</w:t>
      </w:r>
    </w:p>
    <w:p>
      <w:r>
        <w:t xml:space="preserve">intelligence never depend on connectivity. Network-dependent features are labelled as such. This</w:t>
      </w:r>
    </w:p>
    <w:p>
      <w:r>
        <w:t xml:space="preserve">keeps internet availability from becoming a precondition for running the business.</w:t>
      </w:r>
    </w:p>
    <w:p>
      <w:pPr>
        <w:pStyle w:val="Heading3"/>
      </w:pPr>
      <w:r>
        <w:t xml:space="preserve">H. SDG alignment</w:t>
      </w:r>
    </w:p>
    <w:p>
      <w:pPr>
        <w:ind w:left="360"/>
      </w:pPr>
      <w:r>
        <w:t xml:space="preserve">• </w:t>
      </w:r>
      <w:r>
        <w:rPr>
          <w:b/>
        </w:rPr>
        <w:t xml:space="preserve">SDG 8 — Decent Work and Economic Growth:</w:t>
      </w:r>
      <w:r>
        <w:t xml:space="preserve"> entrepreneurship, productive activity and MSME</w:t>
      </w:r>
    </w:p>
    <w:p>
      <w:r>
        <w:t xml:space="preserve">development.</w:t>
      </w:r>
    </w:p>
    <w:p>
      <w:pPr>
        <w:ind w:left="360"/>
      </w:pPr>
      <w:r>
        <w:t xml:space="preserve">• </w:t>
      </w:r>
      <w:r>
        <w:rPr>
          <w:b/>
        </w:rPr>
        <w:t xml:space="preserve">SDG 9 — Industry, Innovation and Infrastructure:</w:t>
      </w:r>
      <w:r>
        <w:t xml:space="preserve"> accessible digital transformation for the</w:t>
      </w:r>
    </w:p>
    <w:p>
      <w:r>
        <w:t xml:space="preserve">smallest enterprises.</w:t>
      </w:r>
    </w:p>
    <w:p>
      <w:pPr>
        <w:ind w:left="360"/>
      </w:pPr>
      <w:r>
        <w:t xml:space="preserve">• </w:t>
      </w:r>
      <w:r>
        <w:rPr>
          <w:b/>
        </w:rPr>
        <w:t xml:space="preserve">SDG 10 — Reduced Inequalities:</w:t>
      </w:r>
      <w:r>
        <w:t xml:space="preserve"> business intelligence for entrepreneurs who cannot afford</w:t>
      </w:r>
    </w:p>
    <w:p>
      <w:r>
        <w:t xml:space="preserve">professional accounting and analytics.</w:t>
      </w:r>
    </w:p>
    <w:p>
      <w:pPr>
        <w:pBdr>
          <w:bottom w:val="single" w:sz="6" w:space="1" w:color="94A3B8"/>
        </w:pBdr>
      </w:pPr>
    </w:p>
    <w:p>
      <w:pPr>
        <w:pStyle w:val="Heading2"/>
      </w:pPr>
      <w:r>
        <w:t xml:space="preserve">IV. OBJECTIVES</w:t>
      </w:r>
    </w:p>
    <w:p>
      <w:r>
        <w:t xml:space="preserve">TimbangAI aims to democratise business intelligence for Filipino microentrepreneurs through an</w:t>
      </w:r>
    </w:p>
    <w:p>
      <w:r>
        <w:t xml:space="preserve">accessible, explainable tool for financial visibility and everyday decision-making. Specifically:</w:t>
      </w:r>
    </w:p>
    <w:p>
      <w:pPr>
        <w:ind w:left="360"/>
      </w:pPr>
      <w:r>
        <w:t xml:space="preserve">1. Develop a functional mobile-first MVP integrating sales, expenses, inventory, utang, profit</w:t>
      </w:r>
    </w:p>
    <w:p>
      <w:r>
        <w:t xml:space="preserve">computation, Timbang Score and insights. </w:t>
      </w:r>
      <w:r>
        <w:rPr>
          <w:b/>
        </w:rPr>
        <w:t xml:space="preserve">_(Substantially complete — see IX.C.)_</w:t>
      </w:r>
    </w:p>
    <w:p>
      <w:pPr>
        <w:ind w:left="360"/>
      </w:pPr>
      <w:r>
        <w:t xml:space="preserve">2. Achieve </w:t>
      </w:r>
      <w:r>
        <w:rPr>
          <w:b/>
        </w:rPr>
        <w:t xml:space="preserve">at least 95% accuracy against manually verified test cases</w:t>
      </w:r>
      <w:r>
        <w:t xml:space="preserve"> for deterministic</w:t>
      </w:r>
    </w:p>
    <w:p>
      <w:r>
        <w:t xml:space="preserve">financial computation. **_(Automated verification is in place; the accounting identity is asserted</w:t>
      </w:r>
    </w:p>
    <w:p>
      <w:r>
        <w:t xml:space="preserve">after every transaction.)_**</w:t>
      </w:r>
    </w:p>
    <w:p>
      <w:pPr>
        <w:ind w:left="360"/>
      </w:pPr>
      <w:r>
        <w:t xml:space="preserve">3. Pilot with </w:t>
      </w:r>
      <w:r>
        <w:rPr>
          <w:b/>
        </w:rPr>
        <w:t xml:space="preserve">at least 30 microbusinesses</w:t>
      </w:r>
      <w:r>
        <w:t xml:space="preserve"> and achieve </w:t>
      </w:r>
      <w:r>
        <w:rPr>
          <w:b/>
        </w:rPr>
        <w:t xml:space="preserve">at least 80% unaided completion</w:t>
      </w:r>
      <w:r>
        <w:t xml:space="preserve"> of</w:t>
      </w:r>
    </w:p>
    <w:p>
      <w:r>
        <w:t xml:space="preserve">essential workflows.</w:t>
      </w:r>
    </w:p>
    <w:p>
      <w:pPr>
        <w:ind w:left="360"/>
      </w:pPr>
      <w:r>
        <w:t xml:space="preserve">4. Demonstrate improved user ability to identify daily profit, inventory position, receivables and</w:t>
      </w:r>
    </w:p>
    <w:p>
      <w:r>
        <w:t xml:space="preserve">capital allocation versus baseline practices.</w:t>
      </w:r>
    </w:p>
    <w:p>
      <w:pPr>
        <w:ind w:left="360"/>
      </w:pPr>
      <w:r>
        <w:t xml:space="preserve">5. Validate adoption, retention and willingness to pay for premium decision-intelligence features.</w:t>
      </w:r>
    </w:p>
    <w:p>
      <w:pPr>
        <w:ind w:left="360"/>
      </w:pPr>
      <w:r>
        <w:t xml:space="preserve">6. Build a scalable, privacy-aware and offline-tolerant architecture for wider institutional and</w:t>
      </w:r>
    </w:p>
    <w:p>
      <w:r>
        <w:t xml:space="preserve">regional deployment.</w:t>
      </w:r>
    </w:p>
    <w:p>
      <w:pPr>
        <w:pBdr>
          <w:bottom w:val="single" w:sz="6" w:space="1" w:color="94A3B8"/>
        </w:pBdr>
      </w:pPr>
    </w:p>
    <w:p>
      <w:pPr>
        <w:pStyle w:val="Heading2"/>
      </w:pPr>
      <w:r>
        <w:t xml:space="preserve">V. TARGET MARKET AND BENEFICIARIES</w:t>
      </w:r>
    </w:p>
    <w:p>
      <w:r>
        <w:rPr>
          <w:b/>
        </w:rPr>
        <w:t xml:space="preserve">Primary users:</w:t>
      </w:r>
      <w:r>
        <w:t xml:space="preserve"> sari-sari store owners, carinderias and food stalls, public-market vendors,</w:t>
      </w:r>
    </w:p>
    <w:p>
      <w:r>
        <w:t xml:space="preserve">home-based sellers, and other micro-retail or service businesses.</w:t>
      </w:r>
    </w:p>
    <w:p>
      <w:r>
        <w:rPr>
          <w:b/>
        </w:rPr>
        <w:t xml:space="preserve">Secondary customers:</w:t>
      </w:r>
      <w:r>
        <w:t xml:space="preserve"> cooperatives, LGUs, livelihood programmes, microfinance institutions and</w:t>
      </w:r>
    </w:p>
    <w:p>
      <w:r>
        <w:t xml:space="preserve">MSME-development organisations that can sponsor or procure group access.</w:t>
      </w:r>
    </w:p>
    <w:p>
      <w:r>
        <w:t xml:space="preserve">Go-to-market is a </w:t>
      </w:r>
      <w:r>
        <w:rPr>
          <w:b/>
        </w:rPr>
        <w:t xml:space="preserve">geographically concentrated pilot first</w:t>
      </w:r>
      <w:r>
        <w:t xml:space="preserve">, expanding through institutional</w:t>
      </w:r>
    </w:p>
    <w:p>
      <w:r>
        <w:t xml:space="preserve">partnerships rather than only one-by-one customer acquisition.</w:t>
      </w:r>
    </w:p>
    <w:p>
      <w:pPr>
        <w:pBdr>
          <w:bottom w:val="single" w:sz="6" w:space="1" w:color="94A3B8"/>
        </w:pBdr>
      </w:pPr>
    </w:p>
    <w:p>
      <w:pPr>
        <w:pStyle w:val="Heading2"/>
      </w:pPr>
      <w:r>
        <w:t xml:space="preserve">VI. VALUE PROPOSITION</w:t>
      </w:r>
    </w:p>
    <w:p>
      <w:r>
        <w:rPr>
          <w:b/>
        </w:rPr>
        <w:t xml:space="preserve">TimbangAI does not claim that "POS + inventory + AI" is itself novel.</w:t>
      </w:r>
      <w:r>
        <w:t xml:space="preserve"> Existing Philippine</w:t>
      </w:r>
    </w:p>
    <w:p>
      <w:r>
        <w:t xml:space="preserve">platforms already do much of that well, and claiming otherwise is the fastest way to lose a judge's</w:t>
      </w:r>
    </w:p>
    <w:p>
      <w:r>
        <w:t xml:space="preserve">confidence.</w:t>
      </w:r>
    </w:p>
    <w:p>
      <w:pPr>
        <w:pStyle w:val="Heading3"/>
      </w:pPr>
      <w:r>
        <w:t xml:space="preserve">A. Honest competitive landscape</w:t>
      </w:r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r>
        <w:tc>
          <w:tcPr>
            <w:tcW w:w="0" w:type="auto"/>
            <w:shd w:val="clear" w:fill="E2F5F1"/>
            <w:vAlign w:val="center"/>
          </w:tcPr>
          <w:p>
            <w:pPr>
              <w:spacing w:after="40" w:before="40"/>
            </w:pPr>
            <w:r>
              <w:t xml:space="preserve">Capability</w:t>
            </w:r>
          </w:p>
        </w:tc>
        <w:tc>
          <w:tcPr>
            <w:tcW w:w="0" w:type="auto"/>
            <w:shd w:val="clear" w:fill="E2F5F1"/>
            <w:vAlign w:val="center"/>
          </w:tcPr>
          <w:p>
            <w:pPr>
              <w:spacing w:after="40" w:before="40"/>
            </w:pPr>
            <w:r>
              <w:t xml:space="preserve">Peddlr</w:t>
            </w:r>
          </w:p>
        </w:tc>
        <w:tc>
          <w:tcPr>
            <w:tcW w:w="0" w:type="auto"/>
            <w:shd w:val="clear" w:fill="E2F5F1"/>
            <w:vAlign w:val="center"/>
          </w:tcPr>
          <w:p>
            <w:pPr>
              <w:spacing w:after="40" w:before="40"/>
            </w:pPr>
            <w:r>
              <w:t xml:space="preserve">Packworks</w:t>
            </w:r>
          </w:p>
        </w:tc>
        <w:tc>
          <w:tcPr>
            <w:tcW w:w="0" w:type="auto"/>
            <w:shd w:val="clear" w:fill="E2F5F1"/>
            <w:vAlign w:val="center"/>
          </w:tcPr>
          <w:p>
            <w:pPr>
              <w:spacing w:after="40" w:before="40"/>
            </w:pPr>
            <w:r>
              <w:t xml:space="preserve">Lista / bookkeeping</w:t>
            </w:r>
          </w:p>
        </w:tc>
        <w:tc>
          <w:tcPr>
            <w:tcW w:w="0" w:type="auto"/>
            <w:shd w:val="clear" w:fill="E2F5F1"/>
            <w:vAlign w:val="center"/>
          </w:tcPr>
          <w:p>
            <w:pPr>
              <w:spacing w:after="40" w:before="40"/>
            </w:pPr>
            <w:r>
              <w:t xml:space="preserve">StoreHub / full POS</w:t>
            </w:r>
          </w:p>
        </w:tc>
        <w:tc>
          <w:tcPr>
            <w:tcW w:w="0" w:type="auto"/>
            <w:shd w:val="clear" w:fill="E2F5F1"/>
            <w:vAlign w:val="center"/>
          </w:tcPr>
          <w:p>
            <w:pPr>
              <w:spacing w:after="40" w:before="40"/>
            </w:pPr>
            <w:r>
              <w:rPr>
                <w:b/>
              </w:rPr>
              <w:t xml:space="preserve">TimbangAI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40" w:before="40"/>
            </w:pPr>
            <w:r>
              <w:t xml:space="preserve">Sales, expense, inventory recording</w:t>
            </w:r>
          </w:p>
        </w:tc>
        <w:tc>
          <w:tcPr>
            <w:tcW w:w="0" w:type="auto"/>
            <w:vAlign w:val="center"/>
          </w:tcPr>
          <w:p>
            <w:pPr>
              <w:spacing w:after="40" w:before="40"/>
            </w:pPr>
            <w:r>
              <w:t xml:space="preserve">✓</w:t>
            </w:r>
          </w:p>
        </w:tc>
        <w:tc>
          <w:tcPr>
            <w:tcW w:w="0" w:type="auto"/>
            <w:vAlign w:val="center"/>
          </w:tcPr>
          <w:p>
            <w:pPr>
              <w:spacing w:after="40" w:before="40"/>
            </w:pPr>
            <w:r>
              <w:t xml:space="preserve">✓</w:t>
            </w:r>
          </w:p>
        </w:tc>
        <w:tc>
          <w:tcPr>
            <w:tcW w:w="0" w:type="auto"/>
            <w:vAlign w:val="center"/>
          </w:tcPr>
          <w:p>
            <w:pPr>
              <w:spacing w:after="40" w:before="40"/>
            </w:pPr>
            <w:r>
              <w:t xml:space="preserve">✓</w:t>
            </w:r>
          </w:p>
        </w:tc>
        <w:tc>
          <w:tcPr>
            <w:tcW w:w="0" w:type="auto"/>
            <w:vAlign w:val="center"/>
          </w:tcPr>
          <w:p>
            <w:pPr>
              <w:spacing w:after="40" w:before="40"/>
            </w:pPr>
            <w:r>
              <w:t xml:space="preserve">✓</w:t>
            </w:r>
          </w:p>
        </w:tc>
        <w:tc>
          <w:tcPr>
            <w:tcW w:w="0" w:type="auto"/>
            <w:vAlign w:val="center"/>
          </w:tcPr>
          <w:p>
            <w:pPr>
              <w:spacing w:after="40" w:before="40"/>
            </w:pPr>
            <w:r>
              <w:t xml:space="preserve">✓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40" w:before="40"/>
            </w:pPr>
            <w:r>
              <w:t xml:space="preserve">Customer utang tracking</w:t>
            </w:r>
          </w:p>
        </w:tc>
        <w:tc>
          <w:tcPr>
            <w:tcW w:w="0" w:type="auto"/>
            <w:vAlign w:val="center"/>
          </w:tcPr>
          <w:p>
            <w:pPr>
              <w:spacing w:after="40" w:before="40"/>
            </w:pPr>
            <w:r>
              <w:t xml:space="preserve">✓</w:t>
            </w:r>
          </w:p>
        </w:tc>
        <w:tc>
          <w:tcPr>
            <w:tcW w:w="0" w:type="auto"/>
            <w:vAlign w:val="center"/>
          </w:tcPr>
          <w:p>
            <w:pPr>
              <w:spacing w:after="40" w:before="40"/>
            </w:pPr>
            <w:r>
              <w:t xml:space="preserve">✓</w:t>
            </w:r>
          </w:p>
        </w:tc>
        <w:tc>
          <w:tcPr>
            <w:tcW w:w="0" w:type="auto"/>
            <w:vAlign w:val="center"/>
          </w:tcPr>
          <w:p>
            <w:pPr>
              <w:spacing w:after="40" w:before="40"/>
            </w:pPr>
            <w:r>
              <w:t xml:space="preserve">✓</w:t>
            </w:r>
          </w:p>
        </w:tc>
        <w:tc>
          <w:tcPr>
            <w:tcW w:w="0" w:type="auto"/>
            <w:vAlign w:val="center"/>
          </w:tcPr>
          <w:p>
            <w:pPr>
              <w:spacing w:after="40" w:before="40"/>
            </w:pPr>
            <w:r>
              <w:t xml:space="preserve">✓</w:t>
            </w:r>
          </w:p>
        </w:tc>
        <w:tc>
          <w:tcPr>
            <w:tcW w:w="0" w:type="auto"/>
            <w:vAlign w:val="center"/>
          </w:tcPr>
          <w:p>
            <w:pPr>
              <w:spacing w:after="40" w:before="40"/>
            </w:pPr>
            <w:r>
              <w:t xml:space="preserve">✓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40" w:before="40"/>
            </w:pPr>
            <w:r>
              <w:t xml:space="preserve">Offline operation</w:t>
            </w:r>
          </w:p>
        </w:tc>
        <w:tc>
          <w:tcPr>
            <w:tcW w:w="0" w:type="auto"/>
            <w:vAlign w:val="center"/>
          </w:tcPr>
          <w:p>
            <w:pPr>
              <w:spacing w:after="40" w:before="40"/>
            </w:pPr>
            <w:r>
              <w:t xml:space="preserve">✓</w:t>
            </w:r>
          </w:p>
        </w:tc>
        <w:tc>
          <w:tcPr>
            <w:tcW w:w="0" w:type="auto"/>
            <w:vAlign w:val="center"/>
          </w:tcPr>
          <w:p>
            <w:pPr>
              <w:spacing w:after="40" w:before="40"/>
            </w:pPr>
            <w:r>
              <w:t xml:space="preserve">Partial</w:t>
            </w:r>
          </w:p>
        </w:tc>
        <w:tc>
          <w:tcPr>
            <w:tcW w:w="0" w:type="auto"/>
            <w:vAlign w:val="center"/>
          </w:tcPr>
          <w:p>
            <w:pPr>
              <w:spacing w:after="40" w:before="40"/>
            </w:pPr>
            <w:r>
              <w:t xml:space="preserve">Partial</w:t>
            </w:r>
          </w:p>
        </w:tc>
        <w:tc>
          <w:tcPr>
            <w:tcW w:w="0" w:type="auto"/>
            <w:vAlign w:val="center"/>
          </w:tcPr>
          <w:p>
            <w:pPr>
              <w:spacing w:after="40" w:before="40"/>
            </w:pPr>
            <w:r>
              <w:t xml:space="preserve">✓</w:t>
            </w:r>
          </w:p>
        </w:tc>
        <w:tc>
          <w:tcPr>
            <w:tcW w:w="0" w:type="auto"/>
            <w:vAlign w:val="center"/>
          </w:tcPr>
          <w:p>
            <w:pPr>
              <w:spacing w:after="40" w:before="40"/>
            </w:pPr>
            <w:r>
              <w:t xml:space="preserve">✓ (deterministic layer)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40" w:before="40"/>
            </w:pPr>
            <w:r>
              <w:t xml:space="preserve">Payments / e-wallet reconciliation</w:t>
            </w:r>
          </w:p>
        </w:tc>
        <w:tc>
          <w:tcPr>
            <w:tcW w:w="0" w:type="auto"/>
            <w:vAlign w:val="center"/>
          </w:tcPr>
          <w:p>
            <w:pPr>
              <w:spacing w:after="40" w:before="40"/>
            </w:pPr>
            <w:r>
              <w:t xml:space="preserve">✓</w:t>
            </w:r>
          </w:p>
        </w:tc>
        <w:tc>
          <w:tcPr>
            <w:tcW w:w="0" w:type="auto"/>
            <w:vAlign w:val="center"/>
          </w:tcPr>
          <w:p>
            <w:pPr>
              <w:spacing w:after="40" w:before="40"/>
            </w:pPr>
            <w:r>
              <w:t xml:space="preserve">✓</w:t>
            </w:r>
          </w:p>
        </w:tc>
        <w:tc>
          <w:tcPr>
            <w:tcW w:w="0" w:type="auto"/>
            <w:vAlign w:val="center"/>
          </w:tcPr>
          <w:p>
            <w:pPr>
              <w:spacing w:after="40" w:before="40"/>
            </w:pPr>
            <w:r>
              <w:t xml:space="preserve">Partial</w:t>
            </w:r>
          </w:p>
        </w:tc>
        <w:tc>
          <w:tcPr>
            <w:tcW w:w="0" w:type="auto"/>
            <w:vAlign w:val="center"/>
          </w:tcPr>
          <w:p>
            <w:pPr>
              <w:spacing w:after="40" w:before="40"/>
            </w:pPr>
            <w:r>
              <w:t xml:space="preserve">✓</w:t>
            </w:r>
          </w:p>
        </w:tc>
        <w:tc>
          <w:tcPr>
            <w:tcW w:w="0" w:type="auto"/>
            <w:vAlign w:val="center"/>
          </w:tcPr>
          <w:p>
            <w:pPr>
              <w:spacing w:after="40" w:before="40"/>
            </w:pPr>
            <w:r>
              <w:rPr>
                <w:b/>
              </w:rPr>
              <w:t xml:space="preserve">✗ not yet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40" w:before="40"/>
            </w:pPr>
            <w:r>
              <w:t xml:space="preserve">Receipt printing, barcode hardware</w:t>
            </w:r>
          </w:p>
        </w:tc>
        <w:tc>
          <w:tcPr>
            <w:tcW w:w="0" w:type="auto"/>
            <w:vAlign w:val="center"/>
          </w:tcPr>
          <w:p>
            <w:pPr>
              <w:spacing w:after="40" w:before="40"/>
            </w:pPr>
            <w:r>
              <w:t xml:space="preserve">✓</w:t>
            </w:r>
          </w:p>
        </w:tc>
        <w:tc>
          <w:tcPr>
            <w:tcW w:w="0" w:type="auto"/>
            <w:vAlign w:val="center"/>
          </w:tcPr>
          <w:p>
            <w:pPr>
              <w:spacing w:after="40" w:before="40"/>
            </w:pPr>
            <w:r>
              <w:t xml:space="preserve">✓</w:t>
            </w:r>
          </w:p>
        </w:tc>
        <w:tc>
          <w:tcPr>
            <w:tcW w:w="0" w:type="auto"/>
            <w:vAlign w:val="center"/>
          </w:tcPr>
          <w:p>
            <w:pPr>
              <w:spacing w:after="40" w:before="40"/>
            </w:pPr>
            <w:r>
              <w:t xml:space="preserve">✗</w:t>
            </w:r>
          </w:p>
        </w:tc>
        <w:tc>
          <w:tcPr>
            <w:tcW w:w="0" w:type="auto"/>
            <w:vAlign w:val="center"/>
          </w:tcPr>
          <w:p>
            <w:pPr>
              <w:spacing w:after="40" w:before="40"/>
            </w:pPr>
            <w:r>
              <w:t xml:space="preserve">✓</w:t>
            </w:r>
          </w:p>
        </w:tc>
        <w:tc>
          <w:tcPr>
            <w:tcW w:w="0" w:type="auto"/>
            <w:vAlign w:val="center"/>
          </w:tcPr>
          <w:p>
            <w:pPr>
              <w:spacing w:after="40" w:before="40"/>
            </w:pPr>
            <w:r>
              <w:rPr>
                <w:b/>
              </w:rPr>
              <w:t xml:space="preserve">✗ not yet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40" w:before="40"/>
            </w:pPr>
            <w:r>
              <w:t xml:space="preserve">Multi-branch / enterprise retail depth</w:t>
            </w:r>
          </w:p>
        </w:tc>
        <w:tc>
          <w:tcPr>
            <w:tcW w:w="0" w:type="auto"/>
            <w:vAlign w:val="center"/>
          </w:tcPr>
          <w:p>
            <w:pPr>
              <w:spacing w:after="40" w:before="40"/>
            </w:pPr>
            <w:r>
              <w:t xml:space="preserve">Partial</w:t>
            </w:r>
          </w:p>
        </w:tc>
        <w:tc>
          <w:tcPr>
            <w:tcW w:w="0" w:type="auto"/>
            <w:vAlign w:val="center"/>
          </w:tcPr>
          <w:p>
            <w:pPr>
              <w:spacing w:after="40" w:before="40"/>
            </w:pPr>
            <w:r>
              <w:t xml:space="preserve">Partial</w:t>
            </w:r>
          </w:p>
        </w:tc>
        <w:tc>
          <w:tcPr>
            <w:tcW w:w="0" w:type="auto"/>
            <w:vAlign w:val="center"/>
          </w:tcPr>
          <w:p>
            <w:pPr>
              <w:spacing w:after="40" w:before="40"/>
            </w:pPr>
            <w:r>
              <w:t xml:space="preserve">✗</w:t>
            </w:r>
          </w:p>
        </w:tc>
        <w:tc>
          <w:tcPr>
            <w:tcW w:w="0" w:type="auto"/>
            <w:vAlign w:val="center"/>
          </w:tcPr>
          <w:p>
            <w:pPr>
              <w:spacing w:after="40" w:before="40"/>
            </w:pPr>
            <w:r>
              <w:t xml:space="preserve">✓</w:t>
            </w:r>
          </w:p>
        </w:tc>
        <w:tc>
          <w:tcPr>
            <w:tcW w:w="0" w:type="auto"/>
            <w:vAlign w:val="center"/>
          </w:tcPr>
          <w:p>
            <w:pPr>
              <w:spacing w:after="40" w:before="40"/>
            </w:pPr>
            <w:r>
              <w:rPr>
                <w:b/>
              </w:rPr>
              <w:t xml:space="preserve">✗ not planned near-term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40" w:before="40"/>
            </w:pPr>
            <w:r>
              <w:t xml:space="preserve">Distribution scale</w:t>
            </w:r>
          </w:p>
        </w:tc>
        <w:tc>
          <w:tcPr>
            <w:tcW w:w="0" w:type="auto"/>
            <w:vAlign w:val="center"/>
          </w:tcPr>
          <w:p>
            <w:pPr>
              <w:spacing w:after="40" w:before="40"/>
            </w:pPr>
            <w:r>
              <w:t xml:space="preserve">2M+ stores</w:t>
            </w:r>
          </w:p>
        </w:tc>
        <w:tc>
          <w:tcPr>
            <w:tcW w:w="0" w:type="auto"/>
            <w:vAlign w:val="center"/>
          </w:tcPr>
          <w:p>
            <w:pPr>
              <w:spacing w:after="40" w:before="40"/>
            </w:pPr>
            <w:r>
              <w:t xml:space="preserve">270k+ stores</w:t>
            </w:r>
          </w:p>
        </w:tc>
        <w:tc>
          <w:tcPr>
            <w:tcW w:w="0" w:type="auto"/>
            <w:vAlign w:val="center"/>
          </w:tcPr>
          <w:p>
            <w:pPr>
              <w:spacing w:after="40" w:before="40"/>
            </w:pPr>
            <w:r>
              <w:t xml:space="preserve">—</w:t>
            </w:r>
          </w:p>
        </w:tc>
        <w:tc>
          <w:tcPr>
            <w:tcW w:w="0" w:type="auto"/>
            <w:vAlign w:val="center"/>
          </w:tcPr>
          <w:p>
            <w:pPr>
              <w:spacing w:after="40" w:before="40"/>
            </w:pPr>
            <w:r>
              <w:t xml:space="preserve">Regional</w:t>
            </w:r>
          </w:p>
        </w:tc>
        <w:tc>
          <w:tcPr>
            <w:tcW w:w="0" w:type="auto"/>
            <w:vAlign w:val="center"/>
          </w:tcPr>
          <w:p>
            <w:pPr>
              <w:spacing w:after="40" w:before="40"/>
            </w:pPr>
            <w:r>
              <w:rPr>
                <w:b/>
              </w:rPr>
              <w:t xml:space="preserve">Pre-pilot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40" w:before="40"/>
            </w:pPr>
            <w:r>
              <w:rPr>
                <w:b/>
              </w:rPr>
              <w:t xml:space="preserve">Distinct capital decomposition (where the money actually is)</w:t>
            </w:r>
          </w:p>
        </w:tc>
        <w:tc>
          <w:tcPr>
            <w:tcW w:w="0" w:type="auto"/>
            <w:vAlign w:val="center"/>
          </w:tcPr>
          <w:p>
            <w:pPr>
              <w:spacing w:after="40" w:before="40"/>
            </w:pPr>
            <w:r>
              <w:t xml:space="preserve">✗</w:t>
            </w:r>
          </w:p>
        </w:tc>
        <w:tc>
          <w:tcPr>
            <w:tcW w:w="0" w:type="auto"/>
            <w:vAlign w:val="center"/>
          </w:tcPr>
          <w:p>
            <w:pPr>
              <w:spacing w:after="40" w:before="40"/>
            </w:pPr>
            <w:r>
              <w:t xml:space="preserve">✗</w:t>
            </w:r>
          </w:p>
        </w:tc>
        <w:tc>
          <w:tcPr>
            <w:tcW w:w="0" w:type="auto"/>
            <w:vAlign w:val="center"/>
          </w:tcPr>
          <w:p>
            <w:pPr>
              <w:spacing w:after="40" w:before="40"/>
            </w:pPr>
            <w:r>
              <w:t xml:space="preserve">✗</w:t>
            </w:r>
          </w:p>
        </w:tc>
        <w:tc>
          <w:tcPr>
            <w:tcW w:w="0" w:type="auto"/>
            <w:vAlign w:val="center"/>
          </w:tcPr>
          <w:p>
            <w:pPr>
              <w:spacing w:after="40" w:before="40"/>
            </w:pPr>
            <w:r>
              <w:t xml:space="preserve">✗</w:t>
            </w:r>
          </w:p>
        </w:tc>
        <w:tc>
          <w:tcPr>
            <w:tcW w:w="0" w:type="auto"/>
            <w:vAlign w:val="center"/>
          </w:tcPr>
          <w:p>
            <w:pPr>
              <w:spacing w:after="40" w:before="40"/>
            </w:pPr>
            <w:r>
              <w:rPr>
                <w:b/>
              </w:rPr>
              <w:t xml:space="preserve">✓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40" w:before="40"/>
            </w:pPr>
            <w:r>
              <w:rPr>
                <w:b/>
              </w:rPr>
              <w:t xml:space="preserve">Answers grounded in the owner's own verified ledger</w:t>
            </w:r>
          </w:p>
        </w:tc>
        <w:tc>
          <w:tcPr>
            <w:tcW w:w="0" w:type="auto"/>
            <w:vAlign w:val="center"/>
          </w:tcPr>
          <w:p>
            <w:pPr>
              <w:spacing w:after="40" w:before="40"/>
            </w:pPr>
            <w:r>
              <w:t xml:space="preserve">Partial</w:t>
            </w:r>
          </w:p>
        </w:tc>
        <w:tc>
          <w:tcPr>
            <w:tcW w:w="0" w:type="auto"/>
            <w:vAlign w:val="center"/>
          </w:tcPr>
          <w:p>
            <w:pPr>
              <w:spacing w:after="40" w:before="40"/>
            </w:pPr>
            <w:r>
              <w:t xml:space="preserve">Partial</w:t>
            </w:r>
          </w:p>
        </w:tc>
        <w:tc>
          <w:tcPr>
            <w:tcW w:w="0" w:type="auto"/>
            <w:vAlign w:val="center"/>
          </w:tcPr>
          <w:p>
            <w:pPr>
              <w:spacing w:after="40" w:before="40"/>
            </w:pPr>
            <w:r>
              <w:t xml:space="preserve">✗</w:t>
            </w:r>
          </w:p>
        </w:tc>
        <w:tc>
          <w:tcPr>
            <w:tcW w:w="0" w:type="auto"/>
            <w:vAlign w:val="center"/>
          </w:tcPr>
          <w:p>
            <w:pPr>
              <w:spacing w:after="40" w:before="40"/>
            </w:pPr>
            <w:r>
              <w:t xml:space="preserve">Partial</w:t>
            </w:r>
          </w:p>
        </w:tc>
        <w:tc>
          <w:tcPr>
            <w:tcW w:w="0" w:type="auto"/>
            <w:vAlign w:val="center"/>
          </w:tcPr>
          <w:p>
            <w:pPr>
              <w:spacing w:after="40" w:before="40"/>
            </w:pPr>
            <w:r>
              <w:rPr>
                <w:b/>
              </w:rPr>
              <w:t xml:space="preserve">✓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40" w:before="40"/>
            </w:pPr>
            <w:r>
              <w:rPr>
                <w:b/>
              </w:rPr>
              <w:t xml:space="preserve">Explainable, decomposable business score</w:t>
            </w:r>
          </w:p>
        </w:tc>
        <w:tc>
          <w:tcPr>
            <w:tcW w:w="0" w:type="auto"/>
            <w:vAlign w:val="center"/>
          </w:tcPr>
          <w:p>
            <w:pPr>
              <w:spacing w:after="40" w:before="40"/>
            </w:pPr>
            <w:r>
              <w:t xml:space="preserve">✗</w:t>
            </w:r>
          </w:p>
        </w:tc>
        <w:tc>
          <w:tcPr>
            <w:tcW w:w="0" w:type="auto"/>
            <w:vAlign w:val="center"/>
          </w:tcPr>
          <w:p>
            <w:pPr>
              <w:spacing w:after="40" w:before="40"/>
            </w:pPr>
            <w:r>
              <w:t xml:space="preserve">✗</w:t>
            </w:r>
          </w:p>
        </w:tc>
        <w:tc>
          <w:tcPr>
            <w:tcW w:w="0" w:type="auto"/>
            <w:vAlign w:val="center"/>
          </w:tcPr>
          <w:p>
            <w:pPr>
              <w:spacing w:after="40" w:before="40"/>
            </w:pPr>
            <w:r>
              <w:t xml:space="preserve">✗</w:t>
            </w:r>
          </w:p>
        </w:tc>
        <w:tc>
          <w:tcPr>
            <w:tcW w:w="0" w:type="auto"/>
            <w:vAlign w:val="center"/>
          </w:tcPr>
          <w:p>
            <w:pPr>
              <w:spacing w:after="40" w:before="40"/>
            </w:pPr>
            <w:r>
              <w:t xml:space="preserve">Partial</w:t>
            </w:r>
          </w:p>
        </w:tc>
        <w:tc>
          <w:tcPr>
            <w:tcW w:w="0" w:type="auto"/>
            <w:vAlign w:val="center"/>
          </w:tcPr>
          <w:p>
            <w:pPr>
              <w:spacing w:after="40" w:before="40"/>
            </w:pPr>
            <w:r>
              <w:rPr>
                <w:b/>
              </w:rPr>
              <w:t xml:space="preserve">✓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40" w:before="40"/>
            </w:pPr>
            <w:r>
              <w:rPr>
                <w:b/>
              </w:rPr>
              <w:t xml:space="preserve">Voice capture designed around Taglish business speech</w:t>
            </w:r>
          </w:p>
        </w:tc>
        <w:tc>
          <w:tcPr>
            <w:tcW w:w="0" w:type="auto"/>
            <w:vAlign w:val="center"/>
          </w:tcPr>
          <w:p>
            <w:pPr>
              <w:spacing w:after="40" w:before="40"/>
            </w:pPr>
            <w:r>
              <w:t xml:space="preserve">Limited</w:t>
            </w:r>
          </w:p>
        </w:tc>
        <w:tc>
          <w:tcPr>
            <w:tcW w:w="0" w:type="auto"/>
            <w:vAlign w:val="center"/>
          </w:tcPr>
          <w:p>
            <w:pPr>
              <w:spacing w:after="40" w:before="40"/>
            </w:pPr>
            <w:r>
              <w:t xml:space="preserve">Limited</w:t>
            </w:r>
          </w:p>
        </w:tc>
        <w:tc>
          <w:tcPr>
            <w:tcW w:w="0" w:type="auto"/>
            <w:vAlign w:val="center"/>
          </w:tcPr>
          <w:p>
            <w:pPr>
              <w:spacing w:after="40" w:before="40"/>
            </w:pPr>
            <w:r>
              <w:t xml:space="preserve">✗</w:t>
            </w:r>
          </w:p>
        </w:tc>
        <w:tc>
          <w:tcPr>
            <w:tcW w:w="0" w:type="auto"/>
            <w:vAlign w:val="center"/>
          </w:tcPr>
          <w:p>
            <w:pPr>
              <w:spacing w:after="40" w:before="40"/>
            </w:pPr>
            <w:r>
              <w:t xml:space="preserve">✗</w:t>
            </w:r>
          </w:p>
        </w:tc>
        <w:tc>
          <w:tcPr>
            <w:tcW w:w="0" w:type="auto"/>
            <w:vAlign w:val="center"/>
          </w:tcPr>
          <w:p>
            <w:pPr>
              <w:spacing w:after="40" w:before="40"/>
            </w:pPr>
            <w:r>
              <w:rPr>
                <w:b/>
              </w:rPr>
              <w:t xml:space="preserve">✓ core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40" w:before="40"/>
            </w:pPr>
            <w:r>
              <w:rPr>
                <w:b/>
              </w:rPr>
              <w:t xml:space="preserve">Works offline with zero marginal AI cost</w:t>
            </w:r>
          </w:p>
        </w:tc>
        <w:tc>
          <w:tcPr>
            <w:tcW w:w="0" w:type="auto"/>
            <w:vAlign w:val="center"/>
          </w:tcPr>
          <w:p>
            <w:pPr>
              <w:spacing w:after="40" w:before="40"/>
            </w:pPr>
            <w:r>
              <w:t xml:space="preserve">✓</w:t>
            </w:r>
          </w:p>
        </w:tc>
        <w:tc>
          <w:tcPr>
            <w:tcW w:w="0" w:type="auto"/>
            <w:vAlign w:val="center"/>
          </w:tcPr>
          <w:p>
            <w:pPr>
              <w:spacing w:after="40" w:before="40"/>
            </w:pPr>
            <w:r>
              <w:t xml:space="preserve">Partial</w:t>
            </w:r>
          </w:p>
        </w:tc>
        <w:tc>
          <w:tcPr>
            <w:tcW w:w="0" w:type="auto"/>
            <w:vAlign w:val="center"/>
          </w:tcPr>
          <w:p>
            <w:pPr>
              <w:spacing w:after="40" w:before="40"/>
            </w:pPr>
            <w:r>
              <w:t xml:space="preserve">Partial</w:t>
            </w:r>
          </w:p>
        </w:tc>
        <w:tc>
          <w:tcPr>
            <w:tcW w:w="0" w:type="auto"/>
            <w:vAlign w:val="center"/>
          </w:tcPr>
          <w:p>
            <w:pPr>
              <w:spacing w:after="40" w:before="40"/>
            </w:pPr>
            <w:r>
              <w:t xml:space="preserve">✓</w:t>
            </w:r>
          </w:p>
        </w:tc>
        <w:tc>
          <w:tcPr>
            <w:tcW w:w="0" w:type="auto"/>
            <w:vAlign w:val="center"/>
          </w:tcPr>
          <w:p>
            <w:pPr>
              <w:spacing w:after="40" w:before="40"/>
            </w:pPr>
            <w:r>
              <w:rPr>
                <w:b/>
              </w:rPr>
              <w:t xml:space="preserve">✓</w:t>
            </w:r>
          </w:p>
        </w:tc>
      </w:tr>
    </w:tbl>
    <w:p>
      <w:pPr>
        <w:spacing w:after="80"/>
      </w:pPr>
    </w:p>
    <w:p>
      <w:r>
        <w:rPr>
          <w:b/>
        </w:rPr>
        <w:t xml:space="preserve">Where TimbangAI is genuinely behind today:</w:t>
      </w:r>
      <w:r>
        <w:t xml:space="preserve"> payments and e-wallet reconciliation, receipt-printer</w:t>
      </w:r>
    </w:p>
    <w:p>
      <w:r>
        <w:t xml:space="preserve">and barcode hardware support, and any distribution footprint. These are deliberate near-term</w:t>
      </w:r>
    </w:p>
    <w:p>
      <w:r>
        <w:t xml:space="preserve">trade-offs, not oversights, and they are the reason the beachhead is microenterprise decision support</w:t>
      </w:r>
    </w:p>
    <w:p>
      <w:r>
        <w:t xml:space="preserve">rather than retail infrastructure.</w:t>
      </w:r>
    </w:p>
    <w:p>
      <w:r>
        <w:rPr>
          <w:b/>
        </w:rPr>
        <w:t xml:space="preserve">Tax and compliance position (stated explicitly).</w:t>
      </w:r>
      <w:r>
        <w:t xml:space="preserve"> TimbangAI is a </w:t>
      </w:r>
      <w:r>
        <w:rPr>
          <w:b/>
        </w:rPr>
        <w:t xml:space="preserve">management-accounting</w:t>
      </w:r>
      <w:r>
        <w:t xml:space="preserve"> tool:</w:t>
      </w:r>
    </w:p>
    <w:p>
      <w:r>
        <w:t xml:space="preserve">it helps an owner understand their own business. It is </w:t>
      </w:r>
      <w:r>
        <w:rPr>
          <w:b/>
        </w:rPr>
        <w:t xml:space="preserve">not</w:t>
      </w:r>
      <w:r>
        <w:t xml:space="preserve"> a BIR-registered point-of-sale and does</w:t>
      </w:r>
    </w:p>
    <w:p>
      <w:r>
        <w:t xml:space="preserve">not issue official receipts. Stating this plainly is a strength — it avoids a heavy accreditation</w:t>
      </w:r>
    </w:p>
    <w:p>
      <w:r>
        <w:t xml:space="preserve">programme and sets correct user expectations.</w:t>
      </w:r>
    </w:p>
    <w:p>
      <w:pPr>
        <w:pStyle w:val="Heading3"/>
      </w:pPr>
      <w:r>
        <w:t xml:space="preserve">B. Core positioning statement</w:t>
      </w:r>
    </w:p>
    <w:p>
      <w:pPr>
        <w:pStyle w:val="Quote"/>
        <w:ind w:left="360"/>
      </w:pPr>
      <w:r>
        <w:t xml:space="preserve">**POS records what happened. Bookkeeping calculates what happened. TimbangAI explains why it</w:t>
      </w:r>
    </w:p>
    <w:p>
      <w:pPr>
        <w:pStyle w:val="Quote"/>
        <w:ind w:left="360"/>
      </w:pPr>
      <w:r>
        <w:t xml:space="preserve">happened, where the money went, and what the entrepreneur should consider next.**</w:t>
      </w:r>
    </w:p>
    <w:p>
      <w:pPr>
        <w:pStyle w:val="Heading3"/>
      </w:pPr>
      <w:r>
        <w:t xml:space="preserve">C. Five innovation pillars</w:t>
      </w:r>
    </w:p>
    <w:p>
      <w:pPr>
        <w:ind w:left="360"/>
      </w:pPr>
      <w:r>
        <w:t xml:space="preserve">1. </w:t>
      </w:r>
      <w:r>
        <w:rPr>
          <w:b/>
        </w:rPr>
        <w:t xml:space="preserve">Conversational Business Intelligence</w:t>
      </w:r>
      <w:r>
        <w:t xml:space="preserve"> — owners ask ordinary *negosyo* questions instead of</w:t>
      </w:r>
    </w:p>
    <w:p>
      <w:r>
        <w:t xml:space="preserve">interpreting dashboards.</w:t>
      </w:r>
    </w:p>
    <w:p>
      <w:pPr>
        <w:ind w:left="360"/>
      </w:pPr>
      <w:r>
        <w:t xml:space="preserve">2. </w:t>
      </w:r>
      <w:r>
        <w:rPr>
          <w:b/>
        </w:rPr>
        <w:t xml:space="preserve">Voice-to-Business-Record</w:t>
      </w:r>
      <w:r>
        <w:t xml:space="preserve"> — natural speech becomes structured, auditable data, with mandatory</w:t>
      </w:r>
    </w:p>
    <w:p>
      <w:r>
        <w:t xml:space="preserve">numeric confirmation.</w:t>
      </w:r>
    </w:p>
    <w:p>
      <w:pPr>
        <w:ind w:left="360"/>
      </w:pPr>
      <w:r>
        <w:t xml:space="preserve">3. </w:t>
      </w:r>
      <w:r>
        <w:rPr>
          <w:b/>
        </w:rPr>
        <w:t xml:space="preserve">Business Twin + Capital Intelligence</w:t>
      </w:r>
      <w:r>
        <w:t xml:space="preserve"> — transactions continuously rebuild a digital</w:t>
      </w:r>
    </w:p>
    <w:p>
      <w:r>
        <w:t xml:space="preserve">representation of where money and value actually reside.</w:t>
      </w:r>
    </w:p>
    <w:p>
      <w:pPr>
        <w:ind w:left="360"/>
      </w:pPr>
      <w:r>
        <w:t xml:space="preserve">4. </w:t>
      </w:r>
      <w:r>
        <w:rPr>
          <w:b/>
        </w:rPr>
        <w:t xml:space="preserve">Explainable Decision Intelligence</w:t>
      </w:r>
      <w:r>
        <w:t xml:space="preserve"> — every recommendation shows the evidence behind it.</w:t>
      </w:r>
    </w:p>
    <w:p>
      <w:pPr>
        <w:ind w:left="360"/>
      </w:pPr>
      <w:r>
        <w:t xml:space="preserve">5. </w:t>
      </w:r>
      <w:r>
        <w:rPr>
          <w:b/>
        </w:rPr>
        <w:t xml:space="preserve">Hyperlocal Financial UX</w:t>
      </w:r>
      <w:r>
        <w:t xml:space="preserve"> — Filipino-first business language (*benta*, *tubo*, *puhunan*,</w:t>
      </w:r>
    </w:p>
    <w:p>
      <w:r>
        <w:t xml:space="preserve">*utang*, *paninda*, *gastos*), with regional-language expansion, over rigorous accounting</w:t>
      </w:r>
    </w:p>
    <w:p>
      <w:r>
        <w:t xml:space="preserve">underneath.</w:t>
      </w:r>
    </w:p>
    <w:p>
      <w:pPr>
        <w:pBdr>
          <w:bottom w:val="single" w:sz="6" w:space="1" w:color="94A3B8"/>
        </w:pBdr>
      </w:pPr>
    </w:p>
    <w:p>
      <w:pPr>
        <w:pStyle w:val="Heading2"/>
      </w:pPr>
      <w:r>
        <w:t xml:space="preserve">VII. BUSINESS MODEL</w:t>
      </w:r>
    </w:p>
    <w:p>
      <w:r>
        <w:t xml:space="preserve">Freemium SaaS, designed so that the free tier costs almost nothing to serve.</w:t>
      </w:r>
    </w:p>
    <w:p>
      <w:pPr>
        <w:pStyle w:val="Heading3"/>
      </w:pPr>
      <w:r>
        <w:t xml:space="preserve">Timbang FREE — ₱0/month</w:t>
      </w:r>
    </w:p>
    <w:p>
      <w:r>
        <w:t xml:space="preserve">Core transaction recording, basic inventory, utang tracking, daily profit summary, **Nasaan ang</w:t>
      </w:r>
    </w:p>
    <w:p>
      <w:r>
        <w:t xml:space="preserve">Puhunan Ko?</w:t>
      </w:r>
      <w:r>
        <w:rPr>
          <w:b/>
        </w:rPr>
        <w:t xml:space="preserve">, and unlimited questions answered by the </w:t>
      </w:r>
      <w:r>
        <w:t xml:space="preserve">deterministic** engine.</w:t>
      </w:r>
    </w:p>
    <w:p>
      <w:pPr>
        <w:pStyle w:val="Quote"/>
        <w:ind w:left="360"/>
      </w:pPr>
      <w:r>
        <w:rPr>
          <w:b/>
        </w:rPr>
        <w:t xml:space="preserve">Deliberate design decision:</w:t>
      </w:r>
      <w:r>
        <w:t xml:space="preserve"> the free tier uses </w:t>
      </w:r>
      <w:r>
        <w:rPr>
          <w:b/>
        </w:rPr>
        <w:t xml:space="preserve">zero AI inference</w:t>
      </w:r>
      <w:r>
        <w:t xml:space="preserve">. Every figure and every</w:t>
      </w:r>
    </w:p>
    <w:p>
      <w:pPr>
        <w:pStyle w:val="Quote"/>
        <w:ind w:left="360"/>
      </w:pPr>
      <w:r>
        <w:t xml:space="preserve">templated answer is computed from the owner's own records on-device. This is what makes a free tier</w:t>
      </w:r>
    </w:p>
    <w:p>
      <w:pPr>
        <w:pStyle w:val="Quote"/>
        <w:ind w:left="360"/>
      </w:pPr>
      <w:r>
        <w:t xml:space="preserve">sustainable across a market of 1.1 million microenterprises — and it is why the free tier works</w:t>
      </w:r>
    </w:p>
    <w:p>
      <w:pPr>
        <w:pStyle w:val="Quote"/>
        <w:ind w:left="360"/>
      </w:pPr>
      <w:r>
        <w:t xml:space="preserve">offline while paid AI features may not.</w:t>
      </w:r>
    </w:p>
    <w:p>
      <w:pPr>
        <w:pStyle w:val="Heading3"/>
      </w:pPr>
      <w:r>
        <w:t xml:space="preserve">Timbang PRO — proposed ₱99/month</w:t>
      </w:r>
    </w:p>
    <w:p>
      <w:r>
        <w:t xml:space="preserve">Expanded conversational insights, voice capture, Timbang Score history, advanced profitability</w:t>
      </w:r>
    </w:p>
    <w:p>
      <w:r>
        <w:t xml:space="preserve">analysis, restocking recommendations, cloud backup and multi-device sync.</w:t>
      </w:r>
    </w:p>
    <w:p>
      <w:pPr>
        <w:pStyle w:val="Heading3"/>
      </w:pPr>
      <w:r>
        <w:t xml:space="preserve">Timbang NEGOSYO — proposed ₱199/month</w:t>
      </w:r>
    </w:p>
    <w:p>
      <w:r>
        <w:t xml:space="preserve">Multi-user access with roles and an audit trail, advanced analytics, forecasting, supplier</w:t>
      </w:r>
    </w:p>
    <w:p>
      <w:r>
        <w:t xml:space="preserve">intelligence, and expanded reporting.</w:t>
      </w:r>
    </w:p>
    <w:p>
      <w:pPr>
        <w:pStyle w:val="Heading3"/>
      </w:pPr>
      <w:r>
        <w:t xml:space="preserve">Institutional packages</w:t>
      </w:r>
    </w:p>
    <w:p>
      <w:r>
        <w:t xml:space="preserve">Bulk licensing and aggregate dashboards for cooperatives, LGUs, livelihood programmes and partner</w:t>
      </w:r>
    </w:p>
    <w:p>
      <w:r>
        <w:t xml:space="preserve">organisations. </w:t>
      </w:r>
      <w:r>
        <w:rPr>
          <w:b/>
        </w:rPr>
        <w:t xml:space="preserve">This is treated as the primary long-term revenue channel, not a later add-on:</w:t>
      </w:r>
    </w:p>
    <w:p>
      <w:r>
        <w:t xml:space="preserve">direct ₱99 subscriptions from microentrepreneurs are a hard market to monetise when free</w:t>
      </w:r>
    </w:p>
    <w:p>
      <w:r>
        <w:t xml:space="preserve">alternatives exist.</w:t>
      </w:r>
    </w:p>
    <w:p>
      <w:pPr>
        <w:pStyle w:val="Heading3"/>
      </w:pPr>
      <w:r>
        <w:t xml:space="preserve">Unit economics *(new — previously unmodelled)*</w:t>
      </w:r>
    </w:p>
    <w:p>
      <w:r>
        <w:t xml:space="preserve">AI and speech costs scale with </w:t>
      </w:r>
      <w:r>
        <w:rPr>
          <w:b/>
        </w:rPr>
        <w:t xml:space="preserve">usage per store</w:t>
      </w:r>
      <w:r>
        <w:t xml:space="preserve">, not with seats, so they were modelled explicitly.</w:t>
      </w:r>
    </w:p>
    <w:p>
      <w:r>
        <w:t xml:space="preserve">Published rates in 2026 are approximately </w:t>
      </w:r>
      <w:r>
        <w:rPr>
          <w:b/>
        </w:rPr>
        <w:t xml:space="preserve">$0.006/minute for Whisper-class API transcription</w:t>
      </w:r>
      <w:r>
        <w:t xml:space="preserve">,</w:t>
      </w:r>
    </w:p>
    <w:p>
      <w:r>
        <w:rPr>
          <w:b/>
        </w:rPr>
        <w:t xml:space="preserve">$0.016/minute for Google Cloud STT</w:t>
      </w:r>
      <w:r>
        <w:t xml:space="preserve"> and </w:t>
      </w:r>
      <w:r>
        <w:rPr>
          <w:b/>
        </w:rPr>
        <w:t xml:space="preserve">$0.024/minute for AWS Transcribe.</w:t>
      </w:r>
    </w:p>
    <w:p>
      <w:r>
        <w:t xml:space="preserve">At roughly 8 seconds per spoken transaction:</w:t>
      </w:r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r>
        <w:tc>
          <w:tcPr>
            <w:tcW w:w="0" w:type="auto"/>
            <w:shd w:val="clear" w:fill="E2F5F1"/>
            <w:vAlign w:val="center"/>
          </w:tcPr>
          <w:p>
            <w:pPr>
              <w:spacing w:after="40" w:before="40"/>
            </w:pPr>
            <w:r>
              <w:t xml:space="preserve">Voice transactions / day</w:t>
            </w:r>
          </w:p>
        </w:tc>
        <w:tc>
          <w:tcPr>
            <w:tcW w:w="0" w:type="auto"/>
            <w:shd w:val="clear" w:fill="E2F5F1"/>
            <w:vAlign w:val="center"/>
          </w:tcPr>
          <w:p>
            <w:pPr>
              <w:spacing w:after="40" w:before="40"/>
            </w:pPr>
            <w:r>
              <w:t xml:space="preserve">Minutes / month</w:t>
            </w:r>
          </w:p>
        </w:tc>
        <w:tc>
          <w:tcPr>
            <w:tcW w:w="0" w:type="auto"/>
            <w:shd w:val="clear" w:fill="E2F5F1"/>
            <w:vAlign w:val="center"/>
          </w:tcPr>
          <w:p>
            <w:pPr>
              <w:spacing w:after="40" w:before="40"/>
            </w:pPr>
            <w:r>
              <w:t xml:space="preserve">Approx. transcription cost</w:t>
            </w:r>
          </w:p>
        </w:tc>
        <w:tc>
          <w:tcPr>
            <w:tcW w:w="0" w:type="auto"/>
            <w:shd w:val="clear" w:fill="E2F5F1"/>
            <w:vAlign w:val="center"/>
          </w:tcPr>
          <w:p>
            <w:pPr>
              <w:spacing w:after="40" w:before="40"/>
            </w:pPr>
            <w:r>
              <w:t xml:space="preserve">Against ₱99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40" w:before="40"/>
            </w:pPr>
            <w:r>
              <w:t xml:space="preserve">20</w:t>
            </w:r>
          </w:p>
        </w:tc>
        <w:tc>
          <w:tcPr>
            <w:tcW w:w="0" w:type="auto"/>
            <w:vAlign w:val="center"/>
          </w:tcPr>
          <w:p>
            <w:pPr>
              <w:spacing w:after="40" w:before="40"/>
            </w:pPr>
            <w:r>
              <w:t xml:space="preserve">80</w:t>
            </w:r>
          </w:p>
        </w:tc>
        <w:tc>
          <w:tcPr>
            <w:tcW w:w="0" w:type="auto"/>
            <w:vAlign w:val="center"/>
          </w:tcPr>
          <w:p>
            <w:pPr>
              <w:spacing w:after="40" w:before="40"/>
            </w:pPr>
            <w:r>
              <w:t xml:space="preserve">~$0.48 (₱27)</w:t>
            </w:r>
          </w:p>
        </w:tc>
        <w:tc>
          <w:tcPr>
            <w:tcW w:w="0" w:type="auto"/>
            <w:vAlign w:val="center"/>
          </w:tcPr>
          <w:p>
            <w:pPr>
              <w:spacing w:after="40" w:before="40"/>
            </w:pPr>
            <w:r>
              <w:t xml:space="preserve">Healthy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40" w:before="40"/>
            </w:pPr>
            <w:r>
              <w:t xml:space="preserve">50</w:t>
            </w:r>
          </w:p>
        </w:tc>
        <w:tc>
          <w:tcPr>
            <w:tcW w:w="0" w:type="auto"/>
            <w:vAlign w:val="center"/>
          </w:tcPr>
          <w:p>
            <w:pPr>
              <w:spacing w:after="40" w:before="40"/>
            </w:pPr>
            <w:r>
              <w:t xml:space="preserve">200</w:t>
            </w:r>
          </w:p>
        </w:tc>
        <w:tc>
          <w:tcPr>
            <w:tcW w:w="0" w:type="auto"/>
            <w:vAlign w:val="center"/>
          </w:tcPr>
          <w:p>
            <w:pPr>
              <w:spacing w:after="40" w:before="40"/>
            </w:pPr>
            <w:r>
              <w:t xml:space="preserve">~$1.20 (₱68)</w:t>
            </w:r>
          </w:p>
        </w:tc>
        <w:tc>
          <w:tcPr>
            <w:tcW w:w="0" w:type="auto"/>
            <w:vAlign w:val="center"/>
          </w:tcPr>
          <w:p>
            <w:pPr>
              <w:spacing w:after="40" w:before="40"/>
            </w:pPr>
            <w:r>
              <w:t xml:space="preserve">Thin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40" w:before="40"/>
            </w:pPr>
            <w:r>
              <w:t xml:space="preserve">100</w:t>
            </w:r>
          </w:p>
        </w:tc>
        <w:tc>
          <w:tcPr>
            <w:tcW w:w="0" w:type="auto"/>
            <w:vAlign w:val="center"/>
          </w:tcPr>
          <w:p>
            <w:pPr>
              <w:spacing w:after="40" w:before="40"/>
            </w:pPr>
            <w:r>
              <w:t xml:space="preserve">400</w:t>
            </w:r>
          </w:p>
        </w:tc>
        <w:tc>
          <w:tcPr>
            <w:tcW w:w="0" w:type="auto"/>
            <w:vAlign w:val="center"/>
          </w:tcPr>
          <w:p>
            <w:pPr>
              <w:spacing w:after="40" w:before="40"/>
            </w:pPr>
            <w:r>
              <w:rPr>
                <w:b/>
              </w:rPr>
              <w:t xml:space="preserve">~$2.40 (₱137)</w:t>
            </w:r>
          </w:p>
        </w:tc>
        <w:tc>
          <w:tcPr>
            <w:tcW w:w="0" w:type="auto"/>
            <w:vAlign w:val="center"/>
          </w:tcPr>
          <w:p>
            <w:pPr>
              <w:spacing w:after="40" w:before="40"/>
            </w:pPr>
            <w:r>
              <w:rPr>
                <w:b/>
              </w:rPr>
              <w:t xml:space="preserve">Loss-making</w:t>
            </w:r>
          </w:p>
        </w:tc>
      </w:tr>
    </w:tbl>
    <w:p>
      <w:pPr>
        <w:spacing w:after="80"/>
      </w:pPr>
    </w:p>
    <w:p>
      <w:r>
        <w:rPr>
          <w:b/>
        </w:rPr>
        <w:t xml:space="preserve">Mitigations designed into the product:</w:t>
      </w:r>
      <w:r>
        <w:t xml:space="preserve"> insights are computed in a </w:t>
      </w:r>
      <w:r>
        <w:rPr>
          <w:b/>
        </w:rPr>
        <w:t xml:space="preserve">scheduled batch</w:t>
      </w:r>
      <w:r>
        <w:t xml:space="preserve"> rather than</w:t>
      </w:r>
    </w:p>
    <w:p>
      <w:r>
        <w:t xml:space="preserve">per question (cost scales with *users*, not *questions*); the free tier uses no AI at all; and voice</w:t>
      </w:r>
    </w:p>
    <w:p>
      <w:r>
        <w:t xml:space="preserve">capture is metered separately from the base subscription. This is the single most important</w:t>
      </w:r>
    </w:p>
    <w:p>
      <w:r>
        <w:t xml:space="preserve">commercial risk in the model and it is stated rather than ignored.</w:t>
      </w:r>
    </w:p>
    <w:p>
      <w:pPr>
        <w:pBdr>
          <w:bottom w:val="single" w:sz="6" w:space="1" w:color="94A3B8"/>
        </w:pBdr>
      </w:pPr>
    </w:p>
    <w:p>
      <w:pPr>
        <w:pStyle w:val="Heading2"/>
      </w:pPr>
      <w:r>
        <w:t xml:space="preserve">VIII. MARKET ANALYSIS</w:t>
      </w:r>
    </w:p>
    <w:p>
      <w:r>
        <w:t xml:space="preserve">Microenterprises dominate Philippine establishments and national programmes continue to promote MSME</w:t>
      </w:r>
    </w:p>
    <w:p>
      <w:r>
        <w:t xml:space="preserve">digitalisation _(Sources: PIA citing DTI/PSA 2024 MSME statistics; DTI Baseline Survey on</w:t>
      </w:r>
    </w:p>
    <w:p>
      <w:r>
        <w:t xml:space="preserve">Digitalization of MSMEs, September 2020; DTI "Tindahan Mo, e-Level Up Mo!")_.</w:t>
      </w:r>
    </w:p>
    <w:p>
      <w:r>
        <w:t xml:space="preserve">The market is competitive, which validates demand but demands precise positioning. Peddlr reports</w:t>
      </w:r>
    </w:p>
    <w:p>
      <w:r>
        <w:t xml:space="preserve">serving more than </w:t>
      </w:r>
      <w:r>
        <w:rPr>
          <w:b/>
        </w:rPr>
        <w:t xml:space="preserve">two million</w:t>
      </w:r>
      <w:r>
        <w:t xml:space="preserve"> Filipino stores; DOST-PCIEERD has documented Packworks' network at</w:t>
      </w:r>
    </w:p>
    <w:p>
      <w:r>
        <w:t xml:space="preserve">over </w:t>
      </w:r>
      <w:r>
        <w:rPr>
          <w:b/>
        </w:rPr>
        <w:t xml:space="preserve">270,000</w:t>
      </w:r>
      <w:r>
        <w:t xml:space="preserve"> sari-sari stores and funded its AI/ML recommendation work. TimbangAI therefore avoids</w:t>
      </w:r>
    </w:p>
    <w:p>
      <w:r>
        <w:t xml:space="preserve">competing on basic POS breadth. Its beachhead is microentrepreneurs who need **low-friction,</w:t>
      </w:r>
    </w:p>
    <w:p>
      <w:r>
        <w:t xml:space="preserve">explainable decision support** and prefer conversation over accounting dashboards.</w:t>
      </w:r>
    </w:p>
    <w:p>
      <w:r>
        <w:rPr>
          <w:b/>
        </w:rPr>
        <w:t xml:space="preserve">Defensibility, stated honestly.</w:t>
      </w:r>
      <w:r>
        <w:t xml:space="preserve"> An LLM wrapper is trivially copyable, so differentiation cannot</w:t>
      </w:r>
    </w:p>
    <w:p>
      <w:r>
        <w:t xml:space="preserve">rest on "we added AI". The three defensible assets are:</w:t>
      </w:r>
    </w:p>
    <w:p>
      <w:pPr>
        <w:ind w:left="360"/>
      </w:pPr>
      <w:r>
        <w:t xml:space="preserve">1. </w:t>
      </w:r>
      <w:r>
        <w:rPr>
          <w:b/>
        </w:rPr>
        <w:t xml:space="preserve">Data network effects</w:t>
      </w:r>
      <w:r>
        <w:t xml:space="preserve"> — consented, aggregate benchmarking (*"your margin versus similar stores</w:t>
      </w:r>
    </w:p>
    <w:p>
      <w:r>
        <w:t xml:space="preserve">in your barangay"*), which improves with scale.</w:t>
      </w:r>
    </w:p>
    <w:p>
      <w:pPr>
        <w:ind w:left="360"/>
      </w:pPr>
      <w:r>
        <w:t xml:space="preserve">2. </w:t>
      </w:r>
      <w:r>
        <w:rPr>
          <w:b/>
        </w:rPr>
        <w:t xml:space="preserve">Institutional distribution</w:t>
      </w:r>
      <w:r>
        <w:t xml:space="preserve"> — LGUs, cooperatives and microfinance partners as the primary</w:t>
      </w:r>
    </w:p>
    <w:p>
      <w:r>
        <w:t xml:space="preserve">channel.</w:t>
      </w:r>
    </w:p>
    <w:p>
      <w:pPr>
        <w:ind w:left="360"/>
      </w:pPr>
      <w:r>
        <w:t xml:space="preserve">3. </w:t>
      </w:r>
      <w:r>
        <w:rPr>
          <w:b/>
        </w:rPr>
        <w:t xml:space="preserve">Supplier and distributor integration</w:t>
      </w:r>
      <w:r>
        <w:t xml:space="preserve"> — importing delivery records removes the most tedious</w:t>
      </w:r>
    </w:p>
    <w:p>
      <w:r>
        <w:t xml:space="preserve">data-entry burden, which is how comparable platforms in this market achieved their reach.</w:t>
      </w:r>
    </w:p>
    <w:p>
      <w:r>
        <w:rPr>
          <w:b/>
        </w:rPr>
        <w:t xml:space="preserve">Explicit ethical boundary:</w:t>
      </w:r>
      <w:r>
        <w:t xml:space="preserve"> payer-aggregated lending signals to microfinance partners are a larger</w:t>
      </w:r>
    </w:p>
    <w:p>
      <w:r>
        <w:t xml:space="preserve">revenue pool than ₱99 subscriptions, but they create an adversarial incentive between the tool and its</w:t>
      </w:r>
    </w:p>
    <w:p>
      <w:r>
        <w:t xml:space="preserve">user. TimbangAI's position is that </w:t>
      </w:r>
      <w:r>
        <w:rPr>
          <w:b/>
        </w:rPr>
        <w:t xml:space="preserve">the owner's data is used for the owner's decisions first</w:t>
      </w:r>
      <w:r>
        <w:t xml:space="preserve">, and</w:t>
      </w:r>
    </w:p>
    <w:p>
      <w:r>
        <w:t xml:space="preserve">any aggregate sharing requires explicit, revocable consent.</w:t>
      </w:r>
    </w:p>
    <w:p>
      <w:pPr>
        <w:pBdr>
          <w:bottom w:val="single" w:sz="6" w:space="1" w:color="94A3B8"/>
        </w:pBdr>
      </w:pPr>
    </w:p>
    <w:p>
      <w:pPr>
        <w:pStyle w:val="Heading2"/>
      </w:pPr>
      <w:r>
        <w:t xml:space="preserve">IX. OPERATIONS PLAN</w:t>
      </w:r>
    </w:p>
    <w:p>
      <w:pPr>
        <w:pStyle w:val="Heading3"/>
      </w:pPr>
      <w:r>
        <w:t xml:space="preserve">A. Approach</w:t>
      </w:r>
    </w:p>
    <w:p>
      <w:r>
        <w:t xml:space="preserve">Lean Startup, evidence-driven, with a fixed sequencing rule: **prioritise features that measurably</w:t>
      </w:r>
    </w:p>
    <w:p>
      <w:r>
        <w:t xml:space="preserve">improve the owner's decisions over features that merely add capability.**</w:t>
      </w:r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r>
        <w:tc>
          <w:tcPr>
            <w:tcW w:w="0" w:type="auto"/>
            <w:shd w:val="clear" w:fill="E2F5F1"/>
            <w:vAlign w:val="center"/>
          </w:tcPr>
          <w:p>
            <w:pPr>
              <w:spacing w:after="40" w:before="40"/>
            </w:pPr>
            <w:r>
              <w:t xml:space="preserve">Phase</w:t>
            </w:r>
          </w:p>
        </w:tc>
        <w:tc>
          <w:tcPr>
            <w:tcW w:w="0" w:type="auto"/>
            <w:shd w:val="clear" w:fill="E2F5F1"/>
            <w:vAlign w:val="center"/>
          </w:tcPr>
          <w:p>
            <w:pPr>
              <w:spacing w:after="40" w:before="40"/>
            </w:pPr>
            <w:r>
              <w:t xml:space="preserve">Focus</w:t>
            </w:r>
          </w:p>
        </w:tc>
        <w:tc>
          <w:tcPr>
            <w:tcW w:w="0" w:type="auto"/>
            <w:shd w:val="clear" w:fill="E2F5F1"/>
            <w:vAlign w:val="center"/>
          </w:tcPr>
          <w:p>
            <w:pPr>
              <w:spacing w:after="40" w:before="40"/>
            </w:pPr>
            <w:r>
              <w:t xml:space="preserve">Status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40" w:before="40"/>
            </w:pPr>
            <w:r>
              <w:t xml:space="preserve">1. Problem validation</w:t>
            </w:r>
          </w:p>
        </w:tc>
        <w:tc>
          <w:tcPr>
            <w:tcW w:w="0" w:type="auto"/>
            <w:vAlign w:val="center"/>
          </w:tcPr>
          <w:p>
            <w:pPr>
              <w:spacing w:after="40" w:before="40"/>
            </w:pPr>
            <w:r>
              <w:t xml:space="preserve">Structured interviews; document existing methods for sales, expenses, inventory, credit, profit and purchasing</w:t>
            </w:r>
          </w:p>
        </w:tc>
        <w:tc>
          <w:tcPr>
            <w:tcW w:w="0" w:type="auto"/>
            <w:vAlign w:val="center"/>
          </w:tcPr>
          <w:p>
            <w:pPr>
              <w:spacing w:after="40" w:before="40"/>
            </w:pPr>
            <w:r>
              <w:t xml:space="preserve">Overlaps pilot recruitment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40" w:before="40"/>
            </w:pPr>
            <w:r>
              <w:t xml:space="preserve">2. MVP development</w:t>
            </w:r>
          </w:p>
        </w:tc>
        <w:tc>
          <w:tcPr>
            <w:tcW w:w="0" w:type="auto"/>
            <w:vAlign w:val="center"/>
          </w:tcPr>
          <w:p>
            <w:pPr>
              <w:spacing w:after="40" w:before="40"/>
            </w:pPr>
            <w:r>
              <w:t xml:space="preserve">Mobile-first PWA, deterministic engine, voice capture, capital views, Score</w:t>
            </w:r>
          </w:p>
        </w:tc>
        <w:tc>
          <w:tcPr>
            <w:tcW w:w="0" w:type="auto"/>
            <w:vAlign w:val="center"/>
          </w:tcPr>
          <w:p>
            <w:pPr>
              <w:spacing w:after="40" w:before="40"/>
            </w:pPr>
            <w:r>
              <w:rPr>
                <w:b/>
              </w:rPr>
              <w:t xml:space="preserve">Substantially complete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40" w:before="40"/>
            </w:pPr>
            <w:r>
              <w:t xml:space="preserve">3. Controlled testing</w:t>
            </w:r>
          </w:p>
        </w:tc>
        <w:tc>
          <w:tcPr>
            <w:tcW w:w="0" w:type="auto"/>
            <w:vAlign w:val="center"/>
          </w:tcPr>
          <w:p>
            <w:pPr>
              <w:spacing w:after="40" w:before="40"/>
            </w:pPr>
            <w:r>
              <w:t xml:space="preserve">Financial computation verified against manual test cases; recommendations constrained by verified data</w:t>
            </w:r>
          </w:p>
        </w:tc>
        <w:tc>
          <w:tcPr>
            <w:tcW w:w="0" w:type="auto"/>
            <w:vAlign w:val="center"/>
          </w:tcPr>
          <w:p>
            <w:pPr>
              <w:spacing w:after="40" w:before="40"/>
            </w:pPr>
            <w:r>
              <w:rPr>
                <w:b/>
              </w:rPr>
              <w:t xml:space="preserve">In place (see C)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40" w:before="40"/>
            </w:pPr>
            <w:r>
              <w:t xml:space="preserve">4. Pilot deployment</w:t>
            </w:r>
          </w:p>
        </w:tc>
        <w:tc>
          <w:tcPr>
            <w:tcW w:w="0" w:type="auto"/>
            <w:vAlign w:val="center"/>
          </w:tcPr>
          <w:p>
            <w:pPr>
              <w:spacing w:after="40" w:before="40"/>
            </w:pPr>
            <w:r>
              <w:t xml:space="preserve">~30 microbusinesses</w:t>
            </w:r>
          </w:p>
        </w:tc>
        <w:tc>
          <w:tcPr>
            <w:tcW w:w="0" w:type="auto"/>
            <w:vAlign w:val="center"/>
          </w:tcPr>
          <w:p>
            <w:pPr>
              <w:spacing w:after="40" w:before="40"/>
            </w:pPr>
            <w:r>
              <w:t xml:space="preserve">Next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40" w:before="40"/>
            </w:pPr>
            <w:r>
              <w:t xml:space="preserve">5. Product refinement</w:t>
            </w:r>
          </w:p>
        </w:tc>
        <w:tc>
          <w:tcPr>
            <w:tcW w:w="0" w:type="auto"/>
            <w:vAlign w:val="center"/>
          </w:tcPr>
          <w:p>
            <w:pPr>
              <w:spacing w:after="40" w:before="40"/>
            </w:pPr>
            <w:r>
              <w:t xml:space="preserve">Driven by pilot evidence</w:t>
            </w:r>
          </w:p>
        </w:tc>
        <w:tc>
          <w:tcPr>
            <w:tcW w:w="0" w:type="auto"/>
            <w:vAlign w:val="center"/>
          </w:tcPr>
          <w:p>
            <w:pPr>
              <w:spacing w:after="40" w:before="40"/>
            </w:pPr>
            <w:r>
              <w:t xml:space="preserve">—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40" w:before="40"/>
            </w:pPr>
            <w:r>
              <w:t xml:space="preserve">6. Commercialisation</w:t>
            </w:r>
          </w:p>
        </w:tc>
        <w:tc>
          <w:tcPr>
            <w:tcW w:w="0" w:type="auto"/>
            <w:vAlign w:val="center"/>
          </w:tcPr>
          <w:p>
            <w:pPr>
              <w:spacing w:after="40" w:before="40"/>
            </w:pPr>
            <w:r>
              <w:t xml:space="preserve">Freemium plus institutional partnerships</w:t>
            </w:r>
          </w:p>
        </w:tc>
        <w:tc>
          <w:tcPr>
            <w:tcW w:w="0" w:type="auto"/>
            <w:vAlign w:val="center"/>
          </w:tcPr>
          <w:p>
            <w:pPr>
              <w:spacing w:after="40" w:before="40"/>
            </w:pPr>
            <w:r>
              <w:t xml:space="preserve">—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B. Deliberately deferred</w:t>
      </w:r>
    </w:p>
    <w:p>
      <w:r>
        <w:t xml:space="preserve">Multi-device sync, machine-learned forecasting, institutional dashboards, benchmarking and supplier</w:t>
      </w:r>
    </w:p>
    <w:p>
      <w:r>
        <w:t xml:space="preserve">integration. Each becomes valuable only once meaningful transaction history exists; none is required</w:t>
      </w:r>
    </w:p>
    <w:p>
      <w:r>
        <w:t xml:space="preserve">to prove the central hypothesis.</w:t>
      </w:r>
    </w:p>
    <w:p>
      <w:pPr>
        <w:pStyle w:val="Heading3"/>
      </w:pPr>
      <w:r>
        <w:t xml:space="preserve">C. Verified prototype status *(new — proof rather than promise)*</w:t>
      </w:r>
    </w:p>
    <w:p>
      <w:r>
        <w:t xml:space="preserve">Because the concept asserts that the numbers are deterministic and trustworthy, that assertion is</w:t>
      </w:r>
    </w:p>
    <w:p>
      <w:r>
        <w:rPr>
          <w:b/>
        </w:rPr>
        <w:t xml:space="preserve">executed rather than stated</w:t>
      </w:r>
      <w:r>
        <w:t xml:space="preserve">:</w:t>
      </w:r>
    </w:p>
    <w:p>
      <w:pPr>
        <w:ind w:left="360"/>
      </w:pPr>
      <w:r>
        <w:t xml:space="preserve">• A pure-TypeScript finance engine computes COGS, gross and net profit, margins, inventory turnover,</w:t>
      </w:r>
    </w:p>
    <w:p>
      <w:r>
        <w:t xml:space="preserve">receivable exposure, both capital views and the Score — with **no framework and no database</w:t>
      </w:r>
    </w:p>
    <w:p>
      <w:r>
        <w:t xml:space="preserve">dependency**, so it is fully testable in isolation.</w:t>
      </w:r>
    </w:p>
    <w:p>
      <w:pPr>
        <w:ind w:left="360"/>
      </w:pPr>
      <w:r>
        <w:t xml:space="preserve">• The Business Twin is a </w:t>
      </w:r>
      <w:r>
        <w:rPr>
          <w:b/>
        </w:rPr>
        <w:t xml:space="preserve">fold over the transaction log</w:t>
      </w:r>
      <w:r>
        <w:t xml:space="preserve">. Voiding a transaction recomputes the twin</w:t>
      </w:r>
    </w:p>
    <w:p>
      <w:r>
        <w:t xml:space="preserve">from the log, which makes corrections reproducible and auditable rather than a mutation someone has</w:t>
      </w:r>
    </w:p>
    <w:p>
      <w:r>
        <w:t xml:space="preserve">to trust.</w:t>
      </w:r>
    </w:p>
    <w:p>
      <w:pPr>
        <w:ind w:left="360"/>
      </w:pPr>
      <w:r>
        <w:t xml:space="preserve">• An automated suite asserts the accounting identity </w:t>
      </w:r>
      <w:r>
        <w:rPr>
          <w:b/>
        </w:rPr>
        <w:t xml:space="preserve">after every kind of transaction</w:t>
      </w:r>
      <w:r>
        <w:t xml:space="preserve">, and the</w:t>
      </w:r>
    </w:p>
    <w:p>
      <w:r>
        <w:t xml:space="preserve">documented worked examples from the previous concept note are used as regression fixtures.</w:t>
      </w:r>
    </w:p>
    <w:p>
      <w:pPr>
        <w:ind w:left="360"/>
      </w:pPr>
      <w:r>
        <w:t xml:space="preserve">• Writing only the zero-cost, deterministic layer first is also what makes the "works offline, free</w:t>
      </w:r>
    </w:p>
    <w:p>
      <w:r>
        <w:t xml:space="preserve">tier costs nothing" claim true rather than aspirational.</w:t>
      </w:r>
    </w:p>
    <w:p>
      <w:pPr>
        <w:pStyle w:val="Heading3"/>
      </w:pPr>
      <w:r>
        <w:t xml:space="preserve">D. Data protection</w:t>
      </w:r>
    </w:p>
    <w:p>
      <w:r>
        <w:t xml:space="preserve">Privacy by design: data minimisation, on-device storage by default, role-based access controls, secure</w:t>
      </w:r>
    </w:p>
    <w:p>
      <w:r>
        <w:t xml:space="preserve">authentication, encryption where appropriate, consent mechanisms, auditability and compliance with</w:t>
      </w:r>
    </w:p>
    <w:p>
      <w:r>
        <w:t xml:space="preserve">applicable Philippine data-protection requirements. Business data is not used to train external AI</w:t>
      </w:r>
    </w:p>
    <w:p>
      <w:r>
        <w:t xml:space="preserve">models.</w:t>
      </w:r>
    </w:p>
    <w:p>
      <w:pPr>
        <w:pBdr>
          <w:bottom w:val="single" w:sz="6" w:space="1" w:color="94A3B8"/>
        </w:pBdr>
      </w:pPr>
    </w:p>
    <w:p>
      <w:pPr>
        <w:pStyle w:val="Heading2"/>
      </w:pPr>
      <w:r>
        <w:t xml:space="preserve">X. FINANCIAL REQUIREMENT</w:t>
      </w:r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r>
        <w:tc>
          <w:tcPr>
            <w:tcW w:w="0" w:type="auto"/>
            <w:shd w:val="clear" w:fill="E2F5F1"/>
            <w:vAlign w:val="center"/>
          </w:tcPr>
          <w:p>
            <w:pPr>
              <w:spacing w:after="40" w:before="40"/>
            </w:pPr>
            <w:r>
              <w:t xml:space="preserve">Use of funds</w:t>
            </w:r>
          </w:p>
        </w:tc>
        <w:tc>
          <w:tcPr>
            <w:tcW w:w="0" w:type="auto"/>
            <w:shd w:val="clear" w:fill="E2F5F1"/>
            <w:vAlign w:val="center"/>
          </w:tcPr>
          <w:p>
            <w:pPr>
              <w:spacing w:after="40" w:before="40"/>
            </w:pPr>
            <w:r>
              <w:t xml:space="preserve">Amount</w:t>
            </w:r>
          </w:p>
        </w:tc>
        <w:tc>
          <w:tcPr>
            <w:tcW w:w="0" w:type="auto"/>
            <w:shd w:val="clear" w:fill="E2F5F1"/>
            <w:vAlign w:val="center"/>
          </w:tcPr>
          <w:p>
            <w:pPr>
              <w:spacing w:after="40" w:before="40"/>
            </w:pPr>
            <w:r>
              <w:t xml:space="preserve">Purpose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40" w:before="40"/>
            </w:pPr>
            <w:r>
              <w:t xml:space="preserve">MVP development and technical infrastructure</w:t>
            </w:r>
          </w:p>
        </w:tc>
        <w:tc>
          <w:tcPr>
            <w:tcW w:w="0" w:type="auto"/>
            <w:vAlign w:val="center"/>
          </w:tcPr>
          <w:p>
            <w:pPr>
              <w:spacing w:after="40" w:before="40"/>
            </w:pPr>
            <w:r>
              <w:t xml:space="preserve">₱50,000</w:t>
            </w:r>
          </w:p>
        </w:tc>
        <w:tc>
          <w:tcPr>
            <w:tcW w:w="0" w:type="auto"/>
            <w:vAlign w:val="center"/>
          </w:tcPr>
          <w:p>
            <w:pPr>
              <w:spacing w:after="40" w:before="40"/>
            </w:pPr>
            <w:r>
              <w:t xml:space="preserve">PWA, database/cloud services, voice processing, financial engine, AI integration, security, domain and deployment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40" w:before="40"/>
            </w:pPr>
            <w:r>
              <w:t xml:space="preserve">User research and validation</w:t>
            </w:r>
          </w:p>
        </w:tc>
        <w:tc>
          <w:tcPr>
            <w:tcW w:w="0" w:type="auto"/>
            <w:vAlign w:val="center"/>
          </w:tcPr>
          <w:p>
            <w:pPr>
              <w:spacing w:after="40" w:before="40"/>
            </w:pPr>
            <w:r>
              <w:t xml:space="preserve">₱15,000</w:t>
            </w:r>
          </w:p>
        </w:tc>
        <w:tc>
          <w:tcPr>
            <w:tcW w:w="0" w:type="auto"/>
            <w:vAlign w:val="center"/>
          </w:tcPr>
          <w:p>
            <w:pPr>
              <w:spacing w:after="40" w:before="40"/>
            </w:pPr>
            <w:r>
              <w:t xml:space="preserve">Field interviews, workflow validation, usability testing, transport and documentation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40" w:before="40"/>
            </w:pPr>
            <w:r>
              <w:t xml:space="preserve">Pilot deployment and onboarding</w:t>
            </w:r>
          </w:p>
        </w:tc>
        <w:tc>
          <w:tcPr>
            <w:tcW w:w="0" w:type="auto"/>
            <w:vAlign w:val="center"/>
          </w:tcPr>
          <w:p>
            <w:pPr>
              <w:spacing w:after="40" w:before="40"/>
            </w:pPr>
            <w:r>
              <w:t xml:space="preserve">₱20,000</w:t>
            </w:r>
          </w:p>
        </w:tc>
        <w:tc>
          <w:tcPr>
            <w:tcW w:w="0" w:type="auto"/>
            <w:vAlign w:val="center"/>
          </w:tcPr>
          <w:p>
            <w:pPr>
              <w:spacing w:after="40" w:before="40"/>
            </w:pPr>
            <w:r>
              <w:t xml:space="preserve">Deployment to initial microbusinesses, onboarding, training materials and pilot support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40" w:before="40"/>
            </w:pPr>
            <w:r>
              <w:t xml:space="preserve">AI, speech and cloud services</w:t>
            </w:r>
          </w:p>
        </w:tc>
        <w:tc>
          <w:tcPr>
            <w:tcW w:w="0" w:type="auto"/>
            <w:vAlign w:val="center"/>
          </w:tcPr>
          <w:p>
            <w:pPr>
              <w:spacing w:after="40" w:before="40"/>
            </w:pPr>
            <w:r>
              <w:t xml:space="preserve">₱40,000</w:t>
            </w:r>
          </w:p>
        </w:tc>
        <w:tc>
          <w:tcPr>
            <w:tcW w:w="0" w:type="auto"/>
            <w:vAlign w:val="center"/>
          </w:tcPr>
          <w:p>
            <w:pPr>
              <w:spacing w:after="40" w:before="40"/>
            </w:pPr>
            <w:r>
              <w:t xml:space="preserve">Speech-to-text, LLM/API usage, database, storage and monitoring during the pilot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40" w:before="40"/>
            </w:pPr>
            <w:r>
              <w:t xml:space="preserve">Testing, QA and data privacy</w:t>
            </w:r>
          </w:p>
        </w:tc>
        <w:tc>
          <w:tcPr>
            <w:tcW w:w="0" w:type="auto"/>
            <w:vAlign w:val="center"/>
          </w:tcPr>
          <w:p>
            <w:pPr>
              <w:spacing w:after="40" w:before="40"/>
            </w:pPr>
            <w:r>
              <w:t xml:space="preserve">₱10,000</w:t>
            </w:r>
          </w:p>
        </w:tc>
        <w:tc>
          <w:tcPr>
            <w:tcW w:w="0" w:type="auto"/>
            <w:vAlign w:val="center"/>
          </w:tcPr>
          <w:p>
            <w:pPr>
              <w:spacing w:after="40" w:before="40"/>
            </w:pPr>
            <w:r>
              <w:t xml:space="preserve">Functional testing, financial-computation validation, security checks and privacy-compliance preparation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40" w:before="40"/>
            </w:pPr>
            <w:r>
              <w:t xml:space="preserve">Early commercialisation and marketing</w:t>
            </w:r>
          </w:p>
        </w:tc>
        <w:tc>
          <w:tcPr>
            <w:tcW w:w="0" w:type="auto"/>
            <w:vAlign w:val="center"/>
          </w:tcPr>
          <w:p>
            <w:pPr>
              <w:spacing w:after="40" w:before="40"/>
            </w:pPr>
            <w:r>
              <w:t xml:space="preserve">₱10,000</w:t>
            </w:r>
          </w:p>
        </w:tc>
        <w:tc>
          <w:tcPr>
            <w:tcW w:w="0" w:type="auto"/>
            <w:vAlign w:val="center"/>
          </w:tcPr>
          <w:p>
            <w:pPr>
              <w:spacing w:after="40" w:before="40"/>
            </w:pPr>
            <w:r>
              <w:t xml:space="preserve">Branding, promotional materials, demonstrations, merchant acquisition and partnership activity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40" w:before="40"/>
            </w:pPr>
            <w:r>
              <w:t xml:space="preserve">Contingency</w:t>
            </w:r>
          </w:p>
        </w:tc>
        <w:tc>
          <w:tcPr>
            <w:tcW w:w="0" w:type="auto"/>
            <w:vAlign w:val="center"/>
          </w:tcPr>
          <w:p>
            <w:pPr>
              <w:spacing w:after="40" w:before="40"/>
            </w:pPr>
            <w:r>
              <w:t xml:space="preserve">₱5,000</w:t>
            </w:r>
          </w:p>
        </w:tc>
        <w:tc>
          <w:tcPr>
            <w:tcW w:w="0" w:type="auto"/>
            <w:vAlign w:val="center"/>
          </w:tcPr>
          <w:p>
            <w:pPr>
              <w:spacing w:after="40" w:before="40"/>
            </w:pPr>
            <w:r>
              <w:t xml:space="preserve">Unanticipated pilot and technical expenses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40" w:before="40"/>
            </w:pPr>
            <w:r>
              <w:rPr>
                <w:b/>
              </w:rPr>
              <w:t xml:space="preserve">TOTAL</w:t>
            </w:r>
          </w:p>
        </w:tc>
        <w:tc>
          <w:tcPr>
            <w:tcW w:w="0" w:type="auto"/>
            <w:vAlign w:val="center"/>
          </w:tcPr>
          <w:p>
            <w:pPr>
              <w:spacing w:after="40" w:before="40"/>
            </w:pPr>
            <w:r>
              <w:rPr>
                <w:b/>
              </w:rPr>
              <w:t xml:space="preserve">₱150,000</w:t>
            </w:r>
          </w:p>
        </w:tc>
        <w:tc>
          <w:tcPr>
            <w:tcW w:w="0" w:type="auto"/>
            <w:vAlign w:val="center"/>
          </w:tcPr>
          <w:p>
            <w:pPr>
              <w:spacing w:after="40" w:before="40"/>
            </w:pPr>
            <w:r>
              <w:t xml:space="preserve"/>
            </w:r>
          </w:p>
        </w:tc>
      </w:tr>
    </w:tbl>
    <w:p>
      <w:pPr>
        <w:spacing w:after="80"/>
      </w:pPr>
    </w:p>
    <w:p>
      <w:r>
        <w:rPr>
          <w:b/>
        </w:rPr>
        <w:t xml:space="preserve">Allocation note.</w:t>
      </w:r>
      <w:r>
        <w:t xml:space="preserve"> Because the deterministic engine and core screens are already built and tested,</w:t>
      </w:r>
    </w:p>
    <w:p>
      <w:r>
        <w:t xml:space="preserve">a larger share of the pilot budget can go to </w:t>
      </w:r>
      <w:r>
        <w:rPr>
          <w:b/>
        </w:rPr>
        <w:t xml:space="preserve">field validation and onboarding</w:t>
      </w:r>
      <w:r>
        <w:t xml:space="preserve"> rather than</w:t>
      </w:r>
    </w:p>
    <w:p>
      <w:r>
        <w:t xml:space="preserve">foundational development. The ₱40,000 AI/speech line is the most exposed to the unit-economics risk</w:t>
      </w:r>
    </w:p>
    <w:p>
      <w:r>
        <w:t xml:space="preserve">described in Section VII and should be reviewed against actual pilot usage.</w:t>
      </w:r>
    </w:p>
    <w:p>
      <w:pPr>
        <w:pBdr>
          <w:bottom w:val="single" w:sz="6" w:space="1" w:color="94A3B8"/>
        </w:pBdr>
      </w:pPr>
    </w:p>
    <w:p>
      <w:pPr>
        <w:pStyle w:val="Heading2"/>
      </w:pPr>
      <w:r>
        <w:t xml:space="preserve">XI. VALIDATION STRATEGY</w:t>
      </w:r>
    </w:p>
    <w:p>
      <w:r>
        <w:t xml:space="preserve">Pilot approximately </w:t>
      </w:r>
      <w:r>
        <w:rPr>
          <w:b/>
        </w:rPr>
        <w:t xml:space="preserve">30–50 microenterprises for 8–12 weeks</w:t>
      </w:r>
      <w:r>
        <w:t xml:space="preserve">, measuring: record completeness; time</w:t>
      </w:r>
    </w:p>
    <w:p>
      <w:r>
        <w:t xml:space="preserve">to record a transaction; accuracy of computed profit; inventory discrepancies; uncollected</w:t>
      </w:r>
    </w:p>
    <w:p>
      <w:r>
        <w:t xml:space="preserve">receivables; stockout frequency; owner understanding of profit versus sales; frequency of</w:t>
      </w:r>
    </w:p>
    <w:p>
      <w:r>
        <w:t xml:space="preserve">recommendation adoption; retention; voice transaction accuracy; trust in explanations; and</w:t>
      </w:r>
    </w:p>
    <w:p>
      <w:r>
        <w:t xml:space="preserve">willingness to pay.</w:t>
      </w:r>
    </w:p>
    <w:p>
      <w:r>
        <w:t xml:space="preserve">The central validation question:</w:t>
      </w:r>
    </w:p>
    <w:p>
      <w:pPr>
        <w:pStyle w:val="Quote"/>
        <w:ind w:left="360"/>
      </w:pPr>
      <w:r>
        <w:t xml:space="preserve">**Can entrepreneurs make measurably better decisions with TimbangAI than with their previous</w:t>
      </w:r>
    </w:p>
    <w:p>
      <w:pPr>
        <w:pStyle w:val="Quote"/>
        <w:ind w:left="360"/>
      </w:pPr>
      <w:r>
        <w:t xml:space="preserve">notebook, calculator, spreadsheet or manual method?**</w:t>
      </w:r>
    </w:p>
    <w:p>
      <w:pPr>
        <w:pBdr>
          <w:bottom w:val="single" w:sz="6" w:space="1" w:color="94A3B8"/>
        </w:pBdr>
      </w:pPr>
    </w:p>
    <w:p>
      <w:pPr>
        <w:pStyle w:val="Heading2"/>
      </w:pPr>
      <w:r>
        <w:t xml:space="preserve">XII. LONG-TERM VISION</w:t>
      </w:r>
    </w:p>
    <w:p>
      <w:r>
        <w:t xml:space="preserve">Become the </w:t>
      </w:r>
      <w:r>
        <w:rPr>
          <w:b/>
        </w:rPr>
        <w:t xml:space="preserve">financial intelligence layer for Philippine microenterprise</w:t>
      </w:r>
      <w:r>
        <w:t xml:space="preserve">, rather than another POS</w:t>
      </w:r>
    </w:p>
    <w:p>
      <w:r>
        <w:t xml:space="preserve">vendor:</w:t>
      </w:r>
    </w:p>
    <w:p>
      <w:r>
        <w:t xml:space="preserve">**Digital Ledger → Business Twin → Conversational Business Intelligence → Predictive Intelligence →</w:t>
      </w:r>
    </w:p>
    <w:p>
      <w:r>
        <w:t xml:space="preserve">Decision Optimisation → Microenterprise Financial Intelligence Platform**</w:t>
      </w:r>
    </w:p>
    <w:p>
      <w:pPr>
        <w:pBdr>
          <w:bottom w:val="single" w:sz="6" w:space="1" w:color="94A3B8"/>
        </w:pBdr>
      </w:pPr>
    </w:p>
    <w:p>
      <w:pPr>
        <w:pStyle w:val="Heading2"/>
      </w:pPr>
      <w:r>
        <w:t xml:space="preserve">XIII. FINAL DEFINITION</w:t>
      </w:r>
    </w:p>
    <w:p>
      <w:pPr>
        <w:pStyle w:val="Quote"/>
        <w:ind w:left="360"/>
      </w:pPr>
      <w:r>
        <w:t xml:space="preserve">**TimbangAI is a voice-enabled, explainable financial decision copilot for Filipino</w:t>
      </w:r>
    </w:p>
    <w:p>
      <w:pPr>
        <w:pStyle w:val="Quote"/>
        <w:ind w:left="360"/>
      </w:pPr>
      <w:r>
        <w:t xml:space="preserve">microentrepreneurs. It transforms everyday sales, expenses, inventory, purchases and utang into a</w:t>
      </w:r>
    </w:p>
    <w:p>
      <w:pPr>
        <w:pStyle w:val="Quote"/>
        <w:ind w:left="360"/>
      </w:pPr>
      <w:r>
        <w:t xml:space="preserve">continuously updated Business Twin of the negosyo. Using deterministic financial calculations</w:t>
      </w:r>
    </w:p>
    <w:p>
      <w:pPr>
        <w:pStyle w:val="Quote"/>
        <w:ind w:left="360"/>
      </w:pPr>
      <w:r>
        <w:t xml:space="preserve">combined with AI-powered explanation and prediction, TimbangAI helps owners understand how much</w:t>
      </w:r>
    </w:p>
    <w:p>
      <w:pPr>
        <w:pStyle w:val="Quote"/>
        <w:ind w:left="360"/>
      </w:pPr>
      <w:r>
        <w:t xml:space="preserve">they actually earn, where their capital is located, why business performance changes, and what</w:t>
      </w:r>
    </w:p>
    <w:p>
      <w:pPr>
        <w:pStyle w:val="Quote"/>
        <w:ind w:left="360"/>
      </w:pPr>
      <w:r>
        <w:t xml:space="preserve">actions they should consider next.**</w:t>
      </w:r>
    </w:p>
    <w:p>
      <w:r>
        <w:rPr>
          <w:b/>
        </w:rPr>
        <w:t xml:space="preserve">Core pitch:</w:t>
      </w:r>
    </w:p>
    <w:p>
      <w:pPr>
        <w:pStyle w:val="Quote"/>
        <w:ind w:left="360"/>
      </w:pPr>
      <w:r>
        <w:t xml:space="preserve">## Hindi lang benta ang binibilang. Tinitimbang ang buong negosyo.</w:t>
      </w:r>
    </w:p>
    <w:p>
      <w:pPr>
        <w:pBdr>
          <w:bottom w:val="single" w:sz="6" w:space="1" w:color="94A3B8"/>
        </w:pBdr>
      </w:pPr>
    </w:p>
    <w:p>
      <w:pPr>
        <w:pStyle w:val="Heading2"/>
      </w:pPr>
      <w:r>
        <w:t xml:space="preserve">XIV. EVIDENCE BASE AND SOURCES</w:t>
      </w:r>
    </w:p>
    <w:p>
      <w:pPr>
        <w:ind w:left="360"/>
      </w:pPr>
      <w:r>
        <w:t xml:space="preserve">1. </w:t>
      </w:r>
      <w:r>
        <w:rPr>
          <w:b/>
        </w:rPr>
        <w:t xml:space="preserve">Philippine Information Agency, citing DTI/PSA 2024 MSME statistics</w:t>
      </w:r>
      <w:r>
        <w:t xml:space="preserve"> — scale and composition of</w:t>
      </w:r>
    </w:p>
    <w:p>
      <w:r>
        <w:t xml:space="preserve">Philippine MSMEs and microenterprises.</w:t>
      </w:r>
    </w:p>
    <w:p>
      <w:pPr>
        <w:ind w:left="360"/>
      </w:pPr>
      <w:r>
        <w:t xml:space="preserve">2. </w:t>
      </w:r>
      <w:r>
        <w:rPr>
          <w:b/>
        </w:rPr>
        <w:t xml:space="preserve">DTI, Baseline Survey on Digitalization of MSMEs in the Philippines (September 2020)</w:t>
      </w:r>
      <w:r>
        <w:t xml:space="preserve"> — MSME</w:t>
      </w:r>
    </w:p>
    <w:p>
      <w:r>
        <w:t xml:space="preserve">digital-adoption levels and capacity-building needs.</w:t>
      </w:r>
    </w:p>
    <w:p>
      <w:pPr>
        <w:ind w:left="360"/>
      </w:pPr>
      <w:r>
        <w:t xml:space="preserve">3. </w:t>
      </w:r>
      <w:r>
        <w:rPr>
          <w:b/>
        </w:rPr>
        <w:t xml:space="preserve">DTI, "Tindahan Mo, e-Level Up Mo!"</w:t>
      </w:r>
      <w:r>
        <w:t xml:space="preserve"> — national sari-sari store and MSME digitalisation effort.</w:t>
      </w:r>
    </w:p>
    <w:p>
      <w:pPr>
        <w:ind w:left="360"/>
      </w:pPr>
      <w:r>
        <w:t xml:space="preserve">4. </w:t>
      </w:r>
      <w:r>
        <w:rPr>
          <w:b/>
        </w:rPr>
        <w:t xml:space="preserve">Peddlr Philippines</w:t>
      </w:r>
      <w:r>
        <w:t xml:space="preserve"> — benchmark for POS, inventory, expense, ledger and offline capability;</w:t>
      </w:r>
    </w:p>
    <w:p>
      <w:r>
        <w:t xml:space="preserve">public statement of 2M+ stores served.</w:t>
      </w:r>
    </w:p>
    <w:p>
      <w:pPr>
        <w:ind w:left="360"/>
      </w:pPr>
      <w:r>
        <w:t xml:space="preserve">5. </w:t>
      </w:r>
      <w:r>
        <w:rPr>
          <w:b/>
        </w:rPr>
        <w:t xml:space="preserve">DOST-PCIEERD / Packworks</w:t>
      </w:r>
      <w:r>
        <w:t xml:space="preserve"> — benchmark for sari-sari store inventory, sales, utang, business</w:t>
      </w:r>
    </w:p>
    <w:p>
      <w:r>
        <w:t xml:space="preserve">intelligence and ML recommendation work; network reported at 270k+ stores.</w:t>
      </w:r>
    </w:p>
    <w:p>
      <w:pPr>
        <w:ind w:left="360"/>
      </w:pPr>
      <w:r>
        <w:t xml:space="preserve">6. </w:t>
      </w:r>
      <w:r>
        <w:rPr>
          <w:b/>
        </w:rPr>
        <w:t xml:space="preserve">Lista PH</w:t>
      </w:r>
      <w:r>
        <w:t xml:space="preserve"> — comparison for business-finance, expense, receivable and bookkeeping applications.</w:t>
      </w:r>
    </w:p>
    <w:p>
      <w:pPr>
        <w:ind w:left="360"/>
      </w:pPr>
      <w:r>
        <w:t xml:space="preserve">7. </w:t>
      </w:r>
      <w:r>
        <w:rPr>
          <w:b/>
        </w:rPr>
        <w:t xml:space="preserve">StoreHub Philippines</w:t>
      </w:r>
      <w:r>
        <w:t xml:space="preserve"> — comparison for full POS, reporting, inventory and analytics.</w:t>
      </w:r>
    </w:p>
    <w:p>
      <w:pPr>
        <w:ind w:left="360"/>
      </w:pPr>
      <w:r>
        <w:t xml:space="preserve">8. </w:t>
      </w:r>
      <w:r>
        <w:rPr>
          <w:b/>
        </w:rPr>
        <w:t xml:space="preserve">DICT, Philippine Startup Challenge XI</w:t>
      </w:r>
      <w:r>
        <w:t xml:space="preserve"> — competition mechanics and timeline.</w:t>
      </w:r>
    </w:p>
    <w:p>
      <w:pPr>
        <w:ind w:left="360"/>
      </w:pPr>
      <w:r>
        <w:t xml:space="preserve">9. </w:t>
      </w:r>
      <w:r>
        <w:rPr>
          <w:b/>
        </w:rPr>
        <w:t xml:space="preserve">Published 2026 automatic speech recognition benchmarks and pricing</w:t>
      </w:r>
      <w:r>
        <w:t xml:space="preserve"> — FLEURS/BABEL word-error</w:t>
      </w:r>
    </w:p>
    <w:p>
      <w:r>
        <w:t xml:space="preserve">rates for Filipino models; Whisper-family hallucination behaviour (ACM FAccT 2024); and per-minute</w:t>
      </w:r>
    </w:p>
    <w:p>
      <w:r>
        <w:t xml:space="preserve">transcription pricing for Whisper-class, Google Cloud STT and AWS Transcribe.</w:t>
      </w:r>
    </w:p>
    <w:p>
      <w:r>
        <w:rPr>
          <w:b/>
        </w:rPr>
        <w:t xml:space="preserve">Important:</w:t>
      </w:r>
      <w:r>
        <w:t xml:space="preserve"> the Business Twin, Timbang Score, Voice-to-Business-Record, Ask My Negosyo, Capital</w:t>
      </w:r>
    </w:p>
    <w:p>
      <w:r>
        <w:t xml:space="preserve">Intelligence, "Nasaan ang Puhunan Ko?", the pricing model, the validation targets and the proposed</w:t>
      </w:r>
    </w:p>
    <w:p>
      <w:r>
        <w:t xml:space="preserve">architecture are </w:t>
      </w:r>
      <w:r>
        <w:rPr>
          <w:b/>
        </w:rPr>
        <w:t xml:space="preserve">TimbangAI design elements</w:t>
      </w:r>
      <w:r>
        <w:t xml:space="preserve">, not claims sourced from the competing products above.</w:t>
      </w:r>
    </w:p>
    <w:sectPr>
      <w:pgSz w:w="11906" w:h="16838"/>
      <w:pgMar w:top="1134" w:right="1134" w:bottom="1134" w:left="1134" w:header="709" w:footer="709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</w:rPr>
    </w:rPrDefault>
    <w:pPrDefault>
      <w:pPr>
        <w:spacing w:after="140" w:line="276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qFormat/>
    <w:pPr>
      <w:spacing w:before="0" w:after="200"/>
    </w:pPr>
    <w:rPr>
      <w:b/>
      <w:color w:val="0F766E"/>
      <w:sz w:val="48"/>
      <w:szCs w:val="48"/>
    </w:rPr>
  </w:style>
  <w:style w:type="paragraph" w:styleId="Heading1">
    <w:name w:val="heading 1"/>
    <w:basedOn w:val="Normal"/>
    <w:qFormat/>
    <w:pPr>
      <w:spacing w:before="360" w:after="160"/>
    </w:pPr>
    <w:rPr>
      <w:b/>
      <w:color w:val="0F766E"/>
      <w:sz w:val="32"/>
      <w:szCs w:val="32"/>
    </w:rPr>
  </w:style>
  <w:style w:type="paragraph" w:styleId="Heading2">
    <w:name w:val="heading 2"/>
    <w:basedOn w:val="Normal"/>
    <w:qFormat/>
    <w:pPr>
      <w:spacing w:before="280" w:after="120"/>
    </w:pPr>
    <w:rPr>
      <w:b/>
      <w:color w:val="115E59"/>
      <w:sz w:val="26"/>
      <w:szCs w:val="26"/>
    </w:rPr>
  </w:style>
  <w:style w:type="paragraph" w:styleId="Heading3">
    <w:name w:val="heading 3"/>
    <w:basedOn w:val="Normal"/>
    <w:qFormat/>
    <w:pPr>
      <w:spacing w:before="240" w:after="100"/>
    </w:pPr>
    <w:rPr>
      <w:b/>
      <w:color w:val="134E4A"/>
      <w:sz w:val="23"/>
      <w:szCs w:val="23"/>
    </w:rPr>
  </w:style>
  <w:style w:type="paragraph" w:styleId="Quote">
    <w:name w:val="Quote"/>
    <w:basedOn w:val="Normal"/>
    <w:qFormat/>
    <w:pPr>
      <w:spacing w:before="160" w:after="160"/>
    </w:pPr>
    <w:rPr>
      <w:color w:val="334155"/>
      <w:sz w:val="22"/>
      <w:szCs w:val="22"/>
    </w:rPr>
  </w:style>
  <w:style w:type="paragraph" w:styleId="Code">
    <w:name w:val="Code"/>
    <w:basedOn w:val="Normal"/>
    <w:qFormat/>
    <w:pPr>
      <w:spacing w:before="0" w:after="0"/>
    </w:pPr>
    <w:rPr>
      <w:color w:val="0F172A"/>
      <w:sz w:val="19"/>
      <w:szCs w:val="19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
</file>

<file path=docProps/core.xml><?xml version="1.0" encoding="utf-8"?>
<cp:coreProperties xmlns:cp="http://schemas.openxmlformats.org/package/2006/metadata/core-properties" xmlns:dc="http://purl.org/dc/elements/1.1/">
  <dc:title>TimbangAI — PSC XI Concept Note</dc:title>
  <dc:subject>Philippine Startup Challenge XI</dc:subject>
</cp:coreProperties>
</file>