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CLI Action Tool Integration Guide</w:t>
      </w:r>
    </w:p>
    <w:bookmarkStart w:id="9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Provide a practical guide for adding or extending chores commands in</w:t>
      </w:r>
      <w:r>
        <w:t xml:space="preserve"> </w:t>
      </w:r>
      <w:r>
        <w:rPr>
          <w:rStyle w:val="VerbatimChar"/>
        </w:rPr>
        <w:t xml:space="preserve">cdx-chores</w:t>
      </w:r>
      <w:r>
        <w:t xml:space="preserve"> </w:t>
      </w:r>
      <w:r>
        <w:t xml:space="preserve">using the current command/action structure, with clear boundaries for external tools and Codex SDK adapters.</w:t>
      </w:r>
    </w:p>
    <w:bookmarkEnd w:id="9"/>
    <w:bookmarkStart w:id="10" w:name="current-integration-pattern-recommended"/>
    <w:p>
      <w:pPr>
        <w:pStyle w:val="Heading2"/>
      </w:pPr>
      <w:r>
        <w:t xml:space="preserve">Current Integration Pattern (Recommended)</w:t>
      </w:r>
    </w:p>
    <w:p>
      <w:pPr>
        <w:pStyle w:val="FirstParagraph"/>
      </w:pPr>
      <w:r>
        <w:t xml:space="preserve">Use this flow for new features:</w:t>
      </w:r>
    </w:p>
    <w:p>
      <w:pPr>
        <w:pStyle w:val="Compact"/>
        <w:numPr>
          <w:ilvl w:val="0"/>
          <w:numId w:val="1001"/>
        </w:numPr>
      </w:pPr>
      <w:r>
        <w:t xml:space="preserve">CLI command parsing in</w:t>
      </w:r>
      <w:r>
        <w:t xml:space="preserve"> </w:t>
      </w:r>
      <w:r>
        <w:rPr>
          <w:rStyle w:val="VerbatimChar"/>
        </w:rPr>
        <w:t xml:space="preserve">src/command.ts</w:t>
      </w:r>
    </w:p>
    <w:p>
      <w:pPr>
        <w:pStyle w:val="Compact"/>
        <w:numPr>
          <w:ilvl w:val="0"/>
          <w:numId w:val="1001"/>
        </w:numPr>
      </w:pPr>
      <w:r>
        <w:t xml:space="preserve">User input collection in</w:t>
      </w:r>
      <w:r>
        <w:t xml:space="preserve"> </w:t>
      </w:r>
      <w:r>
        <w:rPr>
          <w:rStyle w:val="VerbatimChar"/>
        </w:rPr>
        <w:t xml:space="preserve">src/cli/interactive.ts</w:t>
      </w:r>
      <w:r>
        <w:t xml:space="preserve"> </w:t>
      </w:r>
      <w:r>
        <w:t xml:space="preserve">(if interactive path is supported)</w:t>
      </w:r>
    </w:p>
    <w:p>
      <w:pPr>
        <w:pStyle w:val="Compact"/>
        <w:numPr>
          <w:ilvl w:val="0"/>
          <w:numId w:val="1001"/>
        </w:numPr>
      </w:pPr>
      <w:r>
        <w:t xml:space="preserve">Shared action orchestration in</w:t>
      </w:r>
      <w:r>
        <w:t xml:space="preserve"> </w:t>
      </w:r>
      <w:r>
        <w:rPr>
          <w:rStyle w:val="VerbatimChar"/>
        </w:rPr>
        <w:t xml:space="preserve">src/cli/actions/*.ts</w:t>
      </w:r>
    </w:p>
    <w:p>
      <w:pPr>
        <w:pStyle w:val="Compact"/>
        <w:numPr>
          <w:ilvl w:val="0"/>
          <w:numId w:val="1001"/>
        </w:numPr>
      </w:pPr>
      <w:r>
        <w:t xml:space="preserve">Tool/system execution via existing helpers/adapters (for example</w:t>
      </w:r>
      <w:r>
        <w:t xml:space="preserve"> </w:t>
      </w:r>
      <w:r>
        <w:rPr>
          <w:rStyle w:val="VerbatimChar"/>
        </w:rPr>
        <w:t xml:space="preserve">src/cli/deps.ts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src/cli/process.ts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src/cli/fs-utils.ts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Reusable pure helpers in</w:t>
      </w:r>
      <w:r>
        <w:t xml:space="preserve"> </w:t>
      </w:r>
      <w:r>
        <w:rPr>
          <w:rStyle w:val="VerbatimChar"/>
        </w:rPr>
        <w:t xml:space="preserve">src/utils/**</w:t>
      </w:r>
      <w:r>
        <w:t xml:space="preserve"> </w:t>
      </w:r>
      <w:r>
        <w:t xml:space="preserve">only when they are truly generic</w:t>
      </w:r>
    </w:p>
    <w:bookmarkEnd w:id="10"/>
    <w:bookmarkStart w:id="15" w:name="file-placement-guidelines"/>
    <w:p>
      <w:pPr>
        <w:pStyle w:val="Heading2"/>
      </w:pPr>
      <w:r>
        <w:t xml:space="preserve">File Placement Guidelines</w:t>
      </w:r>
    </w:p>
    <w:bookmarkStart w:id="11" w:name="command-wiring"/>
    <w:p>
      <w:pPr>
        <w:pStyle w:val="Heading3"/>
      </w:pPr>
      <w:r>
        <w:t xml:space="preserve">Command wiring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src/command.ts</w:t>
      </w:r>
      <w:r>
        <w:t xml:space="preserve"> </w:t>
      </w:r>
      <w:r>
        <w:t xml:space="preserve">for:</w:t>
      </w:r>
    </w:p>
    <w:p>
      <w:pPr>
        <w:pStyle w:val="Compact"/>
        <w:numPr>
          <w:ilvl w:val="1"/>
          <w:numId w:val="1003"/>
        </w:numPr>
      </w:pPr>
      <w:r>
        <w:t xml:space="preserve">command tree definitions</w:t>
      </w:r>
    </w:p>
    <w:p>
      <w:pPr>
        <w:pStyle w:val="Compact"/>
        <w:numPr>
          <w:ilvl w:val="1"/>
          <w:numId w:val="1003"/>
        </w:numPr>
      </w:pPr>
      <w:r>
        <w:t xml:space="preserve">flag parsing</w:t>
      </w:r>
    </w:p>
    <w:p>
      <w:pPr>
        <w:pStyle w:val="Compact"/>
        <w:numPr>
          <w:ilvl w:val="1"/>
          <w:numId w:val="1003"/>
        </w:numPr>
      </w:pPr>
      <w:r>
        <w:t xml:space="preserve">aliases</w:t>
      </w:r>
    </w:p>
    <w:p>
      <w:pPr>
        <w:pStyle w:val="Compact"/>
        <w:numPr>
          <w:ilvl w:val="1"/>
          <w:numId w:val="1003"/>
        </w:numPr>
      </w:pPr>
      <w:r>
        <w:t xml:space="preserve">dispatch into action functions</w:t>
      </w:r>
    </w:p>
    <w:bookmarkEnd w:id="11"/>
    <w:bookmarkStart w:id="12" w:name="interactive-prompts"/>
    <w:p>
      <w:pPr>
        <w:pStyle w:val="Heading3"/>
      </w:pPr>
      <w:r>
        <w:t xml:space="preserve">Interactive prompts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src/cli/interactive.ts</w:t>
      </w:r>
      <w:r>
        <w:t xml:space="preserve"> </w:t>
      </w:r>
      <w:r>
        <w:t xml:space="preserve">for:</w:t>
      </w:r>
    </w:p>
    <w:p>
      <w:pPr>
        <w:pStyle w:val="Compact"/>
        <w:numPr>
          <w:ilvl w:val="1"/>
          <w:numId w:val="1005"/>
        </w:numPr>
      </w:pPr>
      <w:r>
        <w:t xml:space="preserve">prompt UX only</w:t>
      </w:r>
    </w:p>
    <w:p>
      <w:pPr>
        <w:pStyle w:val="Compact"/>
        <w:numPr>
          <w:ilvl w:val="1"/>
          <w:numId w:val="1005"/>
        </w:numPr>
      </w:pPr>
      <w:r>
        <w:t xml:space="preserve">collecting inputs and confirming options</w:t>
      </w:r>
    </w:p>
    <w:p>
      <w:pPr>
        <w:pStyle w:val="Compact"/>
        <w:numPr>
          <w:ilvl w:val="1"/>
          <w:numId w:val="1005"/>
        </w:numPr>
      </w:pPr>
      <w:r>
        <w:t xml:space="preserve">dispatching to the same action functions used by CLI flag mode</w:t>
      </w:r>
    </w:p>
    <w:p>
      <w:pPr>
        <w:pStyle w:val="FirstParagraph"/>
      </w:pPr>
      <w:r>
        <w:t xml:space="preserve">Do not duplicate business logic in interactive mode.</w:t>
      </w:r>
    </w:p>
    <w:bookmarkEnd w:id="12"/>
    <w:bookmarkStart w:id="13" w:name="actions-orchestration-layer"/>
    <w:p>
      <w:pPr>
        <w:pStyle w:val="Heading3"/>
      </w:pPr>
      <w:r>
        <w:t xml:space="preserve">Actions (orchestration layer)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src/cli/actions/*.ts</w:t>
      </w:r>
      <w:r>
        <w:t xml:space="preserve"> </w:t>
      </w:r>
      <w:r>
        <w:t xml:space="preserve">for:</w:t>
      </w:r>
    </w:p>
    <w:p>
      <w:pPr>
        <w:pStyle w:val="Compact"/>
        <w:numPr>
          <w:ilvl w:val="1"/>
          <w:numId w:val="1007"/>
        </w:numPr>
      </w:pPr>
      <w:r>
        <w:t xml:space="preserve">validating action-level inputs</w:t>
      </w:r>
    </w:p>
    <w:p>
      <w:pPr>
        <w:pStyle w:val="Compact"/>
        <w:numPr>
          <w:ilvl w:val="1"/>
          <w:numId w:val="1007"/>
        </w:numPr>
      </w:pPr>
      <w:r>
        <w:t xml:space="preserve">coordinating file/process/dependency helpers</w:t>
      </w:r>
    </w:p>
    <w:p>
      <w:pPr>
        <w:pStyle w:val="Compact"/>
        <w:numPr>
          <w:ilvl w:val="1"/>
          <w:numId w:val="1007"/>
        </w:numPr>
      </w:pPr>
      <w:r>
        <w:t xml:space="preserve">shaping user-facing output</w:t>
      </w:r>
    </w:p>
    <w:p>
      <w:pPr>
        <w:pStyle w:val="Compact"/>
        <w:numPr>
          <w:ilvl w:val="1"/>
          <w:numId w:val="1007"/>
        </w:numPr>
      </w:pPr>
      <w:r>
        <w:t xml:space="preserve">sequencing multiple steps in a chore workflow</w:t>
      </w:r>
    </w:p>
    <w:p>
      <w:pPr>
        <w:pStyle w:val="FirstParagraph"/>
      </w:pPr>
      <w:r>
        <w:t xml:space="preserve">Avoid direct SDK/tool-client complexity inside action modules when an adapter boundary is appropriate.</w:t>
      </w:r>
    </w:p>
    <w:bookmarkEnd w:id="13"/>
    <w:bookmarkStart w:id="14" w:name="external-tool-wrappers"/>
    <w:p>
      <w:pPr>
        <w:pStyle w:val="Heading3"/>
      </w:pPr>
      <w:r>
        <w:t xml:space="preserve">External tool wrappers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src/cli/deps.ts</w:t>
      </w:r>
      <w:r>
        <w:t xml:space="preserve"> </w:t>
      </w:r>
      <w:r>
        <w:t xml:space="preserve">for:</w:t>
      </w:r>
    </w:p>
    <w:p>
      <w:pPr>
        <w:pStyle w:val="Compact"/>
        <w:numPr>
          <w:ilvl w:val="1"/>
          <w:numId w:val="1009"/>
        </w:numPr>
      </w:pPr>
      <w:r>
        <w:t xml:space="preserve">dependency inspection and install hints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src/cli/process.ts</w:t>
      </w:r>
      <w:r>
        <w:t xml:space="preserve"> </w:t>
      </w:r>
      <w:r>
        <w:t xml:space="preserve">for:</w:t>
      </w:r>
    </w:p>
    <w:p>
      <w:pPr>
        <w:pStyle w:val="Compact"/>
        <w:numPr>
          <w:ilvl w:val="1"/>
          <w:numId w:val="1010"/>
        </w:numPr>
      </w:pPr>
      <w:r>
        <w:t xml:space="preserve">process execution helpers</w:t>
      </w:r>
    </w:p>
    <w:p>
      <w:pPr>
        <w:pStyle w:val="Compact"/>
        <w:numPr>
          <w:ilvl w:val="0"/>
          <w:numId w:val="1008"/>
        </w:numPr>
      </w:pPr>
      <w:r>
        <w:t xml:space="preserve">Add focused adapters when logic grows:</w:t>
      </w:r>
    </w:p>
    <w:p>
      <w:pPr>
        <w:pStyle w:val="Compact"/>
        <w:numPr>
          <w:ilvl w:val="1"/>
          <w:numId w:val="1011"/>
        </w:numPr>
      </w:pPr>
      <w:r>
        <w:t xml:space="preserve">example future path:</w:t>
      </w:r>
      <w:r>
        <w:t xml:space="preserve"> </w:t>
      </w:r>
      <w:r>
        <w:rPr>
          <w:rStyle w:val="VerbatimChar"/>
        </w:rPr>
        <w:t xml:space="preserve">src/adapters/codex/**</w:t>
      </w:r>
    </w:p>
    <w:p>
      <w:pPr>
        <w:pStyle w:val="Compact"/>
        <w:numPr>
          <w:ilvl w:val="1"/>
          <w:numId w:val="1011"/>
        </w:numPr>
      </w:pPr>
      <w:r>
        <w:t xml:space="preserve">example future path:</w:t>
      </w:r>
      <w:r>
        <w:t xml:space="preserve"> </w:t>
      </w:r>
      <w:r>
        <w:rPr>
          <w:rStyle w:val="VerbatimChar"/>
        </w:rPr>
        <w:t xml:space="preserve">src/adapters/tools/**</w:t>
      </w:r>
      <w:r>
        <w:t xml:space="preserve"> </w:t>
      </w:r>
      <w:r>
        <w:t xml:space="preserve">(if wrappers outgrow</w:t>
      </w:r>
      <w:r>
        <w:t xml:space="preserve"> </w:t>
      </w:r>
      <w:r>
        <w:rPr>
          <w:rStyle w:val="VerbatimChar"/>
        </w:rPr>
        <w:t xml:space="preserve">src/cli/*</w:t>
      </w:r>
      <w:r>
        <w:t xml:space="preserve">)</w:t>
      </w:r>
    </w:p>
    <w:bookmarkEnd w:id="14"/>
    <w:bookmarkEnd w:id="15"/>
    <w:bookmarkStart w:id="16" w:name="Xaaadea65f2ec0bcf1a5af2deffca5dfb76eee06"/>
    <w:p>
      <w:pPr>
        <w:pStyle w:val="Heading2"/>
      </w:pPr>
      <w:r>
        <w:t xml:space="preserve">Codex SDK Integration Guidance (Current + Planned)</w:t>
      </w:r>
    </w:p>
    <w:p>
      <w:pPr>
        <w:pStyle w:val="FirstParagraph"/>
      </w:pPr>
      <w:r>
        <w:rPr>
          <w:rStyle w:val="VerbatimChar"/>
        </w:rPr>
        <w:t xml:space="preserve">@openai/codex-sdk</w:t>
      </w:r>
      <w:r>
        <w:t xml:space="preserve"> </w:t>
      </w:r>
      <w:r>
        <w:t xml:space="preserve">is now used in runtime code for rename-time semantic image title suggestions via</w:t>
      </w:r>
      <w:r>
        <w:t xml:space="preserve"> </w:t>
      </w:r>
      <w:r>
        <w:rPr>
          <w:rStyle w:val="VerbatimChar"/>
        </w:rPr>
        <w:t xml:space="preserve">src/adapters/codex/image-rename-titles.ts</w:t>
      </w:r>
      <w:r>
        <w:t xml:space="preserve">.</w:t>
      </w:r>
    </w:p>
    <w:p>
      <w:pPr>
        <w:pStyle w:val="BodyText"/>
      </w:pPr>
      <w:r>
        <w:t xml:space="preserve">When adding or expanding Codex-backed features:</w:t>
      </w:r>
    </w:p>
    <w:p>
      <w:pPr>
        <w:pStyle w:val="Compact"/>
        <w:numPr>
          <w:ilvl w:val="0"/>
          <w:numId w:val="1012"/>
        </w:numPr>
      </w:pPr>
      <w:r>
        <w:t xml:space="preserve">Keep SDK calls out of</w:t>
      </w:r>
      <w:r>
        <w:t xml:space="preserve"> </w:t>
      </w:r>
      <w:r>
        <w:rPr>
          <w:rStyle w:val="VerbatimChar"/>
        </w:rPr>
        <w:t xml:space="preserve">src/command.ts</w:t>
      </w:r>
    </w:p>
    <w:p>
      <w:pPr>
        <w:pStyle w:val="Compact"/>
        <w:numPr>
          <w:ilvl w:val="0"/>
          <w:numId w:val="1012"/>
        </w:numPr>
      </w:pPr>
      <w:r>
        <w:t xml:space="preserve">Prefer keeping SDK calls out of</w:t>
      </w:r>
      <w:r>
        <w:t xml:space="preserve"> </w:t>
      </w:r>
      <w:r>
        <w:rPr>
          <w:rStyle w:val="VerbatimChar"/>
        </w:rPr>
        <w:t xml:space="preserve">src/cli/actions/*.ts</w:t>
      </w:r>
      <w:r>
        <w:t xml:space="preserve"> </w:t>
      </w:r>
      <w:r>
        <w:t xml:space="preserve">unless the action remains very thin</w:t>
      </w:r>
    </w:p>
    <w:p>
      <w:pPr>
        <w:pStyle w:val="Compact"/>
        <w:numPr>
          <w:ilvl w:val="0"/>
          <w:numId w:val="1012"/>
        </w:numPr>
      </w:pPr>
      <w:r>
        <w:t xml:space="preserve">Add an adapter boundary for:</w:t>
      </w:r>
    </w:p>
    <w:p>
      <w:pPr>
        <w:pStyle w:val="Compact"/>
        <w:numPr>
          <w:ilvl w:val="1"/>
          <w:numId w:val="1013"/>
        </w:numPr>
      </w:pPr>
      <w:r>
        <w:t xml:space="preserve">prompt construction</w:t>
      </w:r>
    </w:p>
    <w:p>
      <w:pPr>
        <w:pStyle w:val="Compact"/>
        <w:numPr>
          <w:ilvl w:val="1"/>
          <w:numId w:val="1013"/>
        </w:numPr>
      </w:pPr>
      <w:r>
        <w:t xml:space="preserve">response parsing</w:t>
      </w:r>
    </w:p>
    <w:p>
      <w:pPr>
        <w:pStyle w:val="Compact"/>
        <w:numPr>
          <w:ilvl w:val="1"/>
          <w:numId w:val="1013"/>
        </w:numPr>
      </w:pPr>
      <w:r>
        <w:t xml:space="preserve">retry/timeout handling</w:t>
      </w:r>
    </w:p>
    <w:p>
      <w:pPr>
        <w:pStyle w:val="Compact"/>
        <w:numPr>
          <w:ilvl w:val="1"/>
          <w:numId w:val="1013"/>
        </w:numPr>
      </w:pPr>
      <w:r>
        <w:t xml:space="preserve">fallback behavior</w:t>
      </w:r>
    </w:p>
    <w:p>
      <w:pPr>
        <w:pStyle w:val="Compact"/>
        <w:numPr>
          <w:ilvl w:val="1"/>
          <w:numId w:val="1013"/>
        </w:numPr>
      </w:pPr>
      <w:r>
        <w:t xml:space="preserve">capability/eligibility checks (when modality/file-type scope matters)</w:t>
      </w:r>
    </w:p>
    <w:p>
      <w:pPr>
        <w:pStyle w:val="FirstParagraph"/>
      </w:pPr>
      <w:r>
        <w:t xml:space="preserve">Recommended shape for image rename assistance:</w:t>
      </w:r>
    </w:p>
    <w:p>
      <w:pPr>
        <w:pStyle w:val="Compact"/>
        <w:numPr>
          <w:ilvl w:val="0"/>
          <w:numId w:val="1014"/>
        </w:numPr>
      </w:pPr>
      <w:r>
        <w:t xml:space="preserve">action module (</w:t>
      </w:r>
      <w:r>
        <w:rPr>
          <w:rStyle w:val="VerbatimChar"/>
        </w:rPr>
        <w:t xml:space="preserve">src/cli/actions/rename.ts</w:t>
      </w:r>
      <w:r>
        <w:t xml:space="preserve">) asks a Codex adapter for semantic title suggestions</w:t>
      </w:r>
    </w:p>
    <w:p>
      <w:pPr>
        <w:pStyle w:val="Compact"/>
        <w:numPr>
          <w:ilvl w:val="0"/>
          <w:numId w:val="1014"/>
        </w:numPr>
      </w:pPr>
      <w:r>
        <w:t xml:space="preserve">Codex adapter returns normalized structured suggestions (not raw SDK responses)</w:t>
      </w:r>
    </w:p>
    <w:p>
      <w:pPr>
        <w:pStyle w:val="Compact"/>
        <w:numPr>
          <w:ilvl w:val="0"/>
          <w:numId w:val="1014"/>
        </w:numPr>
      </w:pPr>
      <w:r>
        <w:t xml:space="preserve">action applies deterministic slug/length/collision handling before file operations</w:t>
      </w:r>
    </w:p>
    <w:bookmarkEnd w:id="16"/>
    <w:bookmarkStart w:id="17" w:name="Xf64e71a4be17d9b904e697d965c3fe44af075e9"/>
    <w:p>
      <w:pPr>
        <w:pStyle w:val="Heading2"/>
      </w:pPr>
      <w:r>
        <w:t xml:space="preserve">Rename-Specific Integration Guidance (Important)</w:t>
      </w:r>
    </w:p>
    <w:p>
      <w:pPr>
        <w:pStyle w:val="FirstParagraph"/>
      </w:pPr>
      <w:r>
        <w:t xml:space="preserve">Rename flows now combine multiple concerns that should remain explicitly separated:</w:t>
      </w:r>
    </w:p>
    <w:p>
      <w:pPr>
        <w:pStyle w:val="Compact"/>
        <w:numPr>
          <w:ilvl w:val="0"/>
          <w:numId w:val="1015"/>
        </w:numPr>
      </w:pPr>
      <w:r>
        <w:t xml:space="preserve">file selection scope (profiles, extensions, regex)</w:t>
      </w:r>
    </w:p>
    <w:p>
      <w:pPr>
        <w:pStyle w:val="Compact"/>
        <w:numPr>
          <w:ilvl w:val="0"/>
          <w:numId w:val="1015"/>
        </w:numPr>
      </w:pPr>
      <w:r>
        <w:t xml:space="preserve">rename formatting (prefix/pattern/timestamp/stem)</w:t>
      </w:r>
    </w:p>
    <w:p>
      <w:pPr>
        <w:pStyle w:val="Compact"/>
        <w:numPr>
          <w:ilvl w:val="0"/>
          <w:numId w:val="1015"/>
        </w:numPr>
      </w:pPr>
      <w:r>
        <w:t xml:space="preserve">safety behavior (dry-run/apply replay, traversal limits, hidden/system-file defaults)</w:t>
      </w:r>
    </w:p>
    <w:p>
      <w:pPr>
        <w:pStyle w:val="Compact"/>
        <w:numPr>
          <w:ilvl w:val="0"/>
          <w:numId w:val="1015"/>
        </w:numPr>
      </w:pPr>
      <w:r>
        <w:t xml:space="preserve">optional semantic analyzers (for example Codex-assisted title suggestions)</w:t>
      </w:r>
    </w:p>
    <w:p>
      <w:pPr>
        <w:pStyle w:val="FirstParagraph"/>
      </w:pPr>
      <w:r>
        <w:t xml:space="preserve">Recommended boundary for rename work: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src/cli/actions/rename.ts</w:t>
      </w:r>
    </w:p>
    <w:p>
      <w:pPr>
        <w:pStyle w:val="Compact"/>
        <w:numPr>
          <w:ilvl w:val="1"/>
          <w:numId w:val="1017"/>
        </w:numPr>
      </w:pPr>
      <w:r>
        <w:t xml:space="preserve">orchestration, user-facing summaries, dry-run/apply flow, deterministic fallback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src/adapters/codex/**</w:t>
      </w:r>
    </w:p>
    <w:p>
      <w:pPr>
        <w:pStyle w:val="Compact"/>
        <w:numPr>
          <w:ilvl w:val="1"/>
          <w:numId w:val="1018"/>
        </w:numPr>
      </w:pPr>
      <w:r>
        <w:t xml:space="preserve">Codex-specific analyzer implementations (prompting/parsing/retries/timeouts)</w:t>
      </w:r>
    </w:p>
    <w:p>
      <w:pPr>
        <w:pStyle w:val="Compact"/>
        <w:numPr>
          <w:ilvl w:val="0"/>
          <w:numId w:val="1016"/>
        </w:numPr>
      </w:pPr>
      <w:r>
        <w:t xml:space="preserve">future analyzer capability registry (rename-specific)</w:t>
      </w:r>
    </w:p>
    <w:p>
      <w:pPr>
        <w:pStyle w:val="Compact"/>
        <w:numPr>
          <w:ilvl w:val="1"/>
          <w:numId w:val="1019"/>
        </w:numPr>
      </w:pPr>
      <w:r>
        <w:t xml:space="preserve">maps file types to analyzer eligibility and skip reasons</w:t>
      </w:r>
    </w:p>
    <w:p>
      <w:pPr>
        <w:pStyle w:val="Compact"/>
        <w:numPr>
          <w:ilvl w:val="1"/>
          <w:numId w:val="1019"/>
        </w:numPr>
      </w:pPr>
      <w:r>
        <w:t xml:space="preserve">keeps</w:t>
      </w:r>
      <w:r>
        <w:t xml:space="preserve"> </w:t>
      </w:r>
      <w:r>
        <w:t xml:space="preserve">“rename works”</w:t>
      </w:r>
      <w:r>
        <w:t xml:space="preserve"> </w:t>
      </w:r>
      <w:r>
        <w:t xml:space="preserve">separate from</w:t>
      </w:r>
      <w:r>
        <w:t xml:space="preserve"> </w:t>
      </w:r>
      <w:r>
        <w:t xml:space="preserve">“semantic analyzer can analyze”</w:t>
      </w:r>
    </w:p>
    <w:p>
      <w:pPr>
        <w:pStyle w:val="FirstParagraph"/>
      </w:pPr>
      <w:r>
        <w:t xml:space="preserve">Design rule for rename:</w:t>
      </w:r>
    </w:p>
    <w:p>
      <w:pPr>
        <w:pStyle w:val="Compact"/>
        <w:numPr>
          <w:ilvl w:val="0"/>
          <w:numId w:val="1020"/>
        </w:numPr>
      </w:pPr>
      <w:r>
        <w:t xml:space="preserve">deterministic rename planning must remain usable for all scoped files, even when analyzers are unsupported, skipped, or failing</w:t>
      </w:r>
    </w:p>
    <w:p>
      <w:pPr>
        <w:pStyle w:val="FirstParagraph"/>
      </w:pPr>
      <w:r>
        <w:t xml:space="preserve">Current scope note:</w:t>
      </w:r>
    </w:p>
    <w:p>
      <w:pPr>
        <w:pStyle w:val="Compact"/>
        <w:numPr>
          <w:ilvl w:val="0"/>
          <w:numId w:val="1021"/>
        </w:numPr>
      </w:pPr>
      <w:r>
        <w:t xml:space="preserve">Codex semantic rename in this project is currently limited to supported static image files</w:t>
      </w:r>
    </w:p>
    <w:p>
      <w:pPr>
        <w:pStyle w:val="Compact"/>
        <w:numPr>
          <w:ilvl w:val="0"/>
          <w:numId w:val="1021"/>
        </w:numPr>
      </w:pPr>
      <w:r>
        <w:t xml:space="preserve">audio/video semantic analysis is deferred for Codex-assisted rename based on current Codex model support docs</w:t>
      </w:r>
    </w:p>
    <w:p>
      <w:pPr>
        <w:pStyle w:val="Compact"/>
        <w:numPr>
          <w:ilvl w:val="0"/>
          <w:numId w:val="1021"/>
        </w:numPr>
      </w:pPr>
      <w:r>
        <w:t xml:space="preserve">docs-like semantic analysis is a future analyzer path and should not be implied by</w:t>
      </w:r>
      <w:r>
        <w:t xml:space="preserve"> </w:t>
      </w:r>
      <w:r>
        <w:rPr>
          <w:rStyle w:val="VerbatimChar"/>
        </w:rPr>
        <w:t xml:space="preserve">--codex-images</w:t>
      </w:r>
      <w:r>
        <w:t xml:space="preserve"> </w:t>
      </w:r>
      <w:r>
        <w:t xml:space="preserve">today</w:t>
      </w:r>
    </w:p>
    <w:p>
      <w:pPr>
        <w:pStyle w:val="FirstParagraph"/>
      </w:pPr>
      <w:r>
        <w:t xml:space="preserve">See also: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docs/guides/rename-scope-and-codex-capability-guide.md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docs/plans/plan-2026-02-26-rename-scope-safety-and-flag-redesign.md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docs/researches/research-2026-02-26-rename-codex-analyzer-scope-and-file-type-support.md</w:t>
      </w:r>
    </w:p>
    <w:bookmarkEnd w:id="17"/>
    <w:bookmarkStart w:id="18" w:name="designing-a-new-chore-command-checklist"/>
    <w:p>
      <w:pPr>
        <w:pStyle w:val="Heading2"/>
      </w:pPr>
      <w:r>
        <w:t xml:space="preserve">Designing a New Chore Command (Checklist)</w:t>
      </w:r>
    </w:p>
    <w:p>
      <w:pPr>
        <w:pStyle w:val="Compact"/>
        <w:numPr>
          <w:ilvl w:val="0"/>
          <w:numId w:val="1023"/>
        </w:numPr>
      </w:pPr>
      <w:r>
        <w:t xml:space="preserve">Define the CLI surface in</w:t>
      </w:r>
      <w:r>
        <w:t xml:space="preserve"> </w:t>
      </w:r>
      <w:r>
        <w:rPr>
          <w:rStyle w:val="VerbatimChar"/>
        </w:rPr>
        <w:t xml:space="preserve">src/command.ts</w:t>
      </w:r>
    </w:p>
    <w:p>
      <w:pPr>
        <w:pStyle w:val="Compact"/>
        <w:numPr>
          <w:ilvl w:val="0"/>
          <w:numId w:val="1023"/>
        </w:numPr>
      </w:pPr>
      <w:r>
        <w:t xml:space="preserve">Decide whether interactive mode support is needed in</w:t>
      </w:r>
      <w:r>
        <w:t xml:space="preserve"> </w:t>
      </w:r>
      <w:r>
        <w:rPr>
          <w:rStyle w:val="VerbatimChar"/>
        </w:rPr>
        <w:t xml:space="preserve">src/cli/interactive.ts</w:t>
      </w:r>
    </w:p>
    <w:p>
      <w:pPr>
        <w:pStyle w:val="Compact"/>
        <w:numPr>
          <w:ilvl w:val="0"/>
          <w:numId w:val="1023"/>
        </w:numPr>
      </w:pPr>
      <w:r>
        <w:t xml:space="preserve">Add/update action module in</w:t>
      </w:r>
      <w:r>
        <w:t xml:space="preserve"> </w:t>
      </w:r>
      <w:r>
        <w:rPr>
          <w:rStyle w:val="VerbatimChar"/>
        </w:rPr>
        <w:t xml:space="preserve">src/cli/actions/</w:t>
      </w:r>
    </w:p>
    <w:p>
      <w:pPr>
        <w:pStyle w:val="Compact"/>
        <w:numPr>
          <w:ilvl w:val="0"/>
          <w:numId w:val="1023"/>
        </w:numPr>
      </w:pPr>
      <w:r>
        <w:t xml:space="preserve">Reuse existing helpers (</w:t>
      </w:r>
      <w:r>
        <w:rPr>
          <w:rStyle w:val="VerbatimChar"/>
        </w:rPr>
        <w:t xml:space="preserve">fs-utils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) before creating new ones</w:t>
      </w:r>
    </w:p>
    <w:p>
      <w:pPr>
        <w:pStyle w:val="Compact"/>
        <w:numPr>
          <w:ilvl w:val="0"/>
          <w:numId w:val="1023"/>
        </w:numPr>
      </w:pPr>
      <w:r>
        <w:t xml:space="preserve">Add tests:</w:t>
      </w:r>
    </w:p>
    <w:p>
      <w:pPr>
        <w:pStyle w:val="Compact"/>
        <w:numPr>
          <w:ilvl w:val="1"/>
          <w:numId w:val="1024"/>
        </w:numPr>
      </w:pPr>
      <w:r>
        <w:t xml:space="preserve">success path</w:t>
      </w:r>
    </w:p>
    <w:p>
      <w:pPr>
        <w:pStyle w:val="Compact"/>
        <w:numPr>
          <w:ilvl w:val="1"/>
          <w:numId w:val="1024"/>
        </w:numPr>
      </w:pPr>
      <w:r>
        <w:t xml:space="preserve">failure path(s)</w:t>
      </w:r>
    </w:p>
    <w:p>
      <w:pPr>
        <w:pStyle w:val="Compact"/>
        <w:numPr>
          <w:ilvl w:val="1"/>
          <w:numId w:val="1024"/>
        </w:numPr>
      </w:pPr>
      <w:r>
        <w:t xml:space="preserve">path display behavior if output paths are printed</w:t>
      </w:r>
    </w:p>
    <w:p>
      <w:pPr>
        <w:pStyle w:val="Compact"/>
        <w:numPr>
          <w:ilvl w:val="0"/>
          <w:numId w:val="1023"/>
        </w:numPr>
      </w:pPr>
      <w:r>
        <w:t xml:space="preserve">Update docs:</w:t>
      </w:r>
    </w:p>
    <w:p>
      <w:pPr>
        <w:pStyle w:val="Compact"/>
        <w:numPr>
          <w:ilvl w:val="1"/>
          <w:numId w:val="1025"/>
        </w:numPr>
      </w:pPr>
      <w:r>
        <w:t xml:space="preserve">job record for implementation</w:t>
      </w:r>
    </w:p>
    <w:p>
      <w:pPr>
        <w:pStyle w:val="Compact"/>
        <w:numPr>
          <w:ilvl w:val="1"/>
          <w:numId w:val="1025"/>
        </w:numPr>
      </w:pPr>
      <w:r>
        <w:t xml:space="preserve">plan/research docs if the feature changes architecture or scope</w:t>
      </w:r>
    </w:p>
    <w:bookmarkEnd w:id="18"/>
    <w:bookmarkStart w:id="19" w:name="what-belongs-in-srcutils-vs-not"/>
    <w:p>
      <w:pPr>
        <w:pStyle w:val="Heading2"/>
      </w:pPr>
      <w:r>
        <w:t xml:space="preserve">What Belongs in</w:t>
      </w:r>
      <w:r>
        <w:t xml:space="preserve"> </w:t>
      </w:r>
      <w:r>
        <w:rPr>
          <w:rStyle w:val="VerbatimChar"/>
        </w:rPr>
        <w:t xml:space="preserve">src/utils/**</w:t>
      </w:r>
      <w:r>
        <w:t xml:space="preserve"> </w:t>
      </w:r>
      <w:r>
        <w:t xml:space="preserve">vs Not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src/utils/**</w:t>
      </w:r>
      <w:r>
        <w:t xml:space="preserve"> </w:t>
      </w:r>
      <w:r>
        <w:t xml:space="preserve">for generic, reusable utilities with minimal CLI coupling.</w:t>
      </w:r>
    </w:p>
    <w:p>
      <w:pPr>
        <w:pStyle w:val="BodyText"/>
      </w:pPr>
      <w:r>
        <w:t xml:space="preserve">Examples in this repo:</w:t>
      </w:r>
    </w:p>
    <w:p>
      <w:pPr>
        <w:pStyle w:val="Compact"/>
        <w:numPr>
          <w:ilvl w:val="0"/>
          <w:numId w:val="1026"/>
        </w:numPr>
      </w:pPr>
      <w:r>
        <w:t xml:space="preserve">CSV helpers</w:t>
      </w:r>
    </w:p>
    <w:p>
      <w:pPr>
        <w:pStyle w:val="Compact"/>
        <w:numPr>
          <w:ilvl w:val="0"/>
          <w:numId w:val="1026"/>
        </w:numPr>
      </w:pPr>
      <w:r>
        <w:t xml:space="preserve">path/filename helpers</w:t>
      </w:r>
    </w:p>
    <w:p>
      <w:pPr>
        <w:pStyle w:val="Compact"/>
        <w:numPr>
          <w:ilvl w:val="0"/>
          <w:numId w:val="1026"/>
        </w:numPr>
      </w:pPr>
      <w:r>
        <w:t xml:space="preserve">datetime formatting</w:t>
      </w:r>
    </w:p>
    <w:p>
      <w:pPr>
        <w:pStyle w:val="Compact"/>
        <w:numPr>
          <w:ilvl w:val="0"/>
          <w:numId w:val="1026"/>
        </w:numPr>
      </w:pPr>
      <w:r>
        <w:t xml:space="preserve">slug utilities</w:t>
      </w:r>
    </w:p>
    <w:p>
      <w:pPr>
        <w:pStyle w:val="FirstParagraph"/>
      </w:pPr>
      <w:r>
        <w:t xml:space="preserve">Do not move cohesive subsystems into</w:t>
      </w:r>
      <w:r>
        <w:t xml:space="preserve"> </w:t>
      </w:r>
      <w:r>
        <w:rPr>
          <w:rStyle w:val="VerbatimChar"/>
        </w:rPr>
        <w:t xml:space="preserve">src/utils/**</w:t>
      </w:r>
      <w:r>
        <w:t xml:space="preserve"> </w:t>
      </w:r>
      <w:r>
        <w:t xml:space="preserve">just because they are reusable.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src/markdown/**</w:t>
      </w:r>
      <w:r>
        <w:t xml:space="preserve"> </w:t>
      </w:r>
      <w:r>
        <w:t xml:space="preserve">should remain a standalone subsystem (parser/types/TOML parsing internals), not</w:t>
      </w:r>
      <w:r>
        <w:t xml:space="preserve"> </w:t>
      </w:r>
      <w:r>
        <w:rPr>
          <w:rStyle w:val="VerbatimChar"/>
        </w:rPr>
        <w:t xml:space="preserve">src/utils/markdown/**</w:t>
      </w:r>
      <w:r>
        <w:t xml:space="preserve">, unless a broader source-tree taxonomy refactor is planned.</w:t>
      </w:r>
    </w:p>
    <w:bookmarkEnd w:id="19"/>
    <w:bookmarkStart w:id="20" w:name="testing-notes"/>
    <w:p>
      <w:pPr>
        <w:pStyle w:val="Heading2"/>
      </w:pPr>
      <w:r>
        <w:t xml:space="preserve">Testing Notes</w:t>
      </w:r>
    </w:p>
    <w:p>
      <w:pPr>
        <w:pStyle w:val="Compact"/>
        <w:numPr>
          <w:ilvl w:val="0"/>
          <w:numId w:val="1028"/>
        </w:numPr>
      </w:pPr>
      <w:r>
        <w:t xml:space="preserve">Prefer isolated temporary fixtures under</w:t>
      </w:r>
      <w:r>
        <w:t xml:space="preserve"> </w:t>
      </w:r>
      <w:r>
        <w:rPr>
          <w:rStyle w:val="VerbatimChar"/>
        </w:rPr>
        <w:t xml:space="preserve">examples/playground/</w:t>
      </w:r>
      <w:r>
        <w:t xml:space="preserve"> </w:t>
      </w:r>
      <w:r>
        <w:t xml:space="preserve">(for example,</w:t>
      </w:r>
      <w:r>
        <w:t xml:space="preserve"> </w:t>
      </w:r>
      <w:r>
        <w:rPr>
          <w:rStyle w:val="VerbatimChar"/>
        </w:rPr>
        <w:t xml:space="preserve">examples/playground/.tmp-tests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t xml:space="preserve">Keep black-box CLI tests and action-module unit tests both:</w:t>
      </w:r>
    </w:p>
    <w:p>
      <w:pPr>
        <w:pStyle w:val="Compact"/>
        <w:numPr>
          <w:ilvl w:val="1"/>
          <w:numId w:val="1029"/>
        </w:numPr>
      </w:pPr>
      <w:r>
        <w:t xml:space="preserve">CLI tests validate wiring/flags/end-to-end behavior</w:t>
      </w:r>
    </w:p>
    <w:p>
      <w:pPr>
        <w:pStyle w:val="Compact"/>
        <w:numPr>
          <w:ilvl w:val="1"/>
          <w:numId w:val="1029"/>
        </w:numPr>
      </w:pPr>
      <w:r>
        <w:t xml:space="preserve">action tests validate orchestration and failure handling faster</w:t>
      </w:r>
    </w:p>
    <w:bookmarkEnd w:id="20"/>
    <w:bookmarkStart w:id="21" w:name="related-plans"/>
    <w:p>
      <w:pPr>
        <w:pStyle w:val="Heading2"/>
      </w:pPr>
      <w:r>
        <w:t xml:space="preserve">Related Plans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docs/plans/plan-2026-02-25-cli-actions-modularization.md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docs/plans/plan-2026-02-25-codex-assisted-image-rename-and-action-tool-integration.md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docs/plans/plan-2026-02-26-rename-scope-safety-and-flag-redesign.md</w:t>
      </w:r>
    </w:p>
    <w:bookmarkEnd w:id="21"/>
    <w:bookmarkStart w:id="22" w:name="related-research"/>
    <w:p>
      <w:pPr>
        <w:pStyle w:val="Heading2"/>
      </w:pPr>
      <w:r>
        <w:t xml:space="preserve">Related Research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docs/researches/research-2026-02-25-cdx-chores-cli-scope-and-architecture.md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docs/researches/research-2026-02-26-rename-codex-analyzer-scope-and-file-type-support.md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 Action Tool Integration Guide</dc:title>
  <dc:creator/>
  <cp:keywords/>
  <dcterms:created xsi:type="dcterms:W3CDTF">2026-02-26T12:09:17Z</dcterms:created>
  <dcterms:modified xsi:type="dcterms:W3CDTF">2026-02-26T12:09:17Z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gent">
    <vt:lpwstr>codex</vt:lpwstr>
  </property>
  <property fmtid="{D5CDD505-2E9C-101B-9397-08002B2CF9AE}" pid="3" name="created-date">
    <vt:lpwstr>2026-02-25</vt:lpwstr>
  </property>
  <property fmtid="{D5CDD505-2E9C-101B-9397-08002B2CF9AE}" pid="4" name="modified-date">
    <vt:lpwstr>2026-02-26</vt:lpwstr>
  </property>
  <property fmtid="{D5CDD505-2E9C-101B-9397-08002B2CF9AE}" pid="5" name="status">
    <vt:lpwstr>draft</vt:lpwstr>
  </property>
</Properties>
</file>