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40" w:lineRule="auto"/>
        <w:jc w:val="left"/>
      </w:pPr>
      <w:r>
        <w:rPr>
          <w:rFonts w:ascii="Aptos Display" w:hAnsi="Aptos Display"/>
          <w:b/>
          <w:color w:val="1F4E79"/>
          <w:sz w:val="56"/>
        </w:rPr>
        <w:t>Sales &amp; Distribution Intelligence</w:t>
        <w:br/>
        <w:t>Testing Guide</w:t>
      </w:r>
    </w:p>
    <w:p>
      <w:pPr>
        <w:jc w:val="left"/>
      </w:pPr>
      <w:r>
        <w:rPr>
          <w:b/>
          <w:sz w:val="24"/>
        </w:rPr>
        <w:t>One Space Retail/FMCG Event Demo | Aurevia Consumer Products Ltd.</w:t>
      </w:r>
    </w:p>
    <w:p>
      <w:r>
        <w:t>Purpose: validate Collection retrieval, Mesh orchestration, cross-source reasoning, context reuse, conflict handling, missing-evidence behavior and the event storyline before demonstration.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352"/>
      </w:tblGrid>
      <w:tr>
        <w:trPr>
          <w:cantSplit/>
        </w:trPr>
        <w:tc>
          <w:tcPr>
            <w:tcW w:type="dxa" w:w="5040"/>
            <w:vAlign w:val="center"/>
            <w:shd w:fill="FFF2CC"/>
          </w:tcPr>
          <w:p>
            <w:r>
              <w:t>DO NOT INGEST</w:t>
            </w:r>
          </w:p>
        </w:tc>
        <w:tc>
          <w:tcPr>
            <w:tcW w:type="dxa" w:w="5040"/>
            <w:vAlign w:val="center"/>
            <w:shd w:fill="FFF2CC"/>
          </w:tcPr>
          <w:p>
            <w:r>
              <w:t>The entire 05_Ground_Truth_DO_NOT_INGEST folder is evaluator-only. Ingesting it would allow the RAG layer to retrieve expected answers directly.</w:t>
            </w:r>
          </w:p>
        </w:tc>
      </w:tr>
    </w:tbl>
    <w:p>
      <w:pPr>
        <w:pStyle w:val="Heading1"/>
      </w:pPr>
      <w:r>
        <w:t>1. Test Objectives</w:t>
      </w:r>
    </w:p>
    <w:p>
      <w:pPr>
        <w:pStyle w:val="ListBullet"/>
      </w:pPr>
      <w:r>
        <w:t>Confirm each Collection can retrieve its own evidence accurately and concisely.</w:t>
      </w:r>
    </w:p>
    <w:p>
      <w:pPr>
        <w:pStyle w:val="ListBullet"/>
      </w:pPr>
      <w:r>
        <w:t>Confirm the Mesh decomposes broad questions instead of forwarding one giant query.</w:t>
      </w:r>
    </w:p>
    <w:p>
      <w:pPr>
        <w:pStyle w:val="ListBullet"/>
      </w:pPr>
      <w:r>
        <w:t>Confirm grouped retrieval is used for related evidence and targeted follow-up is used only when material evidence is missing.</w:t>
      </w:r>
    </w:p>
    <w:p>
      <w:pPr>
        <w:pStyle w:val="ListBullet"/>
      </w:pPr>
      <w:r>
        <w:t>Confirm the Mesh reuses established scope and retrieved evidence in follow-up questions.</w:t>
      </w:r>
    </w:p>
    <w:p>
      <w:pPr>
        <w:pStyle w:val="ListBullet"/>
      </w:pPr>
      <w:r>
        <w:t>Confirm calculations and root-cause contribution language remain traceable and qualified.</w:t>
      </w:r>
    </w:p>
    <w:p>
      <w:pPr>
        <w:pStyle w:val="ListBullet"/>
      </w:pPr>
      <w:r>
        <w:t>Confirm conflicts and incomplete evidence are surfaced rather than silently resolved or guessed.</w:t>
      </w:r>
    </w:p>
    <w:p>
      <w:pPr>
        <w:pStyle w:val="Heading1"/>
      </w:pPr>
      <w:r>
        <w:t>2. Collection Smoke Tests</w:t>
      </w:r>
    </w:p>
    <w:p>
      <w:pPr>
        <w:pStyle w:val="ListBullet"/>
      </w:pPr>
      <w:r>
        <w:t>Commercial Collection: retrieve East August 2026 secondary sales and compare with July 2026.</w:t>
      </w:r>
    </w:p>
    <w:p>
      <w:pPr>
        <w:pStyle w:val="ListBullet"/>
      </w:pPr>
      <w:r>
        <w:t>Execution Collection: retrieve MetroLink August stock availability and affected SKUs.</w:t>
      </w:r>
    </w:p>
    <w:p>
      <w:pPr>
        <w:pStyle w:val="ListBullet"/>
      </w:pPr>
      <w:r>
        <w:t>Business Context Collection: retrieve MetroLink replenishment evidence from distributor/field notes.</w:t>
      </w:r>
    </w:p>
    <w:p>
      <w:pPr>
        <w:pStyle w:val="ListBullet"/>
      </w:pPr>
      <w:r>
        <w:t>Each Collection response should stay evidence-focused; the user-facing narrative should come from the Mesh.</w:t>
      </w:r>
    </w:p>
    <w:p>
      <w:pPr>
        <w:pStyle w:val="Heading1"/>
      </w:pPr>
      <w:r>
        <w:t>3. Mesh Critical Path</w:t>
      </w:r>
    </w:p>
    <w:p>
      <w:pPr>
        <w:pStyle w:val="ListBullet"/>
      </w:pPr>
      <w:r>
        <w:t>Ask: "Sales in the East Region declined significantly this month. Why?"</w:t>
      </w:r>
    </w:p>
    <w:p>
      <w:pPr>
        <w:pStyle w:val="ListBullet"/>
      </w:pPr>
      <w:r>
        <w:t>Pass: resolves latest complete month as August 2026 and comparison as July 2026.</w:t>
      </w:r>
    </w:p>
    <w:p>
      <w:pPr>
        <w:pStyle w:val="ListBullet"/>
      </w:pPr>
      <w:r>
        <w:t>Pass: establishes the 11.4% decline before diagnosing causes.</w:t>
      </w:r>
    </w:p>
    <w:p>
      <w:pPr>
        <w:pStyle w:val="ListBullet"/>
      </w:pPr>
      <w:r>
        <w:t>Pass: narrows to material branches/distributors/SKUs before retrieving operational drivers.</w:t>
      </w:r>
    </w:p>
    <w:p>
      <w:pPr>
        <w:pStyle w:val="ListBullet"/>
      </w:pPr>
      <w:r>
        <w:t>Pass: identifies availability, coverage, promotion rollout and returns/damage/expiry as the principal estimated drivers without claiming perfect causality.</w:t>
      </w:r>
    </w:p>
    <w:p>
      <w:pPr>
        <w:pStyle w:val="ListBullet"/>
      </w:pPr>
      <w:r>
        <w:t>Pass: recommendations correspond to the diagnosed driver for each distributor.</w:t>
      </w:r>
    </w:p>
    <w:p>
      <w:pPr>
        <w:pStyle w:val="Heading1"/>
      </w:pPr>
      <w:r>
        <w:t>4. Follow-up Context Test</w:t>
      </w:r>
    </w:p>
    <w:p>
      <w:pPr>
        <w:pStyle w:val="ListBullet"/>
      </w:pPr>
      <w:r>
        <w:t>After the East root-cause answer, ask: "Which distributors should I intervene with first?"</w:t>
      </w:r>
    </w:p>
    <w:p>
      <w:pPr>
        <w:pStyle w:val="ListBullet"/>
      </w:pPr>
      <w:r>
        <w:t>Pass: retains East + August + decline context without re-asking or restarting the whole investigation.</w:t>
      </w:r>
    </w:p>
    <w:p>
      <w:pPr>
        <w:pStyle w:val="ListBullet"/>
      </w:pPr>
      <w:r>
        <w:t>Pass: prioritizes MetroLink, BlueRiver and Utkal for different evidence-based reasons.</w:t>
      </w:r>
    </w:p>
    <w:p>
      <w:pPr>
        <w:pStyle w:val="ListBullet"/>
      </w:pPr>
      <w:r>
        <w:t>Then ask: "What do the field notes say about the top distributor?"</w:t>
      </w:r>
    </w:p>
    <w:p>
      <w:pPr>
        <w:pStyle w:val="ListBullet"/>
      </w:pPr>
      <w:r>
        <w:t>Pass: understands that "top distributor" refers to the already-prioritized MetroLink and queries the context Collection accordingly.</w:t>
      </w:r>
    </w:p>
    <w:p>
      <w:pPr>
        <w:pStyle w:val="Heading1"/>
      </w:pPr>
      <w:r>
        <w:t>5. Conflict and Missing Evidence Tests</w:t>
      </w:r>
    </w:p>
    <w:p>
      <w:pPr>
        <w:pStyle w:val="ListBullet"/>
      </w:pPr>
      <w:r>
        <w:t>Horizon test: structured monthly fill/OTIF is acceptable, but field notes report late-month priority-outlet delays. Pass only if the Mesh shows both and recommends investigation rather than choosing one silently.</w:t>
      </w:r>
    </w:p>
    <w:p>
      <w:pPr>
        <w:pStyle w:val="ListBullet"/>
      </w:pPr>
      <w:r>
        <w:t>Jaipur Distributor 03 test: August coverage evidence is intentionally incomplete. Pass only if the Mesh says coverage cannot be confirmed or ruled out after targeted retrieval; it must not guess.</w:t>
      </w:r>
    </w:p>
    <w:p>
      <w:pPr>
        <w:pStyle w:val="Heading1"/>
      </w:pPr>
      <w:r>
        <w:t>6. Promotion Reasoning Tests</w:t>
      </w:r>
    </w:p>
    <w:p>
      <w:pPr>
        <w:pStyle w:val="ListBullet"/>
      </w:pPr>
      <w:r>
        <w:t>FizzUp Summer Splash: high execution and high uplift -&gt; successful execution and effectiveness.</w:t>
      </w:r>
    </w:p>
    <w:p>
      <w:pPr>
        <w:pStyle w:val="ListBullet"/>
      </w:pPr>
      <w:r>
        <w:t>PureGlow Glow Days: high execution, weak uplift -&gt; not primarily an execution problem.</w:t>
      </w:r>
    </w:p>
    <w:p>
      <w:pPr>
        <w:pStyle w:val="ListBullet"/>
      </w:pPr>
      <w:r>
        <w:t>CrunchCo Monsoon Combo: low rollout, strong participating-outlet uplift -&gt; rollout opportunity, not a failed scheme.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No fabricated metrics, documents, distributors, SKUs or causes.</w:t>
      </w:r>
    </w:p>
    <w:p>
      <w:pPr>
        <w:pStyle w:val="ListBullet"/>
      </w:pPr>
      <w:r>
        <w:t>No statement that information is absent solely because one grouped retrieval did not return it.</w:t>
      </w:r>
    </w:p>
    <w:p>
      <w:pPr>
        <w:pStyle w:val="ListBullet"/>
      </w:pPr>
      <w:r>
        <w:t>No silent conflict resolution.</w:t>
      </w:r>
    </w:p>
    <w:p>
      <w:pPr>
        <w:pStyle w:val="ListBullet"/>
      </w:pPr>
      <w:r>
        <w:t>No repeated broad retrieval when evidence is already in conversation context.</w:t>
      </w:r>
    </w:p>
    <w:p>
      <w:pPr>
        <w:pStyle w:val="ListBullet"/>
      </w:pPr>
      <w:r>
        <w:t>No recommendation without an evidence link.</w:t>
      </w:r>
    </w:p>
    <w:p>
      <w:pPr>
        <w:pStyle w:val="ListBullet"/>
      </w:pPr>
      <w:r>
        <w:t>Executive answers remain concise enough for the event while drill-down answers preserve traceability.</w:t>
      </w:r>
    </w:p>
    <w:p>
      <w:pPr>
        <w:pStyle w:val="Heading1"/>
        <w:pageBreakBefore/>
      </w:pPr>
      <w:r>
        <w:t>8. Critical Scenario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4176"/>
        <w:gridCol w:w="2448"/>
      </w:tblGrid>
      <w:tr>
        <w:trPr>
          <w:cantSplit/>
          <w:tblHeader w:val="true"/>
        </w:trPr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Expected Behavior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GT-01</w:t>
            </w:r>
          </w:p>
        </w:tc>
        <w:tc>
          <w:tcPr>
            <w:tcW w:type="dxa" w:w="2880"/>
            <w:vAlign w:val="center"/>
          </w:tcPr>
          <w:p>
            <w:r>
              <w:t>East decline</w:t>
            </w:r>
          </w:p>
        </w:tc>
        <w:tc>
          <w:tcPr>
            <w:tcW w:type="dxa" w:w="4176"/>
            <w:vAlign w:val="center"/>
          </w:tcPr>
          <w:p>
            <w:r>
              <w:t>11.4% decline; ranked estimated drivers; traceable actions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GT-02</w:t>
            </w:r>
          </w:p>
        </w:tc>
        <w:tc>
          <w:tcPr>
            <w:tcW w:type="dxa" w:w="2880"/>
            <w:vAlign w:val="center"/>
          </w:tcPr>
          <w:p>
            <w:r>
              <w:t>MetroLink</w:t>
            </w:r>
          </w:p>
        </w:tc>
        <w:tc>
          <w:tcPr>
            <w:tcW w:type="dxa" w:w="4176"/>
            <w:vAlign w:val="center"/>
          </w:tcPr>
          <w:p>
            <w:r>
              <w:t>Availability/replenishment, not coverage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GT-03</w:t>
            </w:r>
          </w:p>
        </w:tc>
        <w:tc>
          <w:tcPr>
            <w:tcW w:type="dxa" w:w="2880"/>
            <w:vAlign w:val="center"/>
          </w:tcPr>
          <w:p>
            <w:r>
              <w:t>Utkal</w:t>
            </w:r>
          </w:p>
        </w:tc>
        <w:tc>
          <w:tcPr>
            <w:tcW w:type="dxa" w:w="4176"/>
            <w:vAlign w:val="center"/>
          </w:tcPr>
          <w:p>
            <w:r>
              <w:t>Sell-in strength masks sell-through/inventory risk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GT-04</w:t>
            </w:r>
          </w:p>
        </w:tc>
        <w:tc>
          <w:tcPr>
            <w:tcW w:type="dxa" w:w="2880"/>
            <w:vAlign w:val="center"/>
          </w:tcPr>
          <w:p>
            <w:r>
              <w:t>BlueRiver</w:t>
            </w:r>
          </w:p>
        </w:tc>
        <w:tc>
          <w:tcPr>
            <w:tcW w:type="dxa" w:w="4176"/>
            <w:vAlign w:val="center"/>
          </w:tcPr>
          <w:p>
            <w:r>
              <w:t>Coverage execution problem with acceptable availability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GT-08</w:t>
            </w:r>
          </w:p>
        </w:tc>
        <w:tc>
          <w:tcPr>
            <w:tcW w:type="dxa" w:w="2880"/>
            <w:vAlign w:val="center"/>
          </w:tcPr>
          <w:p>
            <w:r>
              <w:t>PureGlow</w:t>
            </w:r>
          </w:p>
        </w:tc>
        <w:tc>
          <w:tcPr>
            <w:tcW w:type="dxa" w:w="4176"/>
            <w:vAlign w:val="center"/>
          </w:tcPr>
          <w:p>
            <w:r>
              <w:t>High execution does not equal effective promotion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GT-09</w:t>
            </w:r>
          </w:p>
        </w:tc>
        <w:tc>
          <w:tcPr>
            <w:tcW w:type="dxa" w:w="2880"/>
            <w:vAlign w:val="center"/>
          </w:tcPr>
          <w:p>
            <w:r>
              <w:t>CrunchCo</w:t>
            </w:r>
          </w:p>
        </w:tc>
        <w:tc>
          <w:tcPr>
            <w:tcW w:type="dxa" w:w="4176"/>
            <w:vAlign w:val="center"/>
          </w:tcPr>
          <w:p>
            <w:r>
              <w:t>Poor rollout despite strong response where executed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GT-10</w:t>
            </w:r>
          </w:p>
        </w:tc>
        <w:tc>
          <w:tcPr>
            <w:tcW w:type="dxa" w:w="2880"/>
            <w:vAlign w:val="center"/>
          </w:tcPr>
          <w:p>
            <w:r>
              <w:t>Pune</w:t>
            </w:r>
          </w:p>
        </w:tc>
        <w:tc>
          <w:tcPr>
            <w:tcW w:type="dxa" w:w="4176"/>
            <w:vAlign w:val="center"/>
          </w:tcPr>
          <w:p>
            <w:r>
              <w:t>Strong sales + emerging service risk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GT-12</w:t>
            </w:r>
          </w:p>
        </w:tc>
        <w:tc>
          <w:tcPr>
            <w:tcW w:type="dxa" w:w="2880"/>
            <w:vAlign w:val="center"/>
          </w:tcPr>
          <w:p>
            <w:r>
              <w:t>Horizon</w:t>
            </w:r>
          </w:p>
        </w:tc>
        <w:tc>
          <w:tcPr>
            <w:tcW w:type="dxa" w:w="4176"/>
            <w:vAlign w:val="center"/>
          </w:tcPr>
          <w:p>
            <w:r>
              <w:t>Surface structured vs qualitative conflict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t>GT-13</w:t>
            </w:r>
          </w:p>
        </w:tc>
        <w:tc>
          <w:tcPr>
            <w:tcW w:type="dxa" w:w="2880"/>
            <w:vAlign w:val="center"/>
          </w:tcPr>
          <w:p>
            <w:r>
              <w:t>Jaipur</w:t>
            </w:r>
          </w:p>
        </w:tc>
        <w:tc>
          <w:tcPr>
            <w:tcW w:type="dxa" w:w="4176"/>
            <w:vAlign w:val="center"/>
          </w:tcPr>
          <w:p>
            <w:r>
              <w:t>Admit incomplete coverage evidence; do not guess</w:t>
            </w:r>
          </w:p>
        </w:tc>
        <w:tc>
          <w:tcPr>
            <w:tcW w:type="dxa" w:w="2448"/>
            <w:vAlign w:val="center"/>
          </w:tcPr>
          <w:p>
            <w:r>
              <w:t>Pass / Fail</w:t>
            </w:r>
          </w:p>
        </w:tc>
      </w:tr>
    </w:tbl>
    <w:p>
      <w:pPr>
        <w:pStyle w:val="Heading1"/>
      </w:pPr>
      <w:r>
        <w:t>9. Event Rehearsal Checklist</w:t>
      </w:r>
    </w:p>
    <w:p>
      <w:r>
        <w:t>☐ All three Collections synced and searchable.</w:t>
      </w:r>
    </w:p>
    <w:p>
      <w:r>
        <w:t>☐ Collection prompts applied.</w:t>
      </w:r>
    </w:p>
    <w:p>
      <w:r>
        <w:t>☐ Mesh has exactly the three intended Collection tools.</w:t>
      </w:r>
    </w:p>
    <w:p>
      <w:r>
        <w:t>☐ Ground-truth folder is not ingested.</w:t>
      </w:r>
    </w:p>
    <w:p>
      <w:r>
        <w:t>☐ T02, T03, T14, T20, T23 and T38 pass.</w:t>
      </w:r>
    </w:p>
    <w:p>
      <w:r>
        <w:t>☐ Follow-up context works across at least three turns.</w:t>
      </w:r>
    </w:p>
    <w:p>
      <w:r>
        <w:t>☐ Response latency is acceptable for the live flow.</w:t>
      </w:r>
    </w:p>
    <w:p>
      <w:r>
        <w:t>☐ Final board-ready paragraph is concise and traceable.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