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17 марта 2025 г.</w:t>
      </w:r>
    </w:p>
    <w:p>
      <w:pPr>
        <w:jc w:val="center"/>
      </w:pPr>
      <w:r>
        <w:rPr>
          <w:b/>
        </w:rPr>
        <w:t>АКТ ПРИЁМА НЕИСПРАВНОГО ОБОРУДОВАНИЯ</w:t>
      </w:r>
    </w:p>
    <w:p>
      <w:pPr>
        <w:jc w:val="center"/>
      </w:pPr>
      <w:r>
        <w:rPr>
          <w:b/>
        </w:rPr>
        <w:t>Форвард</w:t>
      </w:r>
    </w:p>
    <w:p>
      <w:r>
        <w:t>Сотрудник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ab/>
        <w:tab/>
        <w:tab/>
        <w:t>передаёт в Форвард</w:t>
      </w:r>
    </w:p>
    <w:p>
      <w:r>
        <w:t>следующее неисправное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ID</w:t>
            </w:r>
          </w:p>
        </w:tc>
        <w:tc>
          <w:tcPr>
            <w:tcW w:type="dxa" w:w="1568"/>
          </w:tcPr>
          <w:p>
            <w:r>
              <w:t>Тип оборудования</w:t>
            </w:r>
          </w:p>
        </w:tc>
        <w:tc>
          <w:tcPr>
            <w:tcW w:type="dxa" w:w="1568"/>
          </w:tcPr>
          <w:p>
            <w:r>
              <w:t>Модель</w:t>
            </w:r>
          </w:p>
        </w:tc>
        <w:tc>
          <w:tcPr>
            <w:tcW w:type="dxa" w:w="1568"/>
          </w:tcPr>
          <w:p>
            <w:r>
              <w:t>Серийный Номер</w:t>
            </w:r>
          </w:p>
        </w:tc>
        <w:tc>
          <w:tcPr>
            <w:tcW w:type="dxa" w:w="1568"/>
          </w:tcPr>
          <w:p>
            <w:r>
              <w:t>Инв. Номер Бухгалтерии</w:t>
            </w:r>
          </w:p>
        </w:tc>
        <w:tc>
          <w:tcPr>
            <w:tcW w:type="dxa" w:w="1568"/>
          </w:tcPr>
          <w:p>
            <w:r>
              <w:t>Описание неисправности</w:t>
            </w:r>
          </w:p>
        </w:tc>
      </w:tr>
      <w:tr>
        <w:tc>
          <w:tcPr>
            <w:tcW w:type="dxa" w:w="1568"/>
          </w:tcPr>
          <w:p>
            <w:r>
              <w:t>2</w:t>
            </w:r>
          </w:p>
        </w:tc>
        <w:tc>
          <w:tcPr>
            <w:tcW w:type="dxa" w:w="1568"/>
          </w:tcPr>
          <w:p>
            <w:r/>
          </w:p>
        </w:tc>
        <w:tc>
          <w:tcPr>
            <w:tcW w:type="dxa" w:w="1568"/>
          </w:tcPr>
          <w:p>
            <w:r/>
          </w:p>
        </w:tc>
        <w:tc>
          <w:tcPr>
            <w:tcW w:type="dxa" w:w="1568"/>
          </w:tcPr>
          <w:p>
            <w:r/>
          </w:p>
        </w:tc>
        <w:tc>
          <w:tcPr>
            <w:tcW w:type="dxa" w:w="1568"/>
          </w:tcPr>
          <w:p>
            <w:r/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</w:tbl>
    <w:p>
      <w:r>
        <w:br/>
      </w:r>
    </w:p>
    <w:p>
      <w:r>
        <w:t>Оборудование передал:</w:t>
        <w:tab/>
        <w:tab/>
        <w:tab/>
        <w:tab/>
        <w:tab/>
        <w:t>Оборудование принял: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Вдовиченко Роман В</w:t>
        <w:tab/>
        <w:tab/>
        <w:tab/>
        <w:tab/>
        <w:tab/>
        <w:tab/>
        <w:tab/>
        <w:t>Вдовиченко Роман В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