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quitectura-técnica-v1.0"/>
    <w:p>
      <w:pPr>
        <w:pStyle w:val="Heading1"/>
      </w:pPr>
      <w:r>
        <w:t xml:space="preserve">ARQUITECTURA TÉCNICA V1.0</w:t>
      </w:r>
    </w:p>
    <w:bookmarkStart w:id="21" w:name="erp-cloud-inspired-by-sap"/>
    <w:p>
      <w:pPr>
        <w:pStyle w:val="Heading2"/>
      </w:pPr>
      <w:r>
        <w:t xml:space="preserve">ERP Cloud Inspired by SAP</w:t>
      </w:r>
    </w:p>
    <w:bookmarkStart w:id="20" w:name="estado-congelado"/>
    <w:p>
      <w:pPr>
        <w:pStyle w:val="Heading3"/>
      </w:pPr>
      <w:r>
        <w:t xml:space="preserve">Estado: CONGELADO</w:t>
      </w:r>
    </w:p>
    <w:p>
      <w:pPr>
        <w:pStyle w:val="FirstParagraph"/>
      </w:pPr>
      <w:r>
        <w:t xml:space="preserve">Dependencias:</w:t>
      </w:r>
    </w:p>
    <w:p>
      <w:pPr>
        <w:pStyle w:val="Compact"/>
        <w:numPr>
          <w:ilvl w:val="0"/>
          <w:numId w:val="1001"/>
        </w:numPr>
      </w:pPr>
      <w:r>
        <w:t xml:space="preserve">01_ERP_CORE_MAP_V5.md</w:t>
      </w:r>
    </w:p>
    <w:p>
      <w:pPr>
        <w:pStyle w:val="Compact"/>
        <w:numPr>
          <w:ilvl w:val="0"/>
          <w:numId w:val="1001"/>
        </w:numPr>
      </w:pPr>
      <w:r>
        <w:t xml:space="preserve">02_REQUISITOS_NO_FUNCIONALES_V1.md</w:t>
      </w:r>
    </w:p>
    <w:p>
      <w:pPr>
        <w:pStyle w:val="Compact"/>
        <w:numPr>
          <w:ilvl w:val="0"/>
          <w:numId w:val="1001"/>
        </w:numPr>
      </w:pPr>
      <w:r>
        <w:t xml:space="preserve">03_MODELO_DATOS_EMPRESARIAL_V1.md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Definir la arquitectura técnica base del ERP.</w:t>
      </w:r>
    </w:p>
    <w:p>
      <w:pPr>
        <w:pStyle w:val="BodyText"/>
      </w:pPr>
      <w:r>
        <w:t xml:space="preserve">Este documento establece:</w:t>
      </w:r>
    </w:p>
    <w:p>
      <w:pPr>
        <w:pStyle w:val="Compact"/>
        <w:numPr>
          <w:ilvl w:val="0"/>
          <w:numId w:val="1002"/>
        </w:numPr>
      </w:pPr>
      <w:r>
        <w:t xml:space="preserve">Capas</w:t>
      </w:r>
    </w:p>
    <w:p>
      <w:pPr>
        <w:pStyle w:val="Compact"/>
        <w:numPr>
          <w:ilvl w:val="0"/>
          <w:numId w:val="1002"/>
        </w:numPr>
      </w:pPr>
      <w:r>
        <w:t xml:space="preserve">Responsabilidades</w:t>
      </w:r>
    </w:p>
    <w:p>
      <w:pPr>
        <w:pStyle w:val="Compact"/>
        <w:numPr>
          <w:ilvl w:val="0"/>
          <w:numId w:val="1002"/>
        </w:numPr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Flujo de datos</w:t>
      </w:r>
    </w:p>
    <w:p>
      <w:pPr>
        <w:pStyle w:val="Compact"/>
        <w:numPr>
          <w:ilvl w:val="0"/>
          <w:numId w:val="1002"/>
        </w:numPr>
      </w:pPr>
      <w:r>
        <w:t xml:space="preserve">Principios de desarrollo</w:t>
      </w:r>
    </w:p>
    <w:p>
      <w:r>
        <w:pict>
          <v:rect style="width:0;height:1.5pt" o:hralign="center" o:hrstd="t" o:hr="t"/>
        </w:pict>
      </w:r>
    </w:p>
    <w:bookmarkEnd w:id="23"/>
    <w:bookmarkStart w:id="29" w:name="principios"/>
    <w:p>
      <w:pPr>
        <w:pStyle w:val="Heading1"/>
      </w:pPr>
      <w:r>
        <w:t xml:space="preserve">2. PRINCIPIOS</w:t>
      </w:r>
    </w:p>
    <w:bookmarkStart w:id="24" w:name="negocio-primero"/>
    <w:p>
      <w:pPr>
        <w:pStyle w:val="Heading2"/>
      </w:pPr>
      <w:r>
        <w:t xml:space="preserve">Negocio Primero</w:t>
      </w:r>
    </w:p>
    <w:p>
      <w:pPr>
        <w:pStyle w:val="FirstParagraph"/>
      </w:pPr>
      <w:r>
        <w:t xml:space="preserve">La lógica empresarial es el activo principal.</w:t>
      </w:r>
    </w:p>
    <w:p>
      <w:pPr>
        <w:pStyle w:val="BodyText"/>
      </w:pPr>
      <w:r>
        <w:t xml:space="preserve">La tecnología es reemplazable.</w:t>
      </w:r>
    </w:p>
    <w:p>
      <w:r>
        <w:pict>
          <v:rect style="width:0;height:1.5pt" o:hralign="center" o:hrstd="t" o:hr="t"/>
        </w:pict>
      </w:r>
    </w:p>
    <w:bookmarkEnd w:id="24"/>
    <w:bookmarkStart w:id="25" w:name="portabilidad"/>
    <w:p>
      <w:pPr>
        <w:pStyle w:val="Heading2"/>
      </w:pPr>
      <w:r>
        <w:t xml:space="preserve">Portabilidad</w:t>
      </w:r>
    </w:p>
    <w:p>
      <w:pPr>
        <w:pStyle w:val="FirstParagraph"/>
      </w:pPr>
      <w:r>
        <w:t xml:space="preserve">El dominio no debe depender de:</w:t>
      </w:r>
    </w:p>
    <w:p>
      <w:pPr>
        <w:pStyle w:val="Compact"/>
        <w:numPr>
          <w:ilvl w:val="0"/>
          <w:numId w:val="1003"/>
        </w:numPr>
      </w:pPr>
      <w:r>
        <w:t xml:space="preserve">Google Apps Script</w:t>
      </w:r>
    </w:p>
    <w:p>
      <w:pPr>
        <w:pStyle w:val="Compact"/>
        <w:numPr>
          <w:ilvl w:val="0"/>
          <w:numId w:val="1003"/>
        </w:numPr>
      </w:pPr>
      <w:r>
        <w:t xml:space="preserve">Google Sheets</w:t>
      </w:r>
    </w:p>
    <w:p>
      <w:pPr>
        <w:pStyle w:val="Compact"/>
        <w:numPr>
          <w:ilvl w:val="0"/>
          <w:numId w:val="1003"/>
        </w:numPr>
      </w:pPr>
      <w:r>
        <w:t xml:space="preserve">Frameworks</w:t>
      </w:r>
    </w:p>
    <w:p>
      <w:pPr>
        <w:pStyle w:val="Compact"/>
        <w:numPr>
          <w:ilvl w:val="0"/>
          <w:numId w:val="1003"/>
        </w:numPr>
      </w:pPr>
      <w:r>
        <w:t xml:space="preserve">Motores de base de datos</w:t>
      </w:r>
    </w:p>
    <w:p>
      <w:r>
        <w:pict>
          <v:rect style="width:0;height:1.5pt" o:hralign="center" o:hrstd="t" o:hr="t"/>
        </w:pict>
      </w:r>
    </w:p>
    <w:bookmarkEnd w:id="25"/>
    <w:bookmarkStart w:id="26" w:name="bajo-acoplamiento"/>
    <w:p>
      <w:pPr>
        <w:pStyle w:val="Heading2"/>
      </w:pPr>
      <w:r>
        <w:t xml:space="preserve">Bajo Acoplamiento</w:t>
      </w:r>
    </w:p>
    <w:p>
      <w:pPr>
        <w:pStyle w:val="FirstParagraph"/>
      </w:pPr>
      <w:r>
        <w:t xml:space="preserve">Los módulos deben depender de contratos.</w:t>
      </w:r>
    </w:p>
    <w:p>
      <w:pPr>
        <w:pStyle w:val="BodyText"/>
      </w:pPr>
      <w:r>
        <w:t xml:space="preserve">No de implementaciones.</w:t>
      </w:r>
    </w:p>
    <w:p>
      <w:r>
        <w:pict>
          <v:rect style="width:0;height:1.5pt" o:hralign="center" o:hrstd="t" o:hr="t"/>
        </w:pict>
      </w:r>
    </w:p>
    <w:bookmarkEnd w:id="26"/>
    <w:bookmarkStart w:id="27" w:name="alta-cohesión"/>
    <w:p>
      <w:pPr>
        <w:pStyle w:val="Heading2"/>
      </w:pPr>
      <w:r>
        <w:t xml:space="preserve">Alta Cohesión</w:t>
      </w:r>
    </w:p>
    <w:p>
      <w:pPr>
        <w:pStyle w:val="FirstParagraph"/>
      </w:pPr>
      <w:r>
        <w:t xml:space="preserve">Cada componente debe tener una única responsabilidad.</w:t>
      </w:r>
    </w:p>
    <w:p>
      <w:r>
        <w:pict>
          <v:rect style="width:0;height:1.5pt" o:hralign="center" o:hrstd="t" o:hr="t"/>
        </w:pict>
      </w:r>
    </w:p>
    <w:bookmarkEnd w:id="27"/>
    <w:bookmarkStart w:id="28" w:name="adaptadores-para-todo"/>
    <w:p>
      <w:pPr>
        <w:pStyle w:val="Heading2"/>
      </w:pPr>
      <w:r>
        <w:t xml:space="preserve">Adaptadores para Todo</w:t>
      </w:r>
    </w:p>
    <w:p>
      <w:pPr>
        <w:pStyle w:val="FirstParagraph"/>
      </w:pPr>
      <w:r>
        <w:t xml:space="preserve">Toda dependencia externa deberá encapsularse mediante adaptadores.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ilosofía"/>
    <w:p>
      <w:pPr>
        <w:pStyle w:val="Heading1"/>
      </w:pPr>
      <w:r>
        <w:t xml:space="preserve">3. FILOSOFÍA</w:t>
      </w:r>
    </w:p>
    <w:bookmarkStart w:id="30" w:name="cobol"/>
    <w:p>
      <w:pPr>
        <w:pStyle w:val="Heading2"/>
      </w:pPr>
      <w:r>
        <w:t xml:space="preserve">COBOL</w:t>
      </w:r>
    </w:p>
    <w:p>
      <w:pPr>
        <w:pStyle w:val="FirstParagraph"/>
      </w:pPr>
      <w:r>
        <w:t xml:space="preserve">Inspiración para:</w:t>
      </w:r>
    </w:p>
    <w:p>
      <w:pPr>
        <w:pStyle w:val="Compact"/>
        <w:numPr>
          <w:ilvl w:val="0"/>
          <w:numId w:val="1004"/>
        </w:numPr>
      </w:pPr>
      <w:r>
        <w:t xml:space="preserve">Procesos</w:t>
      </w:r>
    </w:p>
    <w:p>
      <w:pPr>
        <w:pStyle w:val="Compact"/>
        <w:numPr>
          <w:ilvl w:val="0"/>
          <w:numId w:val="1004"/>
        </w:numPr>
      </w:pPr>
      <w:r>
        <w:t xml:space="preserve">Casos de uso</w:t>
      </w:r>
    </w:p>
    <w:p>
      <w:pPr>
        <w:pStyle w:val="Compact"/>
        <w:numPr>
          <w:ilvl w:val="0"/>
          <w:numId w:val="1004"/>
        </w:numPr>
      </w:pPr>
      <w:r>
        <w:t xml:space="preserve">Reglas empresariales</w:t>
      </w:r>
    </w:p>
    <w:p>
      <w:r>
        <w:pict>
          <v:rect style="width:0;height:1.5pt" o:hralign="center" o:hrstd="t" o:hr="t"/>
        </w:pict>
      </w:r>
    </w:p>
    <w:bookmarkEnd w:id="30"/>
    <w:bookmarkStart w:id="31" w:name="lisp"/>
    <w:p>
      <w:pPr>
        <w:pStyle w:val="Heading2"/>
      </w:pPr>
      <w:r>
        <w:t xml:space="preserve">LISP</w:t>
      </w:r>
    </w:p>
    <w:p>
      <w:pPr>
        <w:pStyle w:val="FirstParagraph"/>
      </w:pPr>
      <w:r>
        <w:t xml:space="preserve">Inspiración para:</w:t>
      </w:r>
    </w:p>
    <w:p>
      <w:pPr>
        <w:pStyle w:val="Compact"/>
        <w:numPr>
          <w:ilvl w:val="0"/>
          <w:numId w:val="1005"/>
        </w:numPr>
      </w:pPr>
      <w:r>
        <w:t xml:space="preserve">Composición</w:t>
      </w:r>
    </w:p>
    <w:p>
      <w:pPr>
        <w:pStyle w:val="Compact"/>
        <w:numPr>
          <w:ilvl w:val="0"/>
          <w:numId w:val="1005"/>
        </w:numPr>
      </w:pPr>
      <w:r>
        <w:t xml:space="preserve">Funciones pequeñas</w:t>
      </w:r>
    </w:p>
    <w:p>
      <w:pPr>
        <w:pStyle w:val="Compact"/>
        <w:numPr>
          <w:ilvl w:val="0"/>
          <w:numId w:val="1005"/>
        </w:numPr>
      </w:pPr>
      <w:r>
        <w:t xml:space="preserve">Encadenamiento</w:t>
      </w:r>
    </w:p>
    <w:p>
      <w:r>
        <w:pict>
          <v:rect style="width:0;height:1.5pt" o:hralign="center" o:hrstd="t" o:hr="t"/>
        </w:pict>
      </w:r>
    </w:p>
    <w:bookmarkEnd w:id="31"/>
    <w:bookmarkStart w:id="32" w:name="sap"/>
    <w:p>
      <w:pPr>
        <w:pStyle w:val="Heading2"/>
      </w:pPr>
      <w:r>
        <w:t xml:space="preserve">SAP</w:t>
      </w:r>
    </w:p>
    <w:p>
      <w:pPr>
        <w:pStyle w:val="FirstParagraph"/>
      </w:pPr>
      <w:r>
        <w:t xml:space="preserve">Inspiración para:</w:t>
      </w:r>
    </w:p>
    <w:p>
      <w:pPr>
        <w:pStyle w:val="Compact"/>
        <w:numPr>
          <w:ilvl w:val="0"/>
          <w:numId w:val="1006"/>
        </w:numPr>
      </w:pPr>
      <w:r>
        <w:t xml:space="preserve">Arquitectura empresarial</w:t>
      </w:r>
    </w:p>
    <w:p>
      <w:pPr>
        <w:pStyle w:val="Compact"/>
        <w:numPr>
          <w:ilvl w:val="0"/>
          <w:numId w:val="1006"/>
        </w:numPr>
      </w:pPr>
      <w:r>
        <w:t xml:space="preserve">Módulos</w:t>
      </w:r>
    </w:p>
    <w:p>
      <w:pPr>
        <w:pStyle w:val="Compact"/>
        <w:numPr>
          <w:ilvl w:val="0"/>
          <w:numId w:val="1006"/>
        </w:numPr>
      </w:pPr>
      <w:r>
        <w:t xml:space="preserve">Datos maestros</w:t>
      </w:r>
    </w:p>
    <w:p>
      <w:pPr>
        <w:pStyle w:val="Compact"/>
        <w:numPr>
          <w:ilvl w:val="0"/>
          <w:numId w:val="1006"/>
        </w:numPr>
      </w:pPr>
      <w:r>
        <w:t xml:space="preserve">Procesos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rquitectura-general"/>
    <w:p>
      <w:pPr>
        <w:pStyle w:val="Heading1"/>
      </w:pPr>
      <w:r>
        <w:t xml:space="preserve">4. ARQUITECTURA GENERAL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Infrastructure</w:t>
      </w:r>
    </w:p>
    <w:p>
      <w:r>
        <w:pict>
          <v:rect style="width:0;height:1.5pt" o:hralign="center" o:hrstd="t" o:hr="t"/>
        </w:pict>
      </w:r>
    </w:p>
    <w:bookmarkEnd w:id="34"/>
    <w:bookmarkStart w:id="39" w:name="capas"/>
    <w:p>
      <w:pPr>
        <w:pStyle w:val="Heading1"/>
      </w:pPr>
      <w:r>
        <w:t xml:space="preserve">5. CAPAS</w:t>
      </w:r>
    </w:p>
    <w:bookmarkStart w:id="35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7"/>
        </w:numPr>
      </w:pPr>
      <w:r>
        <w:t xml:space="preserve">Pantallas</w:t>
      </w:r>
    </w:p>
    <w:p>
      <w:pPr>
        <w:pStyle w:val="Compact"/>
        <w:numPr>
          <w:ilvl w:val="0"/>
          <w:numId w:val="1007"/>
        </w:numPr>
      </w:pPr>
      <w:r>
        <w:t xml:space="preserve">Formularios</w:t>
      </w:r>
    </w:p>
    <w:p>
      <w:pPr>
        <w:pStyle w:val="Compact"/>
        <w:numPr>
          <w:ilvl w:val="0"/>
          <w:numId w:val="1007"/>
        </w:numPr>
      </w:pPr>
      <w:r>
        <w:t xml:space="preserve">Navegación</w:t>
      </w:r>
    </w:p>
    <w:p>
      <w:pPr>
        <w:pStyle w:val="Compact"/>
        <w:numPr>
          <w:ilvl w:val="0"/>
          <w:numId w:val="1007"/>
        </w:numPr>
      </w:pPr>
      <w:r>
        <w:t xml:space="preserve">Dashboards</w:t>
      </w:r>
    </w:p>
    <w:p>
      <w:pPr>
        <w:pStyle w:val="FirstParagraph"/>
      </w:pPr>
      <w:r>
        <w:t xml:space="preserve">No contiene reglas de negocio.</w:t>
      </w:r>
    </w:p>
    <w:p>
      <w:r>
        <w:pict>
          <v:rect style="width:0;height:1.5pt" o:hralign="center" o:hrstd="t" o:hr="t"/>
        </w:pict>
      </w:r>
    </w:p>
    <w:bookmarkEnd w:id="35"/>
    <w:bookmarkStart w:id="36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8"/>
        </w:numPr>
      </w:pPr>
      <w:r>
        <w:t xml:space="preserve">Casos de uso</w:t>
      </w:r>
    </w:p>
    <w:p>
      <w:pPr>
        <w:pStyle w:val="Compact"/>
        <w:numPr>
          <w:ilvl w:val="0"/>
          <w:numId w:val="1008"/>
        </w:numPr>
      </w:pPr>
      <w:r>
        <w:t xml:space="preserve">Orquestación</w:t>
      </w:r>
    </w:p>
    <w:p>
      <w:pPr>
        <w:pStyle w:val="Compact"/>
        <w:numPr>
          <w:ilvl w:val="0"/>
          <w:numId w:val="1008"/>
        </w:numPr>
      </w:pPr>
      <w:r>
        <w:t xml:space="preserve">Flujos</w:t>
      </w:r>
    </w:p>
    <w:p>
      <w:r>
        <w:pict>
          <v:rect style="width:0;height:1.5pt" o:hralign="center" o:hrstd="t" o:hr="t"/>
        </w:pict>
      </w:r>
    </w:p>
    <w:bookmarkEnd w:id="36"/>
    <w:bookmarkStart w:id="37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9"/>
        </w:numPr>
      </w:pPr>
      <w:r>
        <w:t xml:space="preserve">Entidades</w:t>
      </w:r>
    </w:p>
    <w:p>
      <w:pPr>
        <w:pStyle w:val="Compact"/>
        <w:numPr>
          <w:ilvl w:val="0"/>
          <w:numId w:val="1009"/>
        </w:numPr>
      </w:pPr>
      <w:r>
        <w:t xml:space="preserve">Reglas</w:t>
      </w:r>
    </w:p>
    <w:p>
      <w:pPr>
        <w:pStyle w:val="Compact"/>
        <w:numPr>
          <w:ilvl w:val="0"/>
          <w:numId w:val="1009"/>
        </w:numPr>
      </w:pPr>
      <w:r>
        <w:t xml:space="preserve">Objetos de valor</w:t>
      </w:r>
    </w:p>
    <w:p>
      <w:pPr>
        <w:pStyle w:val="Compact"/>
        <w:numPr>
          <w:ilvl w:val="0"/>
          <w:numId w:val="1009"/>
        </w:numPr>
      </w:pPr>
      <w:r>
        <w:t xml:space="preserve">Políticas</w:t>
      </w:r>
    </w:p>
    <w:p>
      <w:pPr>
        <w:pStyle w:val="FirstParagraph"/>
      </w:pPr>
      <w:r>
        <w:t xml:space="preserve">Es el corazón del ERP.</w:t>
      </w:r>
    </w:p>
    <w:p>
      <w:r>
        <w:pict>
          <v:rect style="width:0;height:1.5pt" o:hralign="center" o:hrstd="t" o:hr="t"/>
        </w:pict>
      </w:r>
    </w:p>
    <w:bookmarkEnd w:id="37"/>
    <w:bookmarkStart w:id="38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10"/>
        </w:numPr>
      </w:pPr>
      <w:r>
        <w:t xml:space="preserve">Persistencia</w:t>
      </w:r>
    </w:p>
    <w:p>
      <w:pPr>
        <w:pStyle w:val="Compact"/>
        <w:numPr>
          <w:ilvl w:val="0"/>
          <w:numId w:val="1010"/>
        </w:numPr>
      </w:pPr>
      <w:r>
        <w:t xml:space="preserve">APIs</w:t>
      </w:r>
    </w:p>
    <w:p>
      <w:pPr>
        <w:pStyle w:val="Compact"/>
        <w:numPr>
          <w:ilvl w:val="0"/>
          <w:numId w:val="1010"/>
        </w:numPr>
      </w:pPr>
      <w:r>
        <w:t xml:space="preserve">Integraciones</w:t>
      </w:r>
    </w:p>
    <w:p>
      <w:pPr>
        <w:pStyle w:val="Compact"/>
        <w:numPr>
          <w:ilvl w:val="0"/>
          <w:numId w:val="1010"/>
        </w:numPr>
      </w:pPr>
      <w:r>
        <w:t xml:space="preserve">Archivos</w:t>
      </w:r>
    </w:p>
    <w:p>
      <w:pPr>
        <w:pStyle w:val="Compact"/>
        <w:numPr>
          <w:ilvl w:val="0"/>
          <w:numId w:val="1010"/>
        </w:numPr>
      </w:pPr>
      <w:r>
        <w:t xml:space="preserve">Servicios externos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structura-base"/>
    <w:p>
      <w:pPr>
        <w:pStyle w:val="Heading1"/>
      </w:pPr>
      <w:r>
        <w:t xml:space="preserve">6. ESTRUCTURA BASE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</w:t>
      </w:r>
      <w:r>
        <w:br/>
      </w:r>
      <w:r>
        <w:rPr>
          <w:rStyle w:val="VerbatimChar"/>
        </w:rPr>
        <w:t xml:space="preserve">├── application</w:t>
      </w:r>
      <w:r>
        <w:br/>
      </w:r>
      <w:r>
        <w:rPr>
          <w:rStyle w:val="VerbatimChar"/>
        </w:rPr>
        <w:t xml:space="preserve">├── infrastructure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└── shared</w:t>
      </w:r>
    </w:p>
    <w:p>
      <w:r>
        <w:pict>
          <v:rect style="width:0;height:1.5pt" o:hralign="center" o:hrstd="t" o:hr="t"/>
        </w:pict>
      </w:r>
    </w:p>
    <w:bookmarkEnd w:id="40"/>
    <w:bookmarkStart w:id="41" w:name="domain-1"/>
    <w:p>
      <w:pPr>
        <w:pStyle w:val="Heading1"/>
      </w:pPr>
      <w:r>
        <w:t xml:space="preserve">7. DOMAIN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</w:t>
      </w:r>
      <w:r>
        <w:br/>
      </w:r>
      <w:r>
        <w:rPr>
          <w:rStyle w:val="VerbatimChar"/>
        </w:rPr>
        <w:t xml:space="preserve">├── hcm</w:t>
      </w:r>
      <w:r>
        <w:br/>
      </w:r>
      <w:r>
        <w:rPr>
          <w:rStyle w:val="VerbatimChar"/>
        </w:rPr>
        <w:t xml:space="preserve">├── mm</w:t>
      </w:r>
      <w:r>
        <w:br/>
      </w:r>
      <w:r>
        <w:rPr>
          <w:rStyle w:val="VerbatimChar"/>
        </w:rPr>
        <w:t xml:space="preserve">├── eam</w:t>
      </w:r>
      <w:r>
        <w:br/>
      </w:r>
      <w:r>
        <w:rPr>
          <w:rStyle w:val="VerbatimChar"/>
        </w:rPr>
        <w:t xml:space="preserve">├── sd</w:t>
      </w:r>
      <w:r>
        <w:br/>
      </w:r>
      <w:r>
        <w:rPr>
          <w:rStyle w:val="VerbatimChar"/>
        </w:rPr>
        <w:t xml:space="preserve">├── fico</w:t>
      </w:r>
      <w:r>
        <w:br/>
      </w:r>
      <w:r>
        <w:rPr>
          <w:rStyle w:val="VerbatimChar"/>
        </w:rPr>
        <w:t xml:space="preserve">├── erec</w:t>
      </w:r>
      <w:r>
        <w:br/>
      </w:r>
      <w:r>
        <w:rPr>
          <w:rStyle w:val="VerbatimChar"/>
        </w:rPr>
        <w:t xml:space="preserve">└── analytics</w:t>
      </w:r>
    </w:p>
    <w:p>
      <w:r>
        <w:pict>
          <v:rect style="width:0;height:1.5pt" o:hralign="center" o:hrstd="t" o:hr="t"/>
        </w:pict>
      </w:r>
    </w:p>
    <w:bookmarkEnd w:id="41"/>
    <w:bookmarkStart w:id="43" w:name="entities"/>
    <w:p>
      <w:pPr>
        <w:pStyle w:val="Heading1"/>
      </w:pPr>
      <w:r>
        <w:t xml:space="preserve">8. ENTITIES</w:t>
      </w:r>
    </w:p>
    <w:p>
      <w:pPr>
        <w:pStyle w:val="FirstParagraph"/>
      </w:pPr>
      <w:r>
        <w:t xml:space="preserve">Representan conceptos empresariales.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BusinessPartner</w:t>
      </w:r>
      <w:r>
        <w:br/>
      </w:r>
      <w:r>
        <w:br/>
      </w: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Invoice</w:t>
      </w:r>
      <w:r>
        <w:br/>
      </w:r>
      <w:r>
        <w:br/>
      </w:r>
      <w:r>
        <w:rPr>
          <w:rStyle w:val="VerbatimChar"/>
        </w:rPr>
        <w:t xml:space="preserve">Asset</w:t>
      </w:r>
    </w:p>
    <w:p>
      <w:r>
        <w:pict>
          <v:rect style="width:0;height:1.5pt" o:hralign="center" o:hrstd="t" o:hr="t"/>
        </w:pict>
      </w:r>
    </w:p>
    <w:bookmarkStart w:id="42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Las entidades no conocen:</w:t>
      </w:r>
    </w:p>
    <w:p>
      <w:pPr>
        <w:pStyle w:val="Compact"/>
        <w:numPr>
          <w:ilvl w:val="0"/>
          <w:numId w:val="1011"/>
        </w:numPr>
      </w:pPr>
      <w:r>
        <w:t xml:space="preserve">Sheets</w:t>
      </w:r>
    </w:p>
    <w:p>
      <w:pPr>
        <w:pStyle w:val="Compact"/>
        <w:numPr>
          <w:ilvl w:val="0"/>
          <w:numId w:val="1011"/>
        </w:numPr>
      </w:pPr>
      <w:r>
        <w:t xml:space="preserve">APIs</w:t>
      </w:r>
    </w:p>
    <w:p>
      <w:pPr>
        <w:pStyle w:val="Compact"/>
        <w:numPr>
          <w:ilvl w:val="0"/>
          <w:numId w:val="1011"/>
        </w:numPr>
      </w:pPr>
      <w:r>
        <w:t xml:space="preserve">HTML</w:t>
      </w:r>
    </w:p>
    <w:p>
      <w:pPr>
        <w:pStyle w:val="Compact"/>
        <w:numPr>
          <w:ilvl w:val="0"/>
          <w:numId w:val="1011"/>
        </w:numPr>
      </w:pPr>
      <w:r>
        <w:t xml:space="preserve">GAS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alue-objects"/>
    <w:p>
      <w:pPr>
        <w:pStyle w:val="Heading1"/>
      </w:pPr>
      <w:r>
        <w:t xml:space="preserve">9. VALUE OBJECTS</w:t>
      </w:r>
    </w:p>
    <w:p>
      <w:pPr>
        <w:pStyle w:val="FirstParagraph"/>
      </w:pPr>
      <w:r>
        <w:t xml:space="preserve">Representan conceptos inmutables.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Money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br/>
      </w:r>
      <w:r>
        <w:rPr>
          <w:rStyle w:val="VerbatimChar"/>
        </w:rPr>
        <w:t xml:space="preserve">DocumentNumber</w:t>
      </w:r>
      <w:r>
        <w:br/>
      </w:r>
      <w:r>
        <w:br/>
      </w:r>
      <w:r>
        <w:rPr>
          <w:rStyle w:val="VerbatimChar"/>
        </w:rPr>
        <w:t xml:space="preserve">Address</w:t>
      </w:r>
    </w:p>
    <w:p>
      <w:r>
        <w:pict>
          <v:rect style="width:0;height:1.5pt" o:hralign="center" o:hrstd="t" o:hr="t"/>
        </w:pict>
      </w:r>
    </w:p>
    <w:bookmarkEnd w:id="44"/>
    <w:bookmarkStart w:id="45" w:name="repositories"/>
    <w:p>
      <w:pPr>
        <w:pStyle w:val="Heading1"/>
      </w:pPr>
      <w:r>
        <w:t xml:space="preserve">10. REPOSITORIES</w:t>
      </w:r>
    </w:p>
    <w:p>
      <w:pPr>
        <w:pStyle w:val="FirstParagraph"/>
      </w:pPr>
      <w:r>
        <w:t xml:space="preserve">Definen contratos de acceso a datos.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BusinessPartnerRepository</w:t>
      </w:r>
      <w:r>
        <w:br/>
      </w:r>
      <w:r>
        <w:br/>
      </w:r>
      <w:r>
        <w:rPr>
          <w:rStyle w:val="VerbatimChar"/>
        </w:rPr>
        <w:t xml:space="preserve">EmployeeRepository</w:t>
      </w:r>
      <w:r>
        <w:br/>
      </w:r>
      <w:r>
        <w:br/>
      </w:r>
      <w:r>
        <w:rPr>
          <w:rStyle w:val="VerbatimChar"/>
        </w:rPr>
        <w:t xml:space="preserve">InvoiceRepository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t xml:space="preserve">El dominio sólo conoce interfaces.</w:t>
      </w:r>
    </w:p>
    <w:p>
      <w:r>
        <w:pict>
          <v:rect style="width:0;height:1.5pt" o:hralign="center" o:hrstd="t" o:hr="t"/>
        </w:pict>
      </w:r>
    </w:p>
    <w:bookmarkEnd w:id="45"/>
    <w:bookmarkStart w:id="48" w:name="application-1"/>
    <w:p>
      <w:pPr>
        <w:pStyle w:val="Heading1"/>
      </w:pPr>
      <w:r>
        <w:t xml:space="preserve">11. APPLICATION</w:t>
      </w:r>
    </w:p>
    <w:bookmarkStart w:id="46" w:name="casos-de-uso"/>
    <w:p>
      <w:pPr>
        <w:pStyle w:val="Heading2"/>
      </w:pPr>
      <w:r>
        <w:t xml:space="preserve">Casos de Uso</w:t>
      </w:r>
    </w:p>
    <w:p>
      <w:pPr>
        <w:pStyle w:val="FirstParagraph"/>
      </w:pPr>
      <w:r>
        <w:t xml:space="preserve">Representan acciones empresariales.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CreateLead</w:t>
      </w:r>
      <w:r>
        <w:br/>
      </w:r>
      <w:r>
        <w:br/>
      </w:r>
      <w:r>
        <w:rPr>
          <w:rStyle w:val="VerbatimChar"/>
        </w:rPr>
        <w:t xml:space="preserve">ConvertLead</w:t>
      </w:r>
      <w:r>
        <w:br/>
      </w:r>
      <w:r>
        <w:br/>
      </w:r>
      <w:r>
        <w:rPr>
          <w:rStyle w:val="VerbatimChar"/>
        </w:rPr>
        <w:t xml:space="preserve">HireEmployee</w:t>
      </w:r>
      <w:r>
        <w:br/>
      </w:r>
      <w:r>
        <w:br/>
      </w:r>
      <w:r>
        <w:rPr>
          <w:rStyle w:val="VerbatimChar"/>
        </w:rPr>
        <w:t xml:space="preserve">CreateInvoice</w:t>
      </w:r>
      <w:r>
        <w:br/>
      </w:r>
      <w:r>
        <w:br/>
      </w:r>
      <w:r>
        <w:rPr>
          <w:rStyle w:val="VerbatimChar"/>
        </w:rPr>
        <w:t xml:space="preserve">AssignAsset</w:t>
      </w:r>
    </w:p>
    <w:p>
      <w:r>
        <w:pict>
          <v:rect style="width:0;height:1.5pt" o:hralign="center" o:hrstd="t" o:hr="t"/>
        </w:pict>
      </w:r>
    </w:p>
    <w:bookmarkEnd w:id="46"/>
    <w:bookmarkStart w:id="47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Un caso de uso debe representar una acción empresarial completa.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to"/>
    <w:p>
      <w:pPr>
        <w:pStyle w:val="Heading1"/>
      </w:pPr>
      <w:r>
        <w:t xml:space="preserve">12. DTO</w:t>
      </w:r>
    </w:p>
    <w:p>
      <w:pPr>
        <w:pStyle w:val="FirstParagraph"/>
      </w:pPr>
      <w:r>
        <w:t xml:space="preserve">Objetos de transferencia.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Responsabilidad:</w:t>
      </w:r>
    </w:p>
    <w:p>
      <w:pPr>
        <w:pStyle w:val="BodyText"/>
      </w:pPr>
      <w:r>
        <w:t xml:space="preserve">Transportar información.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contienen reglas.</w:t>
      </w:r>
    </w:p>
    <w:p>
      <w:r>
        <w:pict>
          <v:rect style="width:0;height:1.5pt" o:hralign="center" o:hrstd="t" o:hr="t"/>
        </w:pict>
      </w:r>
    </w:p>
    <w:bookmarkEnd w:id="49"/>
    <w:bookmarkStart w:id="50" w:name="validators"/>
    <w:p>
      <w:pPr>
        <w:pStyle w:val="Heading1"/>
      </w:pPr>
      <w:r>
        <w:t xml:space="preserve">13. VALIDATORS</w:t>
      </w:r>
    </w:p>
    <w:p>
      <w:pPr>
        <w:pStyle w:val="FirstParagraph"/>
      </w:pPr>
      <w:r>
        <w:t xml:space="preserve">Responsables de:</w:t>
      </w:r>
    </w:p>
    <w:p>
      <w:pPr>
        <w:pStyle w:val="Compact"/>
        <w:numPr>
          <w:ilvl w:val="0"/>
          <w:numId w:val="1012"/>
        </w:numPr>
      </w:pPr>
      <w:r>
        <w:t xml:space="preserve">Validaciones</w:t>
      </w:r>
    </w:p>
    <w:p>
      <w:pPr>
        <w:pStyle w:val="Compact"/>
        <w:numPr>
          <w:ilvl w:val="0"/>
          <w:numId w:val="1012"/>
        </w:numPr>
      </w:pPr>
      <w:r>
        <w:t xml:space="preserve">Formato</w:t>
      </w:r>
    </w:p>
    <w:p>
      <w:pPr>
        <w:pStyle w:val="Compact"/>
        <w:numPr>
          <w:ilvl w:val="0"/>
          <w:numId w:val="1012"/>
        </w:numPr>
      </w:pPr>
      <w:r>
        <w:t xml:space="preserve">Reglas simples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contienen lógica empresarial compleja.</w:t>
      </w:r>
    </w:p>
    <w:p>
      <w:r>
        <w:pict>
          <v:rect style="width:0;height:1.5pt" o:hralign="center" o:hrstd="t" o:hr="t"/>
        </w:pict>
      </w:r>
    </w:p>
    <w:bookmarkEnd w:id="50"/>
    <w:bookmarkStart w:id="51" w:name="services"/>
    <w:p>
      <w:pPr>
        <w:pStyle w:val="Heading1"/>
      </w:pPr>
      <w:r>
        <w:t xml:space="preserve">14. SERVICES</w:t>
      </w:r>
    </w:p>
    <w:p>
      <w:pPr>
        <w:pStyle w:val="FirstParagraph"/>
      </w:pPr>
      <w:r>
        <w:t xml:space="preserve">Contienen lógica transversal.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NotificationService</w:t>
      </w:r>
      <w:r>
        <w:br/>
      </w:r>
      <w:r>
        <w:br/>
      </w:r>
      <w:r>
        <w:rPr>
          <w:rStyle w:val="VerbatimChar"/>
        </w:rPr>
        <w:t xml:space="preserve">DocumentService</w:t>
      </w:r>
      <w:r>
        <w:br/>
      </w:r>
      <w:r>
        <w:br/>
      </w:r>
      <w:r>
        <w:rPr>
          <w:rStyle w:val="VerbatimChar"/>
        </w:rPr>
        <w:t xml:space="preserve">AuditService</w:t>
      </w:r>
    </w:p>
    <w:p>
      <w:r>
        <w:pict>
          <v:rect style="width:0;height:1.5pt" o:hralign="center" o:hrstd="t" o:hr="t"/>
        </w:pict>
      </w:r>
    </w:p>
    <w:bookmarkEnd w:id="51"/>
    <w:bookmarkStart w:id="54" w:name="infrastructure-1"/>
    <w:p>
      <w:pPr>
        <w:pStyle w:val="Heading1"/>
      </w:pPr>
      <w:r>
        <w:t xml:space="preserve">15. INFRASTRUCTURE</w:t>
      </w:r>
    </w:p>
    <w:bookmarkStart w:id="52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Google Sheets</w:t>
      </w:r>
      <w:r>
        <w:br/>
      </w:r>
      <w:r>
        <w:br/>
      </w:r>
      <w:r>
        <w:rPr>
          <w:rStyle w:val="VerbatimChar"/>
        </w:rPr>
        <w:t xml:space="preserve">Drive</w:t>
      </w:r>
      <w:r>
        <w:br/>
      </w:r>
      <w:r>
        <w:br/>
      </w:r>
      <w:r>
        <w:rPr>
          <w:rStyle w:val="VerbatimChar"/>
        </w:rPr>
        <w:t xml:space="preserve">REST API</w:t>
      </w:r>
      <w:r>
        <w:br/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52"/>
    <w:bookmarkStart w:id="53" w:name="adaptadores"/>
    <w:p>
      <w:pPr>
        <w:pStyle w:val="Heading2"/>
      </w:pPr>
      <w:r>
        <w:t xml:space="preserve">Adaptadores</w:t>
      </w:r>
    </w:p>
    <w:p>
      <w:pPr>
        <w:pStyle w:val="FirstParagraph"/>
      </w:pPr>
      <w:r>
        <w:t xml:space="preserve">Responsables de traducir:</w:t>
      </w:r>
    </w:p>
    <w:p>
      <w:pPr>
        <w:pStyle w:val="SourceCode"/>
      </w:pPr>
      <w:r>
        <w:rPr>
          <w:rStyle w:val="VerbatimChar"/>
        </w:rPr>
        <w:t xml:space="preserve">Dominio</w:t>
      </w:r>
      <w:r>
        <w:br/>
      </w:r>
      <w:r>
        <w:rPr>
          <w:rStyle w:val="VerbatimChar"/>
        </w:rPr>
        <w:t xml:space="preserve">↔</w:t>
      </w:r>
      <w:r>
        <w:br/>
      </w:r>
      <w:r>
        <w:rPr>
          <w:rStyle w:val="VerbatimChar"/>
        </w:rPr>
        <w:t xml:space="preserve">Proveedor Externo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ata-adapters"/>
    <w:p>
      <w:pPr>
        <w:pStyle w:val="Heading1"/>
      </w:pPr>
      <w:r>
        <w:t xml:space="preserve">16. DATA ADAPTERS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SheetsAdapter</w:t>
      </w:r>
      <w:r>
        <w:br/>
      </w:r>
      <w:r>
        <w:br/>
      </w:r>
      <w:r>
        <w:rPr>
          <w:rStyle w:val="VerbatimChar"/>
        </w:rPr>
        <w:t xml:space="preserve">DriveAdapter</w:t>
      </w:r>
      <w:r>
        <w:br/>
      </w:r>
      <w:r>
        <w:br/>
      </w:r>
      <w:r>
        <w:rPr>
          <w:rStyle w:val="VerbatimChar"/>
        </w:rPr>
        <w:t xml:space="preserve">WhatsAppAdapter</w:t>
      </w:r>
      <w:r>
        <w:br/>
      </w:r>
      <w:r>
        <w:br/>
      </w:r>
      <w:r>
        <w:rPr>
          <w:rStyle w:val="VerbatimChar"/>
        </w:rPr>
        <w:t xml:space="preserve">CalendarAdapter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t xml:space="preserve">Toda dependencia externa debe pasar por adaptadores.</w:t>
      </w:r>
    </w:p>
    <w:p>
      <w:r>
        <w:pict>
          <v:rect style="width:0;height:1.5pt" o:hralign="center" o:hrstd="t" o:hr="t"/>
        </w:pict>
      </w:r>
    </w:p>
    <w:bookmarkEnd w:id="55"/>
    <w:bookmarkStart w:id="56" w:name="gateway"/>
    <w:p>
      <w:pPr>
        <w:pStyle w:val="Heading1"/>
      </w:pPr>
      <w:r>
        <w:t xml:space="preserve">17. GATEWAY</w:t>
      </w:r>
    </w:p>
    <w:p>
      <w:pPr>
        <w:pStyle w:val="FirstParagraph"/>
      </w:pPr>
      <w:r>
        <w:t xml:space="preserve">Punto único de acceso a servicios.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ERP.Gateway.call()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Beneficios:</w:t>
      </w:r>
    </w:p>
    <w:p>
      <w:pPr>
        <w:pStyle w:val="Compact"/>
        <w:numPr>
          <w:ilvl w:val="0"/>
          <w:numId w:val="1013"/>
        </w:numPr>
      </w:pPr>
      <w:r>
        <w:t xml:space="preserve">Desacoplamiento</w:t>
      </w:r>
    </w:p>
    <w:p>
      <w:pPr>
        <w:pStyle w:val="Compact"/>
        <w:numPr>
          <w:ilvl w:val="0"/>
          <w:numId w:val="1013"/>
        </w:numPr>
      </w:pPr>
      <w:r>
        <w:t xml:space="preserve">Trazabilidad</w:t>
      </w:r>
    </w:p>
    <w:p>
      <w:pPr>
        <w:pStyle w:val="Compact"/>
        <w:numPr>
          <w:ilvl w:val="0"/>
          <w:numId w:val="1013"/>
        </w:numPr>
      </w:pPr>
      <w:r>
        <w:t xml:space="preserve">Portabilidad</w:t>
      </w:r>
    </w:p>
    <w:p>
      <w:r>
        <w:pict>
          <v:rect style="width:0;height:1.5pt" o:hralign="center" o:hrstd="t" o:hr="t"/>
        </w:pict>
      </w:r>
    </w:p>
    <w:bookmarkEnd w:id="56"/>
    <w:bookmarkStart w:id="57" w:name="events"/>
    <w:p>
      <w:pPr>
        <w:pStyle w:val="Heading1"/>
      </w:pPr>
      <w:r>
        <w:t xml:space="preserve">18. EVENTS</w:t>
      </w:r>
    </w:p>
    <w:p>
      <w:pPr>
        <w:pStyle w:val="FirstParagraph"/>
      </w:pPr>
      <w:r>
        <w:t xml:space="preserve">Arquitectura orientada a eventos simples.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LeadCreated</w:t>
      </w:r>
      <w:r>
        <w:br/>
      </w:r>
      <w:r>
        <w:br/>
      </w:r>
      <w:r>
        <w:rPr>
          <w:rStyle w:val="VerbatimChar"/>
        </w:rPr>
        <w:t xml:space="preserve">InvoiceIssued</w:t>
      </w:r>
      <w:r>
        <w:br/>
      </w:r>
      <w:r>
        <w:br/>
      </w:r>
      <w:r>
        <w:rPr>
          <w:rStyle w:val="VerbatimChar"/>
        </w:rPr>
        <w:t xml:space="preserve">PaymentReceived</w:t>
      </w:r>
      <w:r>
        <w:br/>
      </w:r>
      <w:r>
        <w:br/>
      </w:r>
      <w:r>
        <w:rPr>
          <w:rStyle w:val="VerbatimChar"/>
        </w:rPr>
        <w:t xml:space="preserve">EmployeeHired</w:t>
      </w:r>
    </w:p>
    <w:p>
      <w:r>
        <w:pict>
          <v:rect style="width:0;height:1.5pt" o:hralign="center" o:hrstd="t" o:hr="t"/>
        </w:pict>
      </w:r>
    </w:p>
    <w:bookmarkEnd w:id="57"/>
    <w:bookmarkStart w:id="58" w:name="workflow"/>
    <w:p>
      <w:pPr>
        <w:pStyle w:val="Heading1"/>
      </w:pPr>
      <w:r>
        <w:t xml:space="preserve">19. WORKFLOW</w:t>
      </w:r>
    </w:p>
    <w:p>
      <w:pPr>
        <w:pStyle w:val="FirstParagraph"/>
      </w:pPr>
      <w:r>
        <w:t xml:space="preserve">Motor de procesos.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4"/>
        </w:numPr>
      </w:pPr>
      <w:r>
        <w:t xml:space="preserve">Estados</w:t>
      </w:r>
    </w:p>
    <w:p>
      <w:pPr>
        <w:pStyle w:val="Compact"/>
        <w:numPr>
          <w:ilvl w:val="0"/>
          <w:numId w:val="1014"/>
        </w:numPr>
      </w:pPr>
      <w:r>
        <w:t xml:space="preserve">Transiciones</w:t>
      </w:r>
    </w:p>
    <w:p>
      <w:pPr>
        <w:pStyle w:val="Compact"/>
        <w:numPr>
          <w:ilvl w:val="0"/>
          <w:numId w:val="1014"/>
        </w:numPr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58"/>
    <w:bookmarkStart w:id="59" w:name="documents"/>
    <w:p>
      <w:pPr>
        <w:pStyle w:val="Heading1"/>
      </w:pPr>
      <w:r>
        <w:t xml:space="preserve">20. DOCUMENTS</w:t>
      </w:r>
    </w:p>
    <w:p>
      <w:pPr>
        <w:pStyle w:val="FirstParagraph"/>
      </w:pPr>
      <w:r>
        <w:t xml:space="preserve">Gestión documental transversal.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5"/>
        </w:numPr>
      </w:pPr>
      <w:r>
        <w:t xml:space="preserve">Adjuntos</w:t>
      </w:r>
    </w:p>
    <w:p>
      <w:pPr>
        <w:pStyle w:val="Compact"/>
        <w:numPr>
          <w:ilvl w:val="0"/>
          <w:numId w:val="1015"/>
        </w:numPr>
      </w:pPr>
      <w:r>
        <w:t xml:space="preserve">Versiones</w:t>
      </w:r>
    </w:p>
    <w:p>
      <w:pPr>
        <w:pStyle w:val="Compact"/>
        <w:numPr>
          <w:ilvl w:val="0"/>
          <w:numId w:val="1015"/>
        </w:numPr>
      </w:pPr>
      <w:r>
        <w:t xml:space="preserve">Metadatos</w:t>
      </w:r>
    </w:p>
    <w:p>
      <w:r>
        <w:pict>
          <v:rect style="width:0;height:1.5pt" o:hralign="center" o:hrstd="t" o:hr="t"/>
        </w:pict>
      </w:r>
    </w:p>
    <w:bookmarkEnd w:id="59"/>
    <w:bookmarkStart w:id="60" w:name="auditoría"/>
    <w:p>
      <w:pPr>
        <w:pStyle w:val="Heading1"/>
      </w:pPr>
      <w:r>
        <w:t xml:space="preserve">21. AUDITORÍA</w:t>
      </w:r>
    </w:p>
    <w:p>
      <w:pPr>
        <w:pStyle w:val="FirstParagraph"/>
      </w:pPr>
      <w:r>
        <w:t xml:space="preserve">Transversal a todo 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Toda operación relevante genera:</w:t>
      </w:r>
    </w:p>
    <w:p>
      <w:pPr>
        <w:pStyle w:val="SourceCode"/>
      </w:pPr>
      <w:r>
        <w:rPr>
          <w:rStyle w:val="VerbatimChar"/>
        </w:rPr>
        <w:t xml:space="preserve">Audit Record</w:t>
      </w:r>
    </w:p>
    <w:p>
      <w:r>
        <w:pict>
          <v:rect style="width:0;height:1.5pt" o:hralign="center" o:hrstd="t" o:hr="t"/>
        </w:pict>
      </w:r>
    </w:p>
    <w:bookmarkEnd w:id="60"/>
    <w:bookmarkStart w:id="61" w:name="integración"/>
    <w:p>
      <w:pPr>
        <w:pStyle w:val="Heading1"/>
      </w:pPr>
      <w:r>
        <w:t xml:space="preserve">22. INTEGRACIÓN</w:t>
      </w:r>
    </w:p>
    <w:p>
      <w:pPr>
        <w:pStyle w:val="FirstParagraph"/>
      </w:pPr>
      <w:r>
        <w:t xml:space="preserve">Todas las integraciones viven en:</w:t>
      </w:r>
    </w:p>
    <w:p>
      <w:pPr>
        <w:pStyle w:val="SourceCode"/>
      </w:pPr>
      <w:r>
        <w:rPr>
          <w:rStyle w:val="VerbatimChar"/>
        </w:rPr>
        <w:t xml:space="preserve">core/integration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Meta</w:t>
      </w:r>
      <w:r>
        <w:br/>
      </w:r>
      <w:r>
        <w:br/>
      </w:r>
      <w:r>
        <w:rPr>
          <w:rStyle w:val="VerbatimChar"/>
        </w:rPr>
        <w:t xml:space="preserve">Google Ads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Gmail</w:t>
      </w:r>
      <w:r>
        <w:br/>
      </w:r>
      <w:r>
        <w:br/>
      </w:r>
      <w:r>
        <w:rPr>
          <w:rStyle w:val="VerbatimChar"/>
        </w:rPr>
        <w:t xml:space="preserve">Calendar</w:t>
      </w:r>
    </w:p>
    <w:p>
      <w:r>
        <w:pict>
          <v:rect style="width:0;height:1.5pt" o:hralign="center" o:hrstd="t" o:hr="t"/>
        </w:pict>
      </w:r>
    </w:p>
    <w:bookmarkEnd w:id="61"/>
    <w:bookmarkStart w:id="62" w:name="ui-1"/>
    <w:p>
      <w:pPr>
        <w:pStyle w:val="Heading1"/>
      </w:pPr>
      <w:r>
        <w:t xml:space="preserve">23. UI</w:t>
      </w:r>
    </w:p>
    <w:p>
      <w:pPr>
        <w:pStyle w:val="FirstParagraph"/>
      </w:pPr>
      <w:r>
        <w:t xml:space="preserve">Inspiración:</w:t>
      </w:r>
    </w:p>
    <w:p>
      <w:pPr>
        <w:pStyle w:val="BodyText"/>
      </w:pPr>
      <w:r>
        <w:t xml:space="preserve">SAP Fiori</w:t>
      </w:r>
    </w:p>
    <w:p>
      <w:pPr>
        <w:pStyle w:val="BodyText"/>
      </w:pPr>
      <w:r>
        <w:t xml:space="preserve">SAP Horizon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Tecnologías Iniciales: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br/>
      </w:r>
      <w:r>
        <w:rPr>
          <w:rStyle w:val="VerbatimChar"/>
        </w:rPr>
        <w:t xml:space="preserve">CSS</w:t>
      </w:r>
      <w:r>
        <w:br/>
      </w:r>
      <w:r>
        <w:br/>
      </w:r>
      <w:r>
        <w:rPr>
          <w:rStyle w:val="VerbatimChar"/>
        </w:rPr>
        <w:t xml:space="preserve">Tailwind</w:t>
      </w:r>
      <w:r>
        <w:br/>
      </w:r>
      <w:r>
        <w:br/>
      </w:r>
      <w:r>
        <w:rPr>
          <w:rStyle w:val="VerbatimChar"/>
        </w:rPr>
        <w:t xml:space="preserve">Lucide</w:t>
      </w:r>
    </w:p>
    <w:p>
      <w:r>
        <w:pict>
          <v:rect style="width:0;height:1.5pt" o:hralign="center" o:hrstd="t" o:hr="t"/>
        </w:pict>
      </w:r>
    </w:p>
    <w:bookmarkEnd w:id="62"/>
    <w:bookmarkStart w:id="63" w:name="analytics"/>
    <w:p>
      <w:pPr>
        <w:pStyle w:val="Heading1"/>
      </w:pPr>
      <w:r>
        <w:t xml:space="preserve">24. ANALYTICS</w:t>
      </w:r>
    </w:p>
    <w:p>
      <w:pPr>
        <w:pStyle w:val="FirstParagraph"/>
      </w:pPr>
      <w:r>
        <w:t xml:space="preserve">Consume:</w:t>
      </w:r>
    </w:p>
    <w:p>
      <w:pPr>
        <w:pStyle w:val="SourceCode"/>
      </w:pP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Nunca consume UI.</w:t>
      </w:r>
    </w:p>
    <w:p>
      <w:r>
        <w:pict>
          <v:rect style="width:0;height:1.5pt" o:hralign="center" o:hrstd="t" o:hr="t"/>
        </w:pict>
      </w:r>
    </w:p>
    <w:bookmarkEnd w:id="63"/>
    <w:bookmarkStart w:id="64" w:name="ia"/>
    <w:p>
      <w:pPr>
        <w:pStyle w:val="Heading1"/>
      </w:pPr>
      <w:r>
        <w:t xml:space="preserve">25. IA</w:t>
      </w:r>
    </w:p>
    <w:p>
      <w:pPr>
        <w:pStyle w:val="FirstParagraph"/>
      </w:pPr>
      <w:r>
        <w:t xml:space="preserve">Consume: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Datos Empresariales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modifica directamente procesos.</w:t>
      </w:r>
    </w:p>
    <w:p>
      <w:r>
        <w:pict>
          <v:rect style="width:0;height:1.5pt" o:hralign="center" o:hrstd="t" o:hr="t"/>
        </w:pict>
      </w:r>
    </w:p>
    <w:bookmarkEnd w:id="64"/>
    <w:bookmarkStart w:id="65" w:name="reglas-de-oro"/>
    <w:p>
      <w:pPr>
        <w:pStyle w:val="Heading1"/>
      </w:pPr>
      <w:r>
        <w:t xml:space="preserve">26. REGLAS DE ORO</w:t>
      </w:r>
    </w:p>
    <w:p>
      <w:pPr>
        <w:pStyle w:val="FirstParagraph"/>
      </w:pPr>
      <w:r>
        <w:t xml:space="preserve">Nunca acceder a Sheets desde UI.</w:t>
      </w:r>
    </w:p>
    <w:p>
      <w:pPr>
        <w:pStyle w:val="BodyText"/>
      </w:pPr>
      <w:r>
        <w:t xml:space="preserve">Nunca acceder a Sheets desde Domain.</w:t>
      </w:r>
    </w:p>
    <w:p>
      <w:pPr>
        <w:pStyle w:val="BodyText"/>
      </w:pPr>
      <w:r>
        <w:t xml:space="preserve">Nunca poner lógica empresarial en HTML.</w:t>
      </w:r>
    </w:p>
    <w:p>
      <w:pPr>
        <w:pStyle w:val="BodyText"/>
      </w:pPr>
      <w:r>
        <w:t xml:space="preserve">Nunca duplicar maestros.</w:t>
      </w:r>
    </w:p>
    <w:p>
      <w:pPr>
        <w:pStyle w:val="BodyText"/>
      </w:pPr>
      <w:r>
        <w:t xml:space="preserve">Nunca depender directamente de Apps Script.</w:t>
      </w:r>
    </w:p>
    <w:p>
      <w:pPr>
        <w:pStyle w:val="BodyText"/>
      </w:pPr>
      <w:r>
        <w:t xml:space="preserve">Siempre programar contra contratos.</w:t>
      </w:r>
    </w:p>
    <w:p>
      <w:pPr>
        <w:pStyle w:val="BodyText"/>
      </w:pPr>
      <w:r>
        <w:t xml:space="preserve">Siempre modelar primero el negocio.</w:t>
      </w:r>
    </w:p>
    <w:p>
      <w:r>
        <w:pict>
          <v:rect style="width:0;height:1.5pt" o:hralign="center" o:hrstd="t" o:hr="t"/>
        </w:pict>
      </w:r>
    </w:p>
    <w:bookmarkEnd w:id="65"/>
    <w:bookmarkStart w:id="66" w:name="visión-final"/>
    <w:p>
      <w:pPr>
        <w:pStyle w:val="Heading1"/>
      </w:pPr>
      <w:r>
        <w:t xml:space="preserve">27. VISIÓN FINAL</w:t>
      </w:r>
    </w:p>
    <w:p>
      <w:pPr>
        <w:pStyle w:val="FirstParagraph"/>
      </w:pPr>
      <w:r>
        <w:t xml:space="preserve">El ERP debe poder migrar desde:</w:t>
      </w:r>
    </w:p>
    <w:p>
      <w:pPr>
        <w:pStyle w:val="BodyText"/>
      </w:pPr>
      <w:r>
        <w:t xml:space="preserve">Apps Script + Sheets</w:t>
      </w:r>
    </w:p>
    <w:p>
      <w:pPr>
        <w:pStyle w:val="BodyText"/>
      </w:pPr>
      <w:r>
        <w:t xml:space="preserve">hacia:</w:t>
      </w:r>
    </w:p>
    <w:p>
      <w:pPr>
        <w:pStyle w:val="BodyText"/>
      </w:pPr>
      <w:r>
        <w:t xml:space="preserve">Go</w:t>
      </w:r>
      <w:r>
        <w:t xml:space="preserve"> </w:t>
      </w:r>
      <w:r>
        <w:t xml:space="preserve">.NET</w:t>
      </w:r>
      <w:r>
        <w:t xml:space="preserve"> </w:t>
      </w:r>
      <w:r>
        <w:t xml:space="preserve">Java</w:t>
      </w:r>
      <w:r>
        <w:t xml:space="preserve"> </w:t>
      </w:r>
      <w:r>
        <w:t xml:space="preserve">Node.js</w:t>
      </w:r>
    </w:p>
    <w:p>
      <w:pPr>
        <w:pStyle w:val="BodyText"/>
      </w:pPr>
      <w:r>
        <w:t xml:space="preserve">sin modificar:</w:t>
      </w:r>
    </w:p>
    <w:p>
      <w:pPr>
        <w:pStyle w:val="Compact"/>
        <w:numPr>
          <w:ilvl w:val="0"/>
          <w:numId w:val="1016"/>
        </w:numPr>
      </w:pPr>
      <w:r>
        <w:t xml:space="preserve">Procesos</w:t>
      </w:r>
    </w:p>
    <w:p>
      <w:pPr>
        <w:pStyle w:val="Compact"/>
        <w:numPr>
          <w:ilvl w:val="0"/>
          <w:numId w:val="1016"/>
        </w:numPr>
      </w:pPr>
      <w:r>
        <w:t xml:space="preserve">Modelo de Datos</w:t>
      </w:r>
    </w:p>
    <w:p>
      <w:pPr>
        <w:pStyle w:val="Compact"/>
        <w:numPr>
          <w:ilvl w:val="0"/>
          <w:numId w:val="1016"/>
        </w:numPr>
      </w:pPr>
      <w:r>
        <w:t xml:space="preserve">Reglas Empresariales</w:t>
      </w:r>
    </w:p>
    <w:p>
      <w:pPr>
        <w:pStyle w:val="FirstParagraph"/>
      </w:pPr>
      <w:r>
        <w:t xml:space="preserve">La tecnología cambia.</w:t>
      </w:r>
    </w:p>
    <w:p>
      <w:pPr>
        <w:pStyle w:val="BodyText"/>
      </w:pPr>
      <w:r>
        <w:t xml:space="preserve">El dominio permanece.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2026-06-12T23:01:30Z</dcterms:created>
  <dcterms:modified xsi:type="dcterms:W3CDTF">2026-06-12T23:01:30Z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