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2_charting_strategy.md"/>
    <w:p>
      <w:pPr>
        <w:pStyle w:val="Heading1"/>
      </w:pPr>
      <w:r>
        <w:t xml:space="preserve">ADR-002_CHARTING_STRATEGY.md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de visualización de información, indicadores y dashboards dentro del ERP.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adopta una filosofía:</w:t>
      </w:r>
    </w:p>
    <w:p>
      <w:pPr>
        <w:pStyle w:val="SourceCode"/>
      </w:pPr>
      <w:r>
        <w:rPr>
          <w:rStyle w:val="VerbatimChar"/>
        </w:rPr>
        <w:t xml:space="preserve">Analytics First</w:t>
      </w:r>
    </w:p>
    <w:p>
      <w:pPr>
        <w:pStyle w:val="FirstParagraph"/>
      </w:pPr>
      <w:r>
        <w:t xml:space="preserve">establecida en:</w:t>
      </w:r>
    </w:p>
    <w:p>
      <w:pPr>
        <w:pStyle w:val="SourceCode"/>
      </w:pPr>
      <w:r>
        <w:rPr>
          <w:rStyle w:val="VerbatimChar"/>
        </w:rPr>
        <w:t xml:space="preserve">12_ANALYTICS_STRATEGY_V1.md</w:t>
      </w:r>
    </w:p>
    <w:p>
      <w:pPr>
        <w:pStyle w:val="FirstParagraph"/>
      </w:pPr>
      <w:r>
        <w:t xml:space="preserve">La información debe transformarse en conocimiento visual de manera consistente en todos los módulos.</w:t>
      </w:r>
    </w:p>
    <w:p>
      <w:r>
        <w:pict>
          <v:rect style="width:0;height:1.5pt" o:hralign="center" o:hrstd="t" o:hr="t"/>
        </w:pict>
      </w:r>
    </w:p>
    <w:bookmarkEnd w:id="25"/>
    <w:bookmarkStart w:id="26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Existen múltiples alternativas para representar datos:</w:t>
      </w:r>
    </w:p>
    <w:p>
      <w:pPr>
        <w:pStyle w:val="Compact"/>
        <w:numPr>
          <w:ilvl w:val="0"/>
          <w:numId w:val="1001"/>
        </w:numPr>
      </w:pPr>
      <w:r>
        <w:t xml:space="preserve">Chart.js</w:t>
      </w:r>
    </w:p>
    <w:p>
      <w:pPr>
        <w:pStyle w:val="Compact"/>
        <w:numPr>
          <w:ilvl w:val="0"/>
          <w:numId w:val="1001"/>
        </w:numPr>
      </w:pPr>
      <w:r>
        <w:t xml:space="preserve">ApexCharts</w:t>
      </w:r>
    </w:p>
    <w:p>
      <w:pPr>
        <w:pStyle w:val="Compact"/>
        <w:numPr>
          <w:ilvl w:val="0"/>
          <w:numId w:val="1001"/>
        </w:numPr>
      </w:pPr>
      <w:r>
        <w:t xml:space="preserve">ECharts</w:t>
      </w:r>
    </w:p>
    <w:p>
      <w:pPr>
        <w:pStyle w:val="Compact"/>
        <w:numPr>
          <w:ilvl w:val="0"/>
          <w:numId w:val="1001"/>
        </w:numPr>
      </w:pPr>
      <w:r>
        <w:t xml:space="preserve">Highcharts</w:t>
      </w:r>
    </w:p>
    <w:p>
      <w:pPr>
        <w:pStyle w:val="Compact"/>
        <w:numPr>
          <w:ilvl w:val="0"/>
          <w:numId w:val="1001"/>
        </w:numPr>
      </w:pPr>
      <w:r>
        <w:t xml:space="preserve">D3.js</w:t>
      </w:r>
    </w:p>
    <w:p>
      <w:pPr>
        <w:pStyle w:val="Compact"/>
        <w:numPr>
          <w:ilvl w:val="0"/>
          <w:numId w:val="1001"/>
        </w:numPr>
      </w:pPr>
      <w:r>
        <w:t xml:space="preserve">Google Charts</w:t>
      </w:r>
    </w:p>
    <w:p>
      <w:pPr>
        <w:pStyle w:val="Compact"/>
        <w:numPr>
          <w:ilvl w:val="0"/>
          <w:numId w:val="1001"/>
        </w:numPr>
      </w:pPr>
      <w:r>
        <w:t xml:space="preserve">Looker Studio</w:t>
      </w:r>
    </w:p>
    <w:p>
      <w:pPr>
        <w:pStyle w:val="FirstParagraph"/>
      </w:pPr>
      <w:r>
        <w:t xml:space="preserve">La adopción indiscriminada de múltiples librerías genera:</w:t>
      </w:r>
    </w:p>
    <w:p>
      <w:pPr>
        <w:pStyle w:val="Compact"/>
        <w:numPr>
          <w:ilvl w:val="0"/>
          <w:numId w:val="1002"/>
        </w:numPr>
      </w:pPr>
      <w:r>
        <w:t xml:space="preserve">inconsistencias visuales</w:t>
      </w:r>
    </w:p>
    <w:p>
      <w:pPr>
        <w:pStyle w:val="Compact"/>
        <w:numPr>
          <w:ilvl w:val="0"/>
          <w:numId w:val="1002"/>
        </w:numPr>
      </w:pPr>
      <w:r>
        <w:t xml:space="preserve">mantenimiento complejo</w:t>
      </w:r>
    </w:p>
    <w:p>
      <w:pPr>
        <w:pStyle w:val="Compact"/>
        <w:numPr>
          <w:ilvl w:val="0"/>
          <w:numId w:val="1002"/>
        </w:numPr>
      </w:pPr>
      <w:r>
        <w:t xml:space="preserve">duplicación tecnológica</w:t>
      </w:r>
    </w:p>
    <w:p>
      <w:pPr>
        <w:pStyle w:val="Compact"/>
        <w:numPr>
          <w:ilvl w:val="0"/>
          <w:numId w:val="1002"/>
        </w:numPr>
      </w:pPr>
      <w:r>
        <w:t xml:space="preserve">experiencias diferentes para el usuario</w:t>
      </w:r>
    </w:p>
    <w:p>
      <w:r>
        <w:pict>
          <v:rect style="width:0;height:1.5pt" o:hralign="center" o:hrstd="t" o:hr="t"/>
        </w:pict>
      </w:r>
    </w:p>
    <w:bookmarkEnd w:id="26"/>
    <w:bookmarkStart w:id="30" w:name="decisión-adoptada"/>
    <w:p>
      <w:pPr>
        <w:pStyle w:val="Heading1"/>
      </w:pPr>
      <w:r>
        <w:t xml:space="preserve">Decisión Adoptada</w:t>
      </w:r>
    </w:p>
    <w:bookmarkStart w:id="29" w:name="estrategia-corporativa"/>
    <w:p>
      <w:pPr>
        <w:pStyle w:val="Heading2"/>
      </w:pPr>
      <w:r>
        <w:t xml:space="preserve">Estrategia Corporativa</w:t>
      </w:r>
    </w:p>
    <w:p>
      <w:pPr>
        <w:pStyle w:val="FirstParagraph"/>
      </w:pPr>
      <w:r>
        <w:t xml:space="preserve">La visualización de información se divide en dos niveles:</w:t>
      </w:r>
    </w:p>
    <w:bookmarkStart w:id="27" w:name="nivel-operacional"/>
    <w:p>
      <w:pPr>
        <w:pStyle w:val="Heading3"/>
      </w:pPr>
      <w:r>
        <w:t xml:space="preserve">Nivel Operacional</w:t>
      </w:r>
    </w:p>
    <w:p>
      <w:pPr>
        <w:pStyle w:val="FirstParagraph"/>
      </w:pPr>
      <w:r>
        <w:t xml:space="preserve">Dashboards integrados al ERP.</w:t>
      </w:r>
    </w:p>
    <w:p>
      <w:r>
        <w:pict>
          <v:rect style="width:0;height:1.5pt" o:hralign="center" o:hrstd="t" o:hr="t"/>
        </w:pict>
      </w:r>
    </w:p>
    <w:bookmarkEnd w:id="27"/>
    <w:bookmarkStart w:id="28" w:name="nivel-analítico"/>
    <w:p>
      <w:pPr>
        <w:pStyle w:val="Heading3"/>
      </w:pPr>
      <w:r>
        <w:t xml:space="preserve">Nivel Analítico</w:t>
      </w:r>
    </w:p>
    <w:p>
      <w:pPr>
        <w:pStyle w:val="FirstParagraph"/>
      </w:pPr>
      <w:r>
        <w:t xml:space="preserve">Dashboards ejecutivos y Business Intelligence.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nivel-operacional-1"/>
    <w:p>
      <w:pPr>
        <w:pStyle w:val="Heading1"/>
      </w:pPr>
      <w:r>
        <w:t xml:space="preserve">Nivel Operacional</w:t>
      </w:r>
    </w:p>
    <w:bookmarkStart w:id="31" w:name="tecnología-oficial"/>
    <w:p>
      <w:pPr>
        <w:pStyle w:val="Heading2"/>
      </w:pPr>
      <w:r>
        <w:t xml:space="preserve">Tecnología Oficial</w:t>
      </w:r>
    </w:p>
    <w:p>
      <w:pPr>
        <w:pStyle w:val="SourceCode"/>
      </w:pPr>
      <w:r>
        <w:rPr>
          <w:rStyle w:val="VerbatimChar"/>
        </w:rPr>
        <w:t xml:space="preserve">ApexCharts</w:t>
      </w:r>
    </w:p>
    <w:p>
      <w:r>
        <w:pict>
          <v:rect style="width:0;height:1.5pt" o:hralign="center" o:hrstd="t" o:hr="t"/>
        </w:pict>
      </w:r>
    </w:p>
    <w:bookmarkEnd w:id="31"/>
    <w:bookmarkStart w:id="32" w:name="justificación"/>
    <w:p>
      <w:pPr>
        <w:pStyle w:val="Heading2"/>
      </w:pPr>
      <w:r>
        <w:t xml:space="preserve">Justificación</w:t>
      </w:r>
    </w:p>
    <w:p>
      <w:pPr>
        <w:pStyle w:val="FirstParagraph"/>
      </w:pPr>
      <w:r>
        <w:t xml:space="preserve">ApexCharts proporciona:</w:t>
      </w:r>
    </w:p>
    <w:p>
      <w:pPr>
        <w:pStyle w:val="Compact"/>
        <w:numPr>
          <w:ilvl w:val="0"/>
          <w:numId w:val="1003"/>
        </w:numPr>
      </w:pPr>
      <w:r>
        <w:t xml:space="preserve">experiencia moderna</w:t>
      </w:r>
    </w:p>
    <w:p>
      <w:pPr>
        <w:pStyle w:val="Compact"/>
        <w:numPr>
          <w:ilvl w:val="0"/>
          <w:numId w:val="1003"/>
        </w:numPr>
      </w:pPr>
      <w:r>
        <w:t xml:space="preserve">excelente visualización</w:t>
      </w:r>
    </w:p>
    <w:p>
      <w:pPr>
        <w:pStyle w:val="Compact"/>
        <w:numPr>
          <w:ilvl w:val="0"/>
          <w:numId w:val="1003"/>
        </w:numPr>
      </w:pPr>
      <w:r>
        <w:t xml:space="preserve">compatibilidad con Apps Script</w:t>
      </w:r>
    </w:p>
    <w:p>
      <w:pPr>
        <w:pStyle w:val="Compact"/>
        <w:numPr>
          <w:ilvl w:val="0"/>
          <w:numId w:val="1003"/>
        </w:numPr>
      </w:pPr>
      <w:r>
        <w:t xml:space="preserve">integración sencilla con HTML</w:t>
      </w:r>
    </w:p>
    <w:p>
      <w:pPr>
        <w:pStyle w:val="Compact"/>
        <w:numPr>
          <w:ilvl w:val="0"/>
          <w:numId w:val="1003"/>
        </w:numPr>
      </w:pPr>
      <w:r>
        <w:t xml:space="preserve">bajo esfuerzo de implementación</w:t>
      </w:r>
    </w:p>
    <w:p>
      <w:pPr>
        <w:pStyle w:val="Compact"/>
        <w:numPr>
          <w:ilvl w:val="0"/>
          <w:numId w:val="1003"/>
        </w:numPr>
      </w:pPr>
      <w:r>
        <w:t xml:space="preserve">experiencia cercana a aplicaciones empresariales modernas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nivel-analítico-1"/>
    <w:p>
      <w:pPr>
        <w:pStyle w:val="Heading1"/>
      </w:pPr>
      <w:r>
        <w:t xml:space="preserve">Nivel Analítico</w:t>
      </w:r>
    </w:p>
    <w:bookmarkStart w:id="34" w:name="tecnología-oficial-1"/>
    <w:p>
      <w:pPr>
        <w:pStyle w:val="Heading2"/>
      </w:pPr>
      <w:r>
        <w:t xml:space="preserve">Tecnología Oficial</w:t>
      </w:r>
    </w:p>
    <w:p>
      <w:pPr>
        <w:pStyle w:val="SourceCode"/>
      </w:pPr>
      <w:r>
        <w:rPr>
          <w:rStyle w:val="VerbatimChar"/>
        </w:rPr>
        <w:t xml:space="preserve">Looker Studio</w:t>
      </w:r>
    </w:p>
    <w:p>
      <w:r>
        <w:pict>
          <v:rect style="width:0;height:1.5pt" o:hralign="center" o:hrstd="t" o:hr="t"/>
        </w:pict>
      </w:r>
    </w:p>
    <w:bookmarkEnd w:id="34"/>
    <w:bookmarkStart w:id="35" w:name="justificación-1"/>
    <w:p>
      <w:pPr>
        <w:pStyle w:val="Heading2"/>
      </w:pPr>
      <w:r>
        <w:t xml:space="preserve">Justificación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4"/>
        </w:numPr>
      </w:pPr>
      <w:r>
        <w:t xml:space="preserve">reporting corporativo</w:t>
      </w:r>
    </w:p>
    <w:p>
      <w:pPr>
        <w:pStyle w:val="Compact"/>
        <w:numPr>
          <w:ilvl w:val="0"/>
          <w:numId w:val="1004"/>
        </w:numPr>
      </w:pPr>
      <w:r>
        <w:t xml:space="preserve">dashboards ejecutivos</w:t>
      </w:r>
    </w:p>
    <w:p>
      <w:pPr>
        <w:pStyle w:val="Compact"/>
        <w:numPr>
          <w:ilvl w:val="0"/>
          <w:numId w:val="1004"/>
        </w:numPr>
      </w:pPr>
      <w:r>
        <w:t xml:space="preserve">análisis histórico</w:t>
      </w:r>
    </w:p>
    <w:p>
      <w:pPr>
        <w:pStyle w:val="Compact"/>
        <w:numPr>
          <w:ilvl w:val="0"/>
          <w:numId w:val="1004"/>
        </w:numPr>
      </w:pPr>
      <w:r>
        <w:t xml:space="preserve">distribución de reportes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rincipio"/>
    <w:p>
      <w:pPr>
        <w:pStyle w:val="Heading1"/>
      </w:pPr>
      <w:r>
        <w:t xml:space="preserve">Principio</w:t>
      </w:r>
    </w:p>
    <w:bookmarkStart w:id="37" w:name="erp"/>
    <w:p>
      <w:pPr>
        <w:pStyle w:val="Heading2"/>
      </w:pPr>
      <w:r>
        <w:t xml:space="preserve">ERP</w:t>
      </w:r>
    </w:p>
    <w:p>
      <w:pPr>
        <w:pStyle w:val="FirstParagraph"/>
      </w:pPr>
      <w:r>
        <w:t xml:space="preserve">Visualiza operación.</w:t>
      </w:r>
    </w:p>
    <w:p>
      <w:r>
        <w:pict>
          <v:rect style="width:0;height:1.5pt" o:hralign="center" o:hrstd="t" o:hr="t"/>
        </w:pict>
      </w:r>
    </w:p>
    <w:bookmarkEnd w:id="37"/>
    <w:bookmarkStart w:id="38" w:name="looker-studio"/>
    <w:p>
      <w:pPr>
        <w:pStyle w:val="Heading2"/>
      </w:pPr>
      <w:r>
        <w:t xml:space="preserve">Looker Studio</w:t>
      </w:r>
    </w:p>
    <w:p>
      <w:pPr>
        <w:pStyle w:val="FirstParagraph"/>
      </w:pPr>
      <w:r>
        <w:t xml:space="preserve">Visualiza inteligencia empresarial.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tipos-de-gráficos-permitidos"/>
    <w:p>
      <w:pPr>
        <w:pStyle w:val="Heading1"/>
      </w:pPr>
      <w:r>
        <w:t xml:space="preserve">Tipos de Gráficos Permitidos</w:t>
      </w:r>
    </w:p>
    <w:bookmarkStart w:id="40" w:name="kpi-cards"/>
    <w:p>
      <w:pPr>
        <w:pStyle w:val="Heading2"/>
      </w:pPr>
      <w:r>
        <w:t xml:space="preserve">KPI Cards</w:t>
      </w:r>
    </w:p>
    <w:p>
      <w:pPr>
        <w:pStyle w:val="FirstParagraph"/>
      </w:pPr>
      <w:r>
        <w:t xml:space="preserve">Uso principal.</w:t>
      </w:r>
    </w:p>
    <w:p>
      <w:r>
        <w:pict>
          <v:rect style="width:0;height:1.5pt" o:hralign="center" o:hrstd="t" o:hr="t"/>
        </w:pict>
      </w:r>
    </w:p>
    <w:bookmarkEnd w:id="40"/>
    <w:bookmarkStart w:id="41" w:name="barras"/>
    <w:p>
      <w:pPr>
        <w:pStyle w:val="Heading2"/>
      </w:pPr>
      <w:r>
        <w:t xml:space="preserve">Barras</w:t>
      </w:r>
    </w:p>
    <w:p>
      <w:pPr>
        <w:pStyle w:val="FirstParagraph"/>
      </w:pPr>
      <w:r>
        <w:t xml:space="preserve">Comparación de categorías.</w:t>
      </w:r>
    </w:p>
    <w:p>
      <w:r>
        <w:pict>
          <v:rect style="width:0;height:1.5pt" o:hralign="center" o:hrstd="t" o:hr="t"/>
        </w:pict>
      </w:r>
    </w:p>
    <w:bookmarkEnd w:id="41"/>
    <w:bookmarkStart w:id="42" w:name="líneas"/>
    <w:p>
      <w:pPr>
        <w:pStyle w:val="Heading2"/>
      </w:pPr>
      <w:r>
        <w:t xml:space="preserve">Líneas</w:t>
      </w:r>
    </w:p>
    <w:p>
      <w:pPr>
        <w:pStyle w:val="FirstParagraph"/>
      </w:pPr>
      <w:r>
        <w:t xml:space="preserve">Evolución temporal.</w:t>
      </w:r>
    </w:p>
    <w:p>
      <w:r>
        <w:pict>
          <v:rect style="width:0;height:1.5pt" o:hralign="center" o:hrstd="t" o:hr="t"/>
        </w:pict>
      </w:r>
    </w:p>
    <w:bookmarkEnd w:id="42"/>
    <w:bookmarkStart w:id="43" w:name="donut"/>
    <w:p>
      <w:pPr>
        <w:pStyle w:val="Heading2"/>
      </w:pPr>
      <w:r>
        <w:t xml:space="preserve">Donut</w:t>
      </w:r>
    </w:p>
    <w:p>
      <w:pPr>
        <w:pStyle w:val="FirstParagraph"/>
      </w:pPr>
      <w:r>
        <w:t xml:space="preserve">Distribución porcentual.</w:t>
      </w:r>
    </w:p>
    <w:p>
      <w:r>
        <w:pict>
          <v:rect style="width:0;height:1.5pt" o:hralign="center" o:hrstd="t" o:hr="t"/>
        </w:pict>
      </w:r>
    </w:p>
    <w:bookmarkEnd w:id="43"/>
    <w:bookmarkStart w:id="44" w:name="área"/>
    <w:p>
      <w:pPr>
        <w:pStyle w:val="Heading2"/>
      </w:pPr>
      <w:r>
        <w:t xml:space="preserve">Área</w:t>
      </w:r>
    </w:p>
    <w:p>
      <w:pPr>
        <w:pStyle w:val="FirstParagraph"/>
      </w:pPr>
      <w:r>
        <w:t xml:space="preserve">Tendencias acumuladas.</w:t>
      </w:r>
    </w:p>
    <w:p>
      <w:r>
        <w:pict>
          <v:rect style="width:0;height:1.5pt" o:hralign="center" o:hrstd="t" o:hr="t"/>
        </w:pict>
      </w:r>
    </w:p>
    <w:bookmarkEnd w:id="44"/>
    <w:bookmarkStart w:id="45" w:name="tabla-analítica"/>
    <w:p>
      <w:pPr>
        <w:pStyle w:val="Heading2"/>
      </w:pPr>
      <w:r>
        <w:t xml:space="preserve">Tabla Analítica</w:t>
      </w:r>
    </w:p>
    <w:p>
      <w:pPr>
        <w:pStyle w:val="FirstParagraph"/>
      </w:pPr>
      <w:r>
        <w:t xml:space="preserve">Visualización detallada.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ipos-de-gráficos-restringidos"/>
    <w:p>
      <w:pPr>
        <w:pStyle w:val="Heading1"/>
      </w:pPr>
      <w:r>
        <w:t xml:space="preserve">Tipos de Gráficos Restringidos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Radar</w:t>
      </w:r>
      <w:r>
        <w:br/>
      </w:r>
      <w:r>
        <w:br/>
      </w:r>
      <w:r>
        <w:rPr>
          <w:rStyle w:val="VerbatimChar"/>
        </w:rPr>
        <w:t xml:space="preserve">Gauge complejos</w:t>
      </w:r>
      <w:r>
        <w:br/>
      </w:r>
      <w:r>
        <w:br/>
      </w:r>
      <w:r>
        <w:rPr>
          <w:rStyle w:val="VerbatimChar"/>
        </w:rPr>
        <w:t xml:space="preserve">3D Charts</w:t>
      </w:r>
      <w:r>
        <w:br/>
      </w:r>
      <w:r>
        <w:br/>
      </w:r>
      <w:r>
        <w:rPr>
          <w:rStyle w:val="VerbatimChar"/>
        </w:rPr>
        <w:t xml:space="preserve">Pie múltiples</w:t>
      </w:r>
      <w:r>
        <w:br/>
      </w:r>
      <w:r>
        <w:br/>
      </w:r>
      <w:r>
        <w:rPr>
          <w:rStyle w:val="VerbatimChar"/>
        </w:rPr>
        <w:t xml:space="preserve">Visualizaciones decorativas</w:t>
      </w:r>
    </w:p>
    <w:p>
      <w:r>
        <w:pict>
          <v:rect style="width:0;height:1.5pt" o:hralign="center" o:hrstd="t" o:hr="t"/>
        </w:pict>
      </w:r>
    </w:p>
    <w:bookmarkEnd w:id="47"/>
    <w:bookmarkStart w:id="50" w:name="principio-ux"/>
    <w:p>
      <w:pPr>
        <w:pStyle w:val="Heading1"/>
      </w:pPr>
      <w:r>
        <w:t xml:space="preserve">Principio UX</w:t>
      </w:r>
    </w:p>
    <w:p>
      <w:pPr>
        <w:pStyle w:val="FirstParagraph"/>
      </w:pPr>
      <w:r>
        <w:t xml:space="preserve">La visualización debe responder preguntas empresariales.</w:t>
      </w:r>
    </w:p>
    <w:p>
      <w:r>
        <w:pict>
          <v:rect style="width:0;height:1.5pt" o:hralign="center" o:hrstd="t" o:hr="t"/>
        </w:pict>
      </w:r>
    </w:p>
    <w:bookmarkStart w:id="48" w:name="incorrecto"/>
    <w:p>
      <w:pPr>
        <w:pStyle w:val="Heading2"/>
      </w:pPr>
      <w:r>
        <w:t xml:space="preserve">Incorrecto</w:t>
      </w:r>
    </w:p>
    <w:p>
      <w:pPr>
        <w:pStyle w:val="SourceCode"/>
      </w:pPr>
      <w:r>
        <w:rPr>
          <w:rStyle w:val="VerbatimChar"/>
        </w:rPr>
        <w:t xml:space="preserve">Mostrar gráficos porque se ven bonitos.</w:t>
      </w:r>
    </w:p>
    <w:p>
      <w:r>
        <w:pict>
          <v:rect style="width:0;height:1.5pt" o:hralign="center" o:hrstd="t" o:hr="t"/>
        </w:pict>
      </w:r>
    </w:p>
    <w:bookmarkEnd w:id="48"/>
    <w:bookmarkStart w:id="49" w:name="correcto"/>
    <w:p>
      <w:pPr>
        <w:pStyle w:val="Heading2"/>
      </w:pPr>
      <w:r>
        <w:t xml:space="preserve">Correcto</w:t>
      </w:r>
    </w:p>
    <w:p>
      <w:pPr>
        <w:pStyle w:val="SourceCode"/>
      </w:pPr>
      <w:r>
        <w:rPr>
          <w:rStyle w:val="VerbatimChar"/>
        </w:rPr>
        <w:t xml:space="preserve">Mostrar gráficos porque ayudan a tomar decisiones.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kpi-first"/>
    <w:p>
      <w:pPr>
        <w:pStyle w:val="Heading1"/>
      </w:pPr>
      <w:r>
        <w:t xml:space="preserve">KPI First</w:t>
      </w:r>
    </w:p>
    <w:p>
      <w:pPr>
        <w:pStyle w:val="FirstParagraph"/>
      </w:pPr>
      <w:r>
        <w:t xml:space="preserve">Todo dashboard deberá comenzar con indicadores clave.</w:t>
      </w:r>
    </w:p>
    <w:p>
      <w:r>
        <w:pict>
          <v:rect style="width:0;height:1.5pt" o:hralign="center" o:hrstd="t" o:hr="t"/>
        </w:pict>
      </w:r>
    </w:p>
    <w:bookmarkStart w:id="51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Ventas del Mes</w:t>
      </w:r>
      <w:r>
        <w:br/>
      </w:r>
      <w:r>
        <w:br/>
      </w:r>
      <w:r>
        <w:rPr>
          <w:rStyle w:val="VerbatimChar"/>
        </w:rPr>
        <w:t xml:space="preserve">Expedientes Activos</w:t>
      </w:r>
      <w:r>
        <w:br/>
      </w:r>
      <w:r>
        <w:br/>
      </w:r>
      <w:r>
        <w:rPr>
          <w:rStyle w:val="VerbatimChar"/>
        </w:rPr>
        <w:t xml:space="preserve">Cobranza Pendiente</w:t>
      </w:r>
      <w:r>
        <w:br/>
      </w:r>
      <w:r>
        <w:br/>
      </w:r>
      <w:r>
        <w:rPr>
          <w:rStyle w:val="VerbatimChar"/>
        </w:rPr>
        <w:t xml:space="preserve">Vacantes Abiertas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structura-estándar-dashboard"/>
    <w:p>
      <w:pPr>
        <w:pStyle w:val="Heading1"/>
      </w:pPr>
      <w:r>
        <w:t xml:space="preserve">Estructura Estándar Dashboard</w:t>
      </w:r>
    </w:p>
    <w:p>
      <w:pPr>
        <w:pStyle w:val="SourceCode"/>
      </w:pP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Alertas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Gráficos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Detalle Tabular</w:t>
      </w:r>
    </w:p>
    <w:p>
      <w:r>
        <w:pict>
          <v:rect style="width:0;height:1.5pt" o:hralign="center" o:hrstd="t" o:hr="t"/>
        </w:pict>
      </w:r>
    </w:p>
    <w:bookmarkEnd w:id="53"/>
    <w:bookmarkStart w:id="54" w:name="responsividad"/>
    <w:p>
      <w:pPr>
        <w:pStyle w:val="Heading1"/>
      </w:pPr>
      <w:r>
        <w:t xml:space="preserve">Responsividad</w:t>
      </w:r>
    </w:p>
    <w:p>
      <w:pPr>
        <w:pStyle w:val="FirstParagraph"/>
      </w:pPr>
      <w:r>
        <w:t xml:space="preserve">Todos los gráficos deberán funcionar en:</w:t>
      </w:r>
    </w:p>
    <w:p>
      <w:pPr>
        <w:pStyle w:val="Compact"/>
        <w:numPr>
          <w:ilvl w:val="0"/>
          <w:numId w:val="1005"/>
        </w:numPr>
      </w:pPr>
      <w:r>
        <w:t xml:space="preserve">desktop</w:t>
      </w:r>
    </w:p>
    <w:p>
      <w:pPr>
        <w:pStyle w:val="Compact"/>
        <w:numPr>
          <w:ilvl w:val="0"/>
          <w:numId w:val="1005"/>
        </w:numPr>
      </w:pPr>
      <w:r>
        <w:t xml:space="preserve">tablet</w:t>
      </w:r>
    </w:p>
    <w:p>
      <w:pPr>
        <w:pStyle w:val="Compact"/>
        <w:numPr>
          <w:ilvl w:val="0"/>
          <w:numId w:val="1005"/>
        </w:numPr>
      </w:pPr>
      <w:r>
        <w:t xml:space="preserve">móvil</w:t>
      </w:r>
    </w:p>
    <w:p>
      <w:r>
        <w:pict>
          <v:rect style="width:0;height:1.5pt" o:hralign="center" o:hrstd="t" o:hr="t"/>
        </w:pict>
      </w:r>
    </w:p>
    <w:bookmarkEnd w:id="54"/>
    <w:bookmarkStart w:id="56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Los gráficos deberán consumir únicamente la información necesaria.</w:t>
      </w:r>
    </w:p>
    <w:p>
      <w:r>
        <w:pict>
          <v:rect style="width:0;height:1.5pt" o:hralign="center" o:hrstd="t" o:hr="t"/>
        </w:pict>
      </w:r>
    </w:p>
    <w:bookmarkStart w:id="55" w:name="evitar"/>
    <w:p>
      <w:pPr>
        <w:pStyle w:val="Heading2"/>
      </w:pPr>
      <w:r>
        <w:t xml:space="preserve">Evitar</w:t>
      </w:r>
    </w:p>
    <w:p>
      <w:pPr>
        <w:pStyle w:val="FirstParagraph"/>
      </w:pPr>
      <w:r>
        <w:t xml:space="preserve">Cargar grandes volúmenes de datos directamente en navegador.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integración-con-analytics"/>
    <w:p>
      <w:pPr>
        <w:pStyle w:val="Heading1"/>
      </w:pPr>
      <w:r>
        <w:t xml:space="preserve">Integración con Analytics</w:t>
      </w:r>
    </w:p>
    <w:p>
      <w:pPr>
        <w:pStyle w:val="FirstParagraph"/>
      </w:pPr>
      <w:r>
        <w:t xml:space="preserve">Los dashboards operativos podrán consumir información proveniente de:</w:t>
      </w:r>
    </w:p>
    <w:p>
      <w:pPr>
        <w:pStyle w:val="SourceCode"/>
      </w:pP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Google Sheets</w:t>
      </w:r>
      <w:r>
        <w:br/>
      </w:r>
      <w:r>
        <w:br/>
      </w:r>
      <w:r>
        <w:rPr>
          <w:rStyle w:val="VerbatimChar"/>
        </w:rPr>
        <w:t xml:space="preserve">APIs futuras</w:t>
      </w:r>
    </w:p>
    <w:p>
      <w:r>
        <w:pict>
          <v:rect style="width:0;height:1.5pt" o:hralign="center" o:hrstd="t" o:hr="t"/>
        </w:pict>
      </w:r>
    </w:p>
    <w:bookmarkEnd w:id="57"/>
    <w:bookmarkStart w:id="58" w:name="evolución-futura"/>
    <w:p>
      <w:pPr>
        <w:pStyle w:val="Heading1"/>
      </w:pPr>
      <w:r>
        <w:t xml:space="preserve">Evolución Futura</w:t>
      </w:r>
    </w:p>
    <w:p>
      <w:pPr>
        <w:pStyle w:val="FirstParagraph"/>
      </w:pPr>
      <w:r>
        <w:t xml:space="preserve">La estrategia deberá mantenerse compatible con:</w:t>
      </w:r>
    </w:p>
    <w:p>
      <w:pPr>
        <w:pStyle w:val="SourceCode"/>
      </w:pPr>
      <w:r>
        <w:rPr>
          <w:rStyle w:val="VerbatimChar"/>
        </w:rPr>
        <w:t xml:space="preserve">SvelteKit</w:t>
      </w:r>
      <w:r>
        <w:br/>
      </w:r>
      <w:r>
        <w:br/>
      </w:r>
      <w:r>
        <w:rPr>
          <w:rStyle w:val="VerbatimChar"/>
        </w:rPr>
        <w:t xml:space="preserve">Go</w:t>
      </w:r>
      <w:r>
        <w:br/>
      </w:r>
      <w:r>
        <w:br/>
      </w:r>
      <w:r>
        <w:rPr>
          <w:rStyle w:val="VerbatimChar"/>
        </w:rPr>
        <w:t xml:space="preserve">.NET</w:t>
      </w:r>
      <w:r>
        <w:br/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58"/>
    <w:bookmarkStart w:id="61" w:name="anti-vendor-lock-in"/>
    <w:p>
      <w:pPr>
        <w:pStyle w:val="Heading1"/>
      </w:pPr>
      <w:r>
        <w:t xml:space="preserve">Anti Vendor Lock-In</w:t>
      </w:r>
    </w:p>
    <w:p>
      <w:pPr>
        <w:pStyle w:val="FirstParagraph"/>
      </w:pPr>
      <w:r>
        <w:t xml:space="preserve">La plataforma no dependerá exclusivamente de ApexCharts.</w:t>
      </w:r>
    </w:p>
    <w:p>
      <w:r>
        <w:pict>
          <v:rect style="width:0;height:1.5pt" o:hralign="center" o:hrstd="t" o:hr="t"/>
        </w:pict>
      </w:r>
    </w:p>
    <w:bookmarkStart w:id="59" w:name="principio-1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dashboards pertenecen al ERP.</w:t>
      </w:r>
    </w:p>
    <w:p>
      <w:pPr>
        <w:pStyle w:val="BodyText"/>
      </w:pPr>
      <w:r>
        <w:t xml:space="preserve">No a la librería.</w:t>
      </w:r>
    </w:p>
    <w:p>
      <w:r>
        <w:pict>
          <v:rect style="width:0;height:1.5pt" o:hralign="center" o:hrstd="t" o:hr="t"/>
        </w:pict>
      </w:r>
    </w:p>
    <w:bookmarkEnd w:id="59"/>
    <w:bookmarkStart w:id="60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Dashboard Comercial</w:t>
      </w:r>
    </w:p>
    <w:p>
      <w:pPr>
        <w:pStyle w:val="FirstParagraph"/>
      </w:pPr>
      <w:r>
        <w:t xml:space="preserve">es una capacidad empresarial.</w:t>
      </w:r>
    </w:p>
    <w:p>
      <w:pPr>
        <w:pStyle w:val="BodyText"/>
      </w:pPr>
      <w:r>
        <w:t xml:space="preserve">No un componente ApexCharts.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4" w:name="librerías-evaluadas"/>
    <w:p>
      <w:pPr>
        <w:pStyle w:val="Heading1"/>
      </w:pPr>
      <w:r>
        <w:t xml:space="preserve">Librerías Evaluadas</w:t>
      </w:r>
    </w:p>
    <w:bookmarkStart w:id="64" w:name="chart.js"/>
    <w:p>
      <w:pPr>
        <w:pStyle w:val="Heading2"/>
      </w:pPr>
      <w:r>
        <w:t xml:space="preserve">Chart.js</w:t>
      </w:r>
    </w:p>
    <w:bookmarkStart w:id="62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No seleccionado.</w:t>
      </w:r>
    </w:p>
    <w:p>
      <w:r>
        <w:pict>
          <v:rect style="width:0;height:1.5pt" o:hralign="center" o:hrstd="t" o:hr="t"/>
        </w:pict>
      </w:r>
    </w:p>
    <w:bookmarkEnd w:id="62"/>
    <w:bookmarkStart w:id="63" w:name="motivo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Más simple pero menos orientado a dashboards empresariales.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echarts"/>
    <w:p>
      <w:pPr>
        <w:pStyle w:val="Heading2"/>
      </w:pPr>
      <w:r>
        <w:t xml:space="preserve">ECharts</w:t>
      </w:r>
    </w:p>
    <w:bookmarkStart w:id="65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No seleccionado.</w:t>
      </w:r>
    </w:p>
    <w:p>
      <w:r>
        <w:pict>
          <v:rect style="width:0;height:1.5pt" o:hralign="center" o:hrstd="t" o:hr="t"/>
        </w:pict>
      </w:r>
    </w:p>
    <w:bookmarkEnd w:id="65"/>
    <w:bookmarkStart w:id="66" w:name="motivo-1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Mayor complejidad de implementación.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highcharts"/>
    <w:p>
      <w:pPr>
        <w:pStyle w:val="Heading2"/>
      </w:pPr>
      <w:r>
        <w:t xml:space="preserve">Highcharts</w:t>
      </w:r>
    </w:p>
    <w:bookmarkStart w:id="68" w:name="resultado-2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No seleccionado.</w:t>
      </w:r>
    </w:p>
    <w:p>
      <w:r>
        <w:pict>
          <v:rect style="width:0;height:1.5pt" o:hralign="center" o:hrstd="t" o:hr="t"/>
        </w:pict>
      </w:r>
    </w:p>
    <w:bookmarkEnd w:id="68"/>
    <w:bookmarkStart w:id="69" w:name="motivo-2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Restricciones de licenciamiento.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d3.js"/>
    <w:p>
      <w:pPr>
        <w:pStyle w:val="Heading2"/>
      </w:pPr>
      <w:r>
        <w:t xml:space="preserve">D3.js</w:t>
      </w:r>
    </w:p>
    <w:bookmarkStart w:id="71" w:name="resultado-3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No seleccionado.</w:t>
      </w:r>
    </w:p>
    <w:p>
      <w:r>
        <w:pict>
          <v:rect style="width:0;height:1.5pt" o:hralign="center" o:hrstd="t" o:hr="t"/>
        </w:pict>
      </w:r>
    </w:p>
    <w:bookmarkEnd w:id="71"/>
    <w:bookmarkStart w:id="72" w:name="motivo-3"/>
    <w:p>
      <w:pPr>
        <w:pStyle w:val="Heading3"/>
      </w:pPr>
      <w:r>
        <w:t xml:space="preserve">Motivo</w:t>
      </w:r>
    </w:p>
    <w:p>
      <w:pPr>
        <w:pStyle w:val="FirstParagraph"/>
      </w:pPr>
      <w:r>
        <w:t xml:space="preserve">Excesivamente complejo para las necesidades actuales.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6"/>
        </w:numPr>
      </w:pPr>
      <w:r>
        <w:t xml:space="preserve">experiencia visual consistente</w:t>
      </w:r>
    </w:p>
    <w:p>
      <w:pPr>
        <w:pStyle w:val="Compact"/>
        <w:numPr>
          <w:ilvl w:val="0"/>
          <w:numId w:val="1006"/>
        </w:numPr>
      </w:pPr>
      <w:r>
        <w:t xml:space="preserve">menor curva de aprendizaje</w:t>
      </w:r>
    </w:p>
    <w:p>
      <w:pPr>
        <w:pStyle w:val="Compact"/>
        <w:numPr>
          <w:ilvl w:val="0"/>
          <w:numId w:val="1006"/>
        </w:numPr>
      </w:pPr>
      <w:r>
        <w:t xml:space="preserve">dashboards uniformes</w:t>
      </w:r>
    </w:p>
    <w:p>
      <w:pPr>
        <w:pStyle w:val="Compact"/>
        <w:numPr>
          <w:ilvl w:val="0"/>
          <w:numId w:val="1006"/>
        </w:numPr>
      </w:pPr>
      <w:r>
        <w:t xml:space="preserve">rápida implementación</w:t>
      </w:r>
    </w:p>
    <w:p>
      <w:r>
        <w:pict>
          <v:rect style="width:0;height:1.5pt" o:hralign="center" o:hrstd="t" o:hr="t"/>
        </w:pict>
      </w:r>
    </w:p>
    <w:bookmarkEnd w:id="75"/>
    <w:bookmarkStart w:id="76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7"/>
        </w:numPr>
      </w:pPr>
      <w:r>
        <w:t xml:space="preserve">menor flexibilidad para visualizaciones altamente especializadas</w:t>
      </w:r>
    </w:p>
    <w:p>
      <w:r>
        <w:pict>
          <v:rect style="width:0;height:1.5pt" o:hralign="center" o:hrstd="t" o:hr="t"/>
        </w:pict>
      </w:r>
    </w:p>
    <w:bookmarkEnd w:id="76"/>
    <w:bookmarkStart w:id="77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oficial de visualización será:</w:t>
      </w:r>
    </w:p>
    <w:p>
      <w:pPr>
        <w:pStyle w:val="SourceCode"/>
      </w:pPr>
      <w:r>
        <w:rPr>
          <w:rStyle w:val="VerbatimChar"/>
        </w:rPr>
        <w:t xml:space="preserve">ERP Operacional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ApexCharts</w:t>
      </w:r>
      <w:r>
        <w:br/>
      </w:r>
      <w:r>
        <w:br/>
      </w:r>
      <w:r>
        <w:rPr>
          <w:rStyle w:val="VerbatimChar"/>
        </w:rPr>
        <w:t xml:space="preserve">Business Intelligence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Looker Studio</w:t>
      </w:r>
    </w:p>
    <w:p>
      <w:pPr>
        <w:pStyle w:val="FirstParagraph"/>
      </w:pPr>
      <w:r>
        <w:t xml:space="preserve">Todos los módulos deberán utilizar esta estrategia para garantizar consistencia visual, simplicidad operativa y facilidad de evolución futura.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2026-06-15T17:11:16Z</dcterms:created>
  <dcterms:modified xsi:type="dcterms:W3CDTF">2026-06-15T17:11:16Z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