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gure-legends"/>
    <w:p>
      <w:pPr>
        <w:pStyle w:val="Heading1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COLMAP per-sequence largest-model registration (bars, left axis) and mean reprojection error (line, right axis) on the AQUALOC harbor sequences. Registration completeness varies widely, and sequence H05 stands out as a failure case with elevated reprojection error. Figure file:</w:t>
      </w:r>
      <w:r>
        <w:t xml:space="preserve"> </w:t>
      </w:r>
      <w:r>
        <w:rPr>
          <w:rStyle w:val="VerbatimChar"/>
        </w:rPr>
        <w:t xml:space="preserve">figures/figure1_colmap_per_sequence.png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Trajectory error (ATE RMSE, log scale) after Sim(3) alignment to ground truth. Bars show COLMAP on the</w:t>
      </w:r>
      <w:r>
        <w:t xml:space="preserve"> </w:t>
      </w:r>
      <w:r>
        <w:rPr>
          <w:b/>
          <w:bCs/>
        </w:rPr>
        <w:t xml:space="preserve">full sequences</w:t>
      </w:r>
      <w:r>
        <w:t xml:space="preserve">. Red diamonds show the</w:t>
      </w:r>
      <w:r>
        <w:t xml:space="preserve"> </w:t>
      </w:r>
      <w:r>
        <w:rPr>
          <w:b/>
          <w:bCs/>
        </w:rPr>
        <w:t xml:space="preserve">DUSt3R 20-frame-window</w:t>
      </w:r>
      <w:r>
        <w:t xml:space="preserve"> </w:t>
      </w:r>
      <w:r>
        <w:t xml:space="preserve">result for the three windows on which it was run (H01, H02, H07), and green open squares show</w:t>
      </w:r>
      <w:r>
        <w:t xml:space="preserve"> </w:t>
      </w:r>
      <w:r>
        <w:rPr>
          <w:b/>
          <w:bCs/>
        </w:rPr>
        <w:t xml:space="preserve">matched-window COLMAP</w:t>
      </w:r>
      <w:r>
        <w:t xml:space="preserve"> </w:t>
      </w:r>
      <w:r>
        <w:t xml:space="preserve">on those same 20-frame windows; these marker results are short-window values and are not directly comparable to the full-sequence bars. On the H07 window, matched-window COLMAP failed to register (2 of 20 frames, no trajectory), so no square is shown there. Five COLMAP full sequences are accurate to a few centimeters; H03 and H05 are substantially worse, while the DUSt3R windows cluster around 6 cm. Figure file:</w:t>
      </w:r>
      <w:r>
        <w:t xml:space="preserve"> </w:t>
      </w:r>
      <w:r>
        <w:rPr>
          <w:rStyle w:val="VerbatimChar"/>
        </w:rPr>
        <w:t xml:space="preserve">figures/figure2_ate_per_sequence.png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DUSt3R dense-point survival versus confidence threshold on three AQUALOC harbor windows. The maximum per-pixel confidence (2.68-3.17) lies at or just above the default threshold (3.0, dashed line), so default filtering removes essentially all points (0-0.5%) on every window. Figure file:</w:t>
      </w:r>
      <w:r>
        <w:t xml:space="preserve"> </w:t>
      </w:r>
      <w:r>
        <w:rPr>
          <w:rStyle w:val="VerbatimChar"/>
        </w:rPr>
        <w:t xml:space="preserve">figures/figure3_dust3r_confidence.png</w:t>
      </w:r>
      <w:r>
        <w:t xml:space="preserve">.</w:t>
      </w:r>
    </w:p>
    <w:bookmarkEnd w:id="9"/>
    <w:sectPr>
      <w:pgMar w:top="720" w:right="1440" w:bottom="720" w:left="1440" w:header="720" w:footer="720" w:gutter="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zh-CN" w:val="en-US"/>
      </w:rPr>
    </w:rPrDefault>
    <w:pPrDefault>
      <w:pPr>
        <w:spacing w:before="0" w:after="276" w:line="276" w:lineRule="auto"/>
        <w:ind w:firstLin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  <w:szCs w:val="24"/>
    </w:rPr>
    <w:pPr>
      <w:spacing w:before="0" w:after="276" w:line="276" w:lineRule="auto"/>
      <w:ind w:firstLine="0"/>
    </w:pPr>
  </w:style>
  <w:style w:styleId="BodyText" w:type="paragraph">
    <w:name w:val="Body Text"/>
    <w:basedOn w:val="Normal"/>
    <w:link w:val="BodyTextChar"/>
    <w:qFormat/>
    <w:pPr>
      <w:spacing w:before="0" w:after="276" w:line="276" w:lineRule="auto"/>
      <w:ind w:firstLine="0"/>
    </w:pPr>
    <w:rPr>
      <w:rFonts w:ascii="Times New Roman" w:hAnsi="Times New Roman" w:cs="Times New Roman" w:eastAsia="Times New Roman"/>
      <w:sz w:val="24"/>
      <w:szCs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  <w:szCs w:val="24"/>
    </w:rPr>
    <w:pPr>
      <w:spacing w:before="0" w:after="276" w:line="276" w:lineRule="auto"/>
      <w:ind w:firstLine="0"/>
    </w:pPr>
  </w:style>
  <w:style w:customStyle="1" w:styleId="Compact" w:type="paragraph">
    <w:name w:val="Compact"/>
    <w:basedOn w:val="BodyText"/>
    <w:qFormat/>
    <w:pPr>
      <w:spacing w:before="0" w:after="276" w:line="276" w:lineRule="auto"/>
      <w:ind w:firstLine="0"/>
    </w:pPr>
    <w:rPr>
      <w:rFonts w:ascii="Times New Roman" w:hAnsi="Times New Roman" w:cs="Times New Roman" w:eastAsia="Times New Roman"/>
      <w:sz w:val="24"/>
      <w:szCs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before="0" w:after="276" w:line="276" w:lineRule="auto"/>
      <w:contextualSpacing/>
      <w:jc w:val="center"/>
      <w:ind w:firstLine="0"/>
    </w:pPr>
    <w:rPr>
      <w:rFonts w:ascii="Times New Roman" w:hAnsi="Times New Roman" w:cs="Times New Roman" w:eastAsia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ind w:firstLine="0"/>
    </w:pPr>
    <w:rPr>
      <w:rFonts w:ascii="Times New Roman" w:hAnsi="Times New Roman" w:cs="Times New Roman" w:eastAsia="Times New Roman"/>
      <w:spacing w:before="0" w:after="276" w:line="276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276" w:line="276" w:lineRule="auto"/>
      <w:outlineLvl w:val="0"/>
      <w:ind w:firstLine="0"/>
    </w:pPr>
    <w:rPr>
      <w:rFonts w:ascii="Times New Roman" w:hAnsi="Times New Roman" w:cs="Times New Roman" w:eastAsia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276" w:line="276" w:lineRule="auto"/>
      <w:outlineLvl w:val="1"/>
      <w:ind w:firstLine="0"/>
    </w:pPr>
    <w:rPr>
      <w:rFonts w:ascii="Times New Roman" w:hAnsi="Times New Roman" w:cs="Times New Roman" w:eastAsia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276" w:line="276" w:lineRule="auto"/>
      <w:outlineLvl w:val="2"/>
      <w:ind w:firstLine="0"/>
    </w:pPr>
    <w:rPr>
      <w:rFonts w:ascii="Times New Roman" w:hAnsi="Times New Roman" w:cs="Times New Roman" w:eastAsia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276" w:line="276" w:lineRule="auto"/>
      <w:outlineLvl w:val="3"/>
      <w:ind w:firstLine="0"/>
    </w:pPr>
    <w:rPr>
      <w:sz w:val="24"/>
      <w:rFonts w:ascii="Times New Roman" w:hAnsi="Times New Roman" w:cs="Times New Roman" w:eastAsia="Times New Roman"/>
      <w:i/>
      <w:iCs/>
      <w:color w:themeColor="accent1" w:themeShade="BF" w:val="0F4761"/>
      <w:szCs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before="0" w:after="276" w:line="276" w:lineRule="auto"/>
      <w:ind w:firstLine="0"/>
    </w:pPr>
    <w:rPr>
      <w:rFonts w:ascii="Times New Roman" w:hAnsi="Times New Roman" w:cs="Times New Roman" w:eastAsia="Times New Roman"/>
      <w:sz w:val="24"/>
      <w:szCs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2026-07-22T18:53:39Z</dcterms:created>
  <dcterms:modified xsi:type="dcterms:W3CDTF">2026-07-22T18:53:39Z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