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 w:line="276" w:lineRule="auto" w:before="0"/>
        <w:ind w:firstLine="0" w:left="0" w:right="0"/>
      </w:pPr>
      <w:r>
        <w:rPr>
          <w:rFonts w:ascii="Times New Roman" w:hAnsi="Times New Roman" w:cs="Times New Roman" w:eastAsia="Times New Roman"/>
          <w:sz w:val="24"/>
          <w:sz-cs w:val="32"/>
          <w:b/>
          <w:spacing w:val="0"/>
          <w:szCs w:val="24"/>
          <w:color w:val="000000"/>
        </w:rPr>
        <w:t xml:space="preserve">Figure Legends</w:t>
      </w:r>
    </w:p>
    <w:p>
      <w:pPr>
        <w:spacing w:after="240" w:line="276" w:lineRule="auto" w:before="0"/>
        <w:ind w:firstLine="0" w:left="0" w:right="0"/>
      </w:pPr>
      <w:r>
        <w:rPr>
          <w:rFonts w:ascii="Times New Roman" w:hAnsi="Times New Roman" w:cs="Times New Roman" w:eastAsia="Times New Roman"/>
          <w:sz w:val="24"/>
          <w:sz-cs w:val="32"/>
          <w:b/>
          <w:spacing w:val="0"/>
          <w:szCs w:val="24"/>
          <w:color w:val="000000"/>
        </w:rPr>
        <w:t xml:space="preserve">Figure 1.</w:t>
      </w:r>
      <w:r>
        <w:rPr>
          <w:rFonts w:ascii="Times New Roman" w:hAnsi="Times New Roman" w:cs="Times New Roman" w:eastAsia="Times New Roman"/>
          <w:sz w:val="24"/>
          <w:sz-cs w:val="32"/>
          <w:spacing w:val="0"/>
          <w:szCs w:val="24"/>
          <w:color w:val="000000"/>
        </w:rPr>
        <w:t xml:space="preserve"> COLMAP per-sequence largest-model registration (bars, left axis) and mean reprojection error (line, right axis) on the AQUALOC harbor sequences. Registration completeness varies widely, and sequence H05 stands out as a failure case with elevated reprojection error. Figure file: figures/figure1_colmap_per_sequence.png.</w:t>
      </w:r>
    </w:p>
    <w:p>
      <w:pPr>
        <w:spacing w:after="240" w:line="276" w:lineRule="auto" w:before="0"/>
        <w:ind w:firstLine="0" w:left="0" w:right="0"/>
      </w:pPr>
      <w:r>
        <w:rPr>
          <w:rFonts w:ascii="Times New Roman" w:hAnsi="Times New Roman" w:cs="Times New Roman" w:eastAsia="Times New Roman"/>
          <w:sz w:val="24"/>
          <w:sz-cs w:val="32"/>
          <w:b/>
          <w:spacing w:val="0"/>
          <w:szCs w:val="24"/>
          <w:color w:val="000000"/>
        </w:rPr>
        <w:t xml:space="preserve">Figure 2.</w:t>
      </w:r>
      <w:r>
        <w:rPr>
          <w:rFonts w:ascii="Times New Roman" w:hAnsi="Times New Roman" w:cs="Times New Roman" w:eastAsia="Times New Roman"/>
          <w:sz w:val="24"/>
          <w:sz-cs w:val="32"/>
          <w:spacing w:val="0"/>
          <w:szCs w:val="24"/>
          <w:color w:val="000000"/>
        </w:rPr>
        <w:t xml:space="preserve"> Trajectory error (ATE RMSE, log scale) after Sim(3) alignment to ground truth. Bars show COLMAP on the </w:t>
      </w:r>
      <w:r>
        <w:rPr>
          <w:rFonts w:ascii="Times New Roman" w:hAnsi="Times New Roman" w:cs="Times New Roman" w:eastAsia="Times New Roman"/>
          <w:sz w:val="24"/>
          <w:sz-cs w:val="32"/>
          <w:b/>
          <w:spacing w:val="0"/>
          <w:szCs w:val="24"/>
          <w:color w:val="000000"/>
        </w:rPr>
        <w:t xml:space="preserve">full sequences</w:t>
      </w:r>
      <w:r>
        <w:rPr>
          <w:rFonts w:ascii="Times New Roman" w:hAnsi="Times New Roman" w:cs="Times New Roman" w:eastAsia="Times New Roman"/>
          <w:sz w:val="24"/>
          <w:sz-cs w:val="32"/>
          <w:spacing w:val="0"/>
          <w:szCs w:val="24"/>
          <w:color w:val="000000"/>
        </w:rPr>
        <w:t xml:space="preserve">. Red diamonds show the </w:t>
      </w:r>
      <w:r>
        <w:rPr>
          <w:rFonts w:ascii="Times New Roman" w:hAnsi="Times New Roman" w:cs="Times New Roman" w:eastAsia="Times New Roman"/>
          <w:sz w:val="24"/>
          <w:sz-cs w:val="32"/>
          <w:b/>
          <w:spacing w:val="0"/>
          <w:szCs w:val="24"/>
          <w:color w:val="000000"/>
        </w:rPr>
        <w:t xml:space="preserve">DUSt3R 20-frame-window</w:t>
      </w:r>
      <w:r>
        <w:rPr>
          <w:rFonts w:ascii="Times New Roman" w:hAnsi="Times New Roman" w:cs="Times New Roman" w:eastAsia="Times New Roman"/>
          <w:sz w:val="24"/>
          <w:sz-cs w:val="32"/>
          <w:spacing w:val="0"/>
          <w:szCs w:val="24"/>
          <w:color w:val="000000"/>
        </w:rPr>
        <w:t xml:space="preserve"> result for the three windows on which it was run (H01, H02, H07), and green open squares show </w:t>
      </w:r>
      <w:r>
        <w:rPr>
          <w:rFonts w:ascii="Times New Roman" w:hAnsi="Times New Roman" w:cs="Times New Roman" w:eastAsia="Times New Roman"/>
          <w:sz w:val="24"/>
          <w:sz-cs w:val="32"/>
          <w:b/>
          <w:spacing w:val="0"/>
          <w:szCs w:val="24"/>
          <w:color w:val="000000"/>
        </w:rPr>
        <w:t xml:space="preserve">matched-window COLMAP</w:t>
      </w:r>
      <w:r>
        <w:rPr>
          <w:rFonts w:ascii="Times New Roman" w:hAnsi="Times New Roman" w:cs="Times New Roman" w:eastAsia="Times New Roman"/>
          <w:sz w:val="24"/>
          <w:sz-cs w:val="32"/>
          <w:spacing w:val="0"/>
          <w:szCs w:val="24"/>
          <w:color w:val="000000"/>
        </w:rPr>
        <w:t xml:space="preserve"> on those same 20-frame windows; these marker results are short-window values and are not directly comparable to the full-sequence bars. On the H07 window, matched-window COLMAP failed to register (2 of 20 frames, no trajectory), so no square is shown there. Five COLMAP full sequences are accurate to a few centimeters; H03 and H05 are substantially worse, while the DUSt3R windows cluster around 6 cm. Figure file: figures/figure2_ate_per_sequence.png.</w:t>
      </w:r>
    </w:p>
    <w:p>
      <w:pPr>
        <w:spacing w:after="240" w:line="276" w:lineRule="auto" w:before="0"/>
        <w:ind w:firstLine="0" w:left="0" w:right="0"/>
      </w:pPr>
      <w:r>
        <w:rPr>
          <w:rFonts w:ascii="Times New Roman" w:hAnsi="Times New Roman" w:cs="Times New Roman" w:eastAsia="Times New Roman"/>
          <w:sz w:val="24"/>
          <w:sz-cs w:val="32"/>
          <w:b/>
          <w:spacing w:val="0"/>
          <w:szCs w:val="24"/>
          <w:color w:val="000000"/>
        </w:rPr>
        <w:t xml:space="preserve">Figure 3.</w:t>
      </w:r>
      <w:r>
        <w:rPr>
          <w:rFonts w:ascii="Times New Roman" w:hAnsi="Times New Roman" w:cs="Times New Roman" w:eastAsia="Times New Roman"/>
          <w:sz w:val="24"/>
          <w:sz-cs w:val="32"/>
          <w:spacing w:val="0"/>
          <w:szCs w:val="24"/>
          <w:color w:val="000000"/>
        </w:rPr>
        <w:t xml:space="preserve"> DUSt3R dense-point survival versus confidence threshold on three AQUALOC harbor windows. The maximum per-pixel confidence (2.68-3.17) lies at or just above the default threshold (3.0, dashed line), so default filtering removes essentially all points (0-0.5%) on every window. Figure file: figures/figure3_dust3r_confidence.png.</w:t>
      </w:r>
    </w:p>
    <w:sectPr>
      <w:pgSz w:w="12240" w:h="15840"/>
      <w:pgMar w:top="720" w:right="1440" w:bottom="72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</cp:coreProperties>
</file>

<file path=docProps/meta.xml><?xml version="1.0" encoding="utf-8"?>
<meta xmlns="http://schemas.apple.com/cocoa/2006/metadata">
  <generator>CocoaOOXMLWriter/2685.6</generator>
</meta>
</file>