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0D3B66"/>
          <w:sz w:val="48"/>
          <w:szCs w:val="48"/>
        </w:rPr>
        <w:t xml:space="preserve">DYNAMICS 365 FINANCE &amp; OPERATIONS</w:t>
      </w:r>
    </w:p>
    <w:p>
      <w:pPr>
        <w:spacing w:after="120"/>
        <w:jc w:val="center"/>
      </w:pPr>
      <w:r>
        <w:rPr>
          <w:rFonts w:ascii="Arial" w:cs="Arial" w:eastAsia="Arial" w:hAnsi="Arial"/>
          <w:b/>
          <w:bCs/>
          <w:color w:val="C65911"/>
          <w:sz w:val="40"/>
          <w:szCs w:val="40"/>
        </w:rPr>
        <w:t xml:space="preserve">FUNCTIONAL DOMAIN KNOWLEDGE</w:t>
      </w:r>
    </w:p>
    <w:p>
      <w:pPr>
        <w:jc w:val="center"/>
      </w:pPr>
      <w:r>
        <w:rPr>
          <w:rFonts w:ascii="Arial" w:cs="Arial" w:eastAsia="Arial" w:hAnsi="Arial"/>
          <w:color w:val="1F4E79"/>
          <w:sz w:val="32"/>
          <w:szCs w:val="32"/>
        </w:rPr>
        <w:t xml:space="preserve">For Developers</w:t>
      </w:r>
    </w:p>
    <w:p>
      <w:pPr>
        <w:spacing w:after="100" w:before="100"/>
      </w:pPr>
    </w:p>
    <w:p>
      <w:pPr>
        <w:spacing w:before="300"/>
        <w:jc w:val="center"/>
      </w:pPr>
      <w:r>
        <w:rPr>
          <w:rFonts w:ascii="Arial" w:cs="Arial" w:eastAsia="Arial" w:hAnsi="Arial"/>
          <w:i/>
          <w:iCs/>
          <w:color w:val="555555"/>
          <w:sz w:val="22"/>
          <w:szCs w:val="22"/>
        </w:rPr>
        <w:t xml:space="preserve">Everything a D365 F&amp;O Developer must understand about business processes,</w:t>
      </w:r>
    </w:p>
    <w:p>
      <w:pPr>
        <w:jc w:val="center"/>
      </w:pPr>
      <w:r>
        <w:rPr>
          <w:rFonts w:ascii="Arial" w:cs="Arial" w:eastAsia="Arial" w:hAnsi="Arial"/>
          <w:i/>
          <w:iCs/>
          <w:color w:val="555555"/>
          <w:sz w:val="22"/>
          <w:szCs w:val="22"/>
        </w:rPr>
        <w:t xml:space="preserve">data flows, and ERP modules to make meaningful code changes.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BBBBBB" w:sz="1"/>
              <w:left w:val="single" w:color="BBBBBB" w:sz="1"/>
              <w:bottom w:val="single" w:color="BBBBBB" w:sz="1"/>
              <w:right w:val="single" w:color="BBBBBB" w:sz="1"/>
            </w:tcBorders>
            <w:shd w:fill="FFF3E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WHY DEVELOPERS NEED FUNCTIONAL KNOWLEDGE</w:t>
            </w:r>
          </w:p>
          <w:p>
            <w:r>
              <w:rPr>
                <w:rFonts w:ascii="Arial" w:cs="Arial" w:eastAsia="Arial" w:hAnsi="Arial"/>
                <w:sz w:val="20"/>
                <w:szCs w:val="20"/>
              </w:rPr>
              <w:t xml:space="preserve">You will be asked to extend Purchase Order posting, customize invoice matching, add workflow to journal approval, or build reports on inventory valuation. Without understanding WHAT these processes do, WHERE the data flows, and WHICH tables are involved — you cannot write correct code. This document gives you that understanding.</w:t>
            </w:r>
          </w:p>
        </w:tc>
      </w:tr>
    </w:tbl>
    <w:p>
      <w:r>
        <w:br w:type="page"/>
      </w:r>
    </w:p>
    <w:p>
      <w:pPr>
        <w:pStyle w:val="Heading1"/>
        <w:spacing w:after="200" w:before="360"/>
      </w:pPr>
      <w:r>
        <w:rPr>
          <w:rFonts w:ascii="Arial" w:cs="Arial" w:eastAsia="Arial" w:hAnsi="Arial"/>
          <w:b/>
          <w:bCs/>
          <w:color w:val="0D3B66"/>
          <w:sz w:val="32"/>
          <w:szCs w:val="32"/>
        </w:rPr>
        <w:t xml:space="preserve">MODULE 1: ORGANIZATION &amp; SYSTEM FOUNDATION</w:t>
      </w:r>
    </w:p>
    <w:p>
      <w:pPr>
        <w:spacing w:after="60" w:before="60"/>
      </w:pPr>
      <w:r>
        <w:rPr>
          <w:rFonts w:ascii="Arial" w:cs="Arial" w:eastAsia="Arial" w:hAnsi="Arial"/>
          <w:sz w:val="20"/>
          <w:szCs w:val="20"/>
        </w:rPr>
        <w:t xml:space="preserve">Core setup that affects every module. Understand this first — everything else depends on it.</w:t>
      </w:r>
    </w:p>
    <w:p>
      <w:pPr>
        <w:spacing w:after="100" w:before="100"/>
      </w:pPr>
    </w:p>
    <w:p>
      <w:pPr>
        <w:pStyle w:val="Heading2"/>
        <w:spacing w:after="160" w:before="300"/>
      </w:pPr>
      <w:r>
        <w:rPr>
          <w:rFonts w:ascii="Arial" w:cs="Arial" w:eastAsia="Arial" w:hAnsi="Arial"/>
          <w:b/>
          <w:bCs/>
          <w:color w:val="1F4E79"/>
          <w:sz w:val="26"/>
          <w:szCs w:val="26"/>
        </w:rPr>
        <w:t xml:space="preserve">1.1 Legal Entities &amp; Company Structure</w:t>
      </w:r>
    </w:p>
    <w:p>
      <w:pPr>
        <w:pStyle w:val="Heading3"/>
        <w:spacing w:after="120" w:before="240"/>
      </w:pPr>
      <w:r>
        <w:rPr>
          <w:rFonts w:ascii="Arial" w:cs="Arial" w:eastAsia="Arial" w:hAnsi="Arial"/>
          <w:b/>
          <w:bCs/>
          <w:color w:val="1F4E79"/>
          <w:sz w:val="22"/>
          <w:szCs w:val="22"/>
        </w:rPr>
        <w:t xml:space="preserve">1.1.1 Legal Entity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 Legal Entity represents a legally registered organization (e.g., "Contoso Ltd USA", "Contoso GmbH Germany"). Each has its own financials, tax reporting, and regulatory compliance.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One D365 installation can run MULTIPLE legal entities. Users switch between them using the company picker (top-right).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DataAreaId = the company code stored in every company-specific record. When you query tables, you automatically see only the current company’s data (unless using crossCompany).</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CompanyInfo, DataArea, DirPartyTable</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Every table with SaveDataPerCompany=Yes has DataAreaId. When writing X++, your select statements are automatically company-filtered. Use crossCompany or changecompany to access other companies.</w:t>
      </w:r>
    </w:p>
    <w:p>
      <w:pPr>
        <w:spacing w:after="100" w:before="100"/>
      </w:pPr>
    </w:p>
    <w:p>
      <w:pPr>
        <w:pStyle w:val="Heading3"/>
        <w:spacing w:after="120" w:before="240"/>
      </w:pPr>
      <w:r>
        <w:rPr>
          <w:rFonts w:ascii="Arial" w:cs="Arial" w:eastAsia="Arial" w:hAnsi="Arial"/>
          <w:b/>
          <w:bCs/>
          <w:color w:val="1F4E79"/>
          <w:sz w:val="22"/>
          <w:szCs w:val="22"/>
        </w:rPr>
        <w:t xml:space="preserve">1.1.2 Operating Units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Sub-divisions within a legal entity: Business Units, Departments, Cost Centers, Value Streams. Used for internal reporting and security (who sees what).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Organization Hierarchy defines relationships: e.g., "Contoso USA &gt; Manufacturing Division &gt; Plant A &gt; Assembly Department."</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OMOperatingUnit, OMHierarchyType, OMInternalOrganization</w:t>
      </w:r>
    </w:p>
    <w:p>
      <w:pPr>
        <w:spacing w:after="100" w:before="100"/>
      </w:pPr>
    </w:p>
    <w:p>
      <w:pPr>
        <w:pStyle w:val="Heading3"/>
        <w:spacing w:after="120" w:before="240"/>
      </w:pPr>
      <w:r>
        <w:rPr>
          <w:rFonts w:ascii="Arial" w:cs="Arial" w:eastAsia="Arial" w:hAnsi="Arial"/>
          <w:b/>
          <w:bCs/>
          <w:color w:val="1F4E79"/>
          <w:sz w:val="22"/>
          <w:szCs w:val="22"/>
        </w:rPr>
        <w:t xml:space="preserve">1.1.3 Global Address Book</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Centralized system for all parties (customers, vendors, employees, contacts). A “Party” is a person or organization. DirPartyTable is the master table. Customers and vendors are LINKED to parties, not stored separately.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One party can be BOTH a customer AND a vendor (e.g., a company you buy from and sell to).</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DirPartyTable, DirPerson, DirOrganization, LogisticsPostalAddress, LogisticsElectronicAddress</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CustTable.Party and VendTable.Party are foreign keys to DirPartyTable.RecId. Addresses are stored in LogisticsPostalAddress, linked through LogisticsLocation. Never store addresses directly on transaction tables.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Organization Labs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Organization Administration &gt; Organizations &gt; Legal entities → view all companies, note DataAreaId for each</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Switch between companies using the company picker → observe how data changes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Global Address Book → search for a party that is both a customer and vendor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Application Explorer: examine DirPartyTable → CustTable → VendTable relationships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SSMS: SELECT TOP 10 c.AccountNum, c.Party, p.Name FROM CustTable c JOIN DirPartyTable p ON c.Party = p.RecId</w:t>
            </w:r>
          </w:p>
        </w:tc>
      </w:tr>
    </w:tbl>
    <w:p>
      <w:pPr>
        <w:spacing w:after="100" w:before="100"/>
      </w:pPr>
    </w:p>
    <w:p>
      <w:pPr>
        <w:pStyle w:val="Heading2"/>
        <w:spacing w:after="160" w:before="300"/>
      </w:pPr>
      <w:r>
        <w:rPr>
          <w:rFonts w:ascii="Arial" w:cs="Arial" w:eastAsia="Arial" w:hAnsi="Arial"/>
          <w:b/>
          <w:bCs/>
          <w:color w:val="1F4E79"/>
          <w:sz w:val="26"/>
          <w:szCs w:val="26"/>
        </w:rPr>
        <w:t xml:space="preserve">1.2 Number Sequences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Auto-generated business identifiers for every document: PO-000001, SO-000042, INV-2024-001. Each EDT can be linked to a number sequence reference. Scope: Shared (global), Company, or Operating Unit.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Continuous = no gaps (slower, for legal compliance). Non-continuous = gaps allowed (faster, for internal documents).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NumberSequenceTable, NumberSequenceReference, NumberSequenceScope</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When building custom modules, you must create a NumberSeqModule class and link your EDT to a number sequence reference. In your table’s insert() method, call NumberSeq::newGetNum() to generate the next number.</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Number Sequence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Organization Admin &gt; Number sequences &gt; Number sequences → examine format, scope, status of 5 existing sequences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Find the number sequence for Sales Order IDs → note the format pattern</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sales order → observe the auto-generated SalesId → find which number sequence generated it</w:t>
            </w:r>
          </w:p>
        </w:tc>
      </w:tr>
    </w:tbl>
    <w:p>
      <w:r>
        <w:br w:type="page"/>
      </w:r>
    </w:p>
    <w:p>
      <w:pPr>
        <w:pStyle w:val="Heading1"/>
        <w:spacing w:after="200" w:before="360"/>
      </w:pPr>
      <w:r>
        <w:rPr>
          <w:rFonts w:ascii="Arial" w:cs="Arial" w:eastAsia="Arial" w:hAnsi="Arial"/>
          <w:b/>
          <w:bCs/>
          <w:color w:val="0D3B66"/>
          <w:sz w:val="32"/>
          <w:szCs w:val="32"/>
        </w:rPr>
        <w:t xml:space="preserve">MODULE 2: GENERAL LEDGER &amp; FINANCIAL FOUNDATION</w:t>
      </w:r>
    </w:p>
    <w:p>
      <w:pPr>
        <w:spacing w:after="60" w:before="60"/>
      </w:pPr>
      <w:r>
        <w:rPr>
          <w:rFonts w:ascii="Arial" w:cs="Arial" w:eastAsia="Arial" w:hAnsi="Arial"/>
          <w:sz w:val="20"/>
          <w:szCs w:val="20"/>
        </w:rPr>
        <w:t xml:space="preserve">The financial backbone of the entire ERP. Every transaction in AP, AR, Inventory, and Production ultimately posts to the General Ledger.</w:t>
      </w:r>
    </w:p>
    <w:p>
      <w:pPr>
        <w:spacing w:after="100" w:before="100"/>
      </w:pPr>
    </w:p>
    <w:p>
      <w:pPr>
        <w:pStyle w:val="Heading2"/>
        <w:spacing w:after="160" w:before="300"/>
      </w:pPr>
      <w:r>
        <w:rPr>
          <w:rFonts w:ascii="Arial" w:cs="Arial" w:eastAsia="Arial" w:hAnsi="Arial"/>
          <w:b/>
          <w:bCs/>
          <w:color w:val="1F4E79"/>
          <w:sz w:val="26"/>
          <w:szCs w:val="26"/>
        </w:rPr>
        <w:t xml:space="preserve">2.1 Chart of Accounts</w:t>
      </w:r>
    </w:p>
    <w:p>
      <w:pPr>
        <w:pStyle w:val="Heading3"/>
        <w:spacing w:after="120" w:before="240"/>
      </w:pPr>
      <w:r>
        <w:rPr>
          <w:rFonts w:ascii="Arial" w:cs="Arial" w:eastAsia="Arial" w:hAnsi="Arial"/>
          <w:b/>
          <w:bCs/>
          <w:color w:val="1F4E79"/>
          <w:sz w:val="22"/>
          <w:szCs w:val="22"/>
        </w:rPr>
        <w:t xml:space="preserve">2.1.1 Main Accounts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The Chart of Accounts is the complete list of financial accounts. Each Main Account has a number (e.g., 110100), a name (e.g., "Cash in Bank"), and a type.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40"/>
        <w:gridCol w:w="3000"/>
      </w:tblGrid>
      <w:tr>
        <w:tc>
          <w:tcPr>
            <w:tcW w:type="dxa" w:w="16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Account Type</w:t>
            </w:r>
          </w:p>
        </w:tc>
        <w:tc>
          <w:tcPr>
            <w:tcW w:type="dxa" w:w="18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Table / Range</w:t>
            </w:r>
          </w:p>
        </w:tc>
        <w:tc>
          <w:tcPr>
            <w:tcW w:type="dxa" w:w="344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Purpose</w:t>
            </w:r>
          </w:p>
        </w:tc>
        <w:tc>
          <w:tcPr>
            <w:tcW w:type="dxa" w:w="30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Example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Asset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100000–199999</w:t>
            </w:r>
          </w:p>
        </w:tc>
        <w:tc>
          <w:tcPr>
            <w:tcW w:type="dxa" w:w="3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What the company OWNS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Cash, Bank, Inventory, Equipment</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Liability</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200000–299999</w:t>
            </w:r>
          </w:p>
        </w:tc>
        <w:tc>
          <w:tcPr>
            <w:tcW w:type="dxa" w:w="34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What the company OWES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Accounts Payable, Loans, Accruals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Equity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300000–399999</w:t>
            </w:r>
          </w:p>
        </w:tc>
        <w:tc>
          <w:tcPr>
            <w:tcW w:type="dxa" w:w="3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Owner’s investment &amp; retained earnings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Common Stock, Retained Earnings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Revenue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400000–499999</w:t>
            </w:r>
          </w:p>
        </w:tc>
        <w:tc>
          <w:tcPr>
            <w:tcW w:type="dxa" w:w="34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Income from sales/services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Product Revenue, Service Revenue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Expense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500000–699999</w:t>
            </w:r>
          </w:p>
        </w:tc>
        <w:tc>
          <w:tcPr>
            <w:tcW w:type="dxa" w:w="3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Costs of running business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COGS, Salaries, Rent, Travel</w:t>
            </w:r>
          </w:p>
        </w:tc>
      </w:tr>
    </w:tbl>
    <w:p>
      <w:pPr>
        <w:spacing w:after="100" w:before="100"/>
      </w:pP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MainAccount, LedgerChartOfAccounts, DimensionAttributeValueCombination</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When extending posting logic, you’ll reference MainAccount via LedgerDimension (a RecId to DimensionAttributeValueCombination). Never hardcode account numbers — use posting profiles or parameters.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Chart of Accounts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 &gt; Chart of Accounts &gt; Accounts &gt; Main accounts → browse all accounts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Identify 3 Asset, 3 Liability, 3 Revenue, and 3 Expense accounts → note their numbers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new expense account: 520100 “Travel &amp; Entertainment” → set account type = Profit &amp; Loss</w:t>
            </w:r>
          </w:p>
        </w:tc>
      </w:tr>
    </w:tbl>
    <w:p>
      <w:pPr>
        <w:spacing w:after="100" w:before="100"/>
      </w:pPr>
    </w:p>
    <w:p>
      <w:pPr>
        <w:pStyle w:val="Heading2"/>
        <w:spacing w:after="160" w:before="300"/>
      </w:pPr>
      <w:r>
        <w:rPr>
          <w:rFonts w:ascii="Arial" w:cs="Arial" w:eastAsia="Arial" w:hAnsi="Arial"/>
          <w:b/>
          <w:bCs/>
          <w:color w:val="1F4E79"/>
          <w:sz w:val="26"/>
          <w:szCs w:val="26"/>
        </w:rPr>
        <w:t xml:space="preserve">2.2 Financial Dimensions</w:t>
      </w:r>
    </w:p>
    <w:p>
      <w:pPr>
        <w:pStyle w:val="Heading3"/>
        <w:spacing w:after="120" w:before="240"/>
      </w:pPr>
      <w:r>
        <w:rPr>
          <w:rFonts w:ascii="Arial" w:cs="Arial" w:eastAsia="Arial" w:hAnsi="Arial"/>
          <w:b/>
          <w:bCs/>
          <w:color w:val="1F4E79"/>
          <w:sz w:val="22"/>
          <w:szCs w:val="22"/>
        </w:rPr>
        <w:t xml:space="preserve">2.2.1 What Are Dimensions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Financial Dimensions are tags on every financial transaction that enable analysis. Standard dimensions: Department, Cost Center, Business Unit. Custom: Region, Project, Product Line.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Every transaction can carry multiple dimension values. This enables questions like: "How much did the Marketing department spend on travel in the East region?"</w:t>
      </w:r>
    </w:p>
    <w:p>
      <w:pPr>
        <w:spacing w:after="100" w:before="100"/>
      </w:pPr>
    </w:p>
    <w:p>
      <w:pPr>
        <w:pStyle w:val="Heading3"/>
        <w:spacing w:after="120" w:before="240"/>
      </w:pPr>
      <w:r>
        <w:rPr>
          <w:rFonts w:ascii="Arial" w:cs="Arial" w:eastAsia="Arial" w:hAnsi="Arial"/>
          <w:b/>
          <w:bCs/>
          <w:color w:val="1F4E79"/>
          <w:sz w:val="22"/>
          <w:szCs w:val="22"/>
        </w:rPr>
        <w:t xml:space="preserve">2.2.2 Dimension Types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Default Dimensions (DimensionDefault) = dimension values stored on master data (customer, vendor, item). They auto-populate onto transactions.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Ledger Dimensions = Main Account + Dimensions combined. This is what gets posted to GL. Example: Account 520100 + Department=Sales + Region=East.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Dimension merge: when posting, dimensions from multiple sources merge. Priority rules determine which wins when there’s a conflict.</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DimensionAttribute, DimensionAttributeValue, DimensionAttributeValueCombination, DimensionDefault, DimensionStorage</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Adding dimension support to custom tables: add a field with EDT DimensionDefault. On forms, use the DimensionDefaultingController. In posting code, use DimensionDefaultingService::serviceMergeDefaultDimensions() to merge.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Financial Dimensions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 &gt; Chart of Accounts &gt; Dimensions &gt; Financial dimensions → view all dimensions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new dimension: "Region" with values: North, South, East, West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GL journal with dimensions: Debit Travel Expense / Department=Sales / Region=North → Post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GL trial balance filtered by Department=Sales → verify your entry appears</w:t>
            </w:r>
          </w:p>
        </w:tc>
      </w:tr>
    </w:tbl>
    <w:p>
      <w:pPr>
        <w:spacing w:after="100" w:before="100"/>
      </w:pPr>
    </w:p>
    <w:p>
      <w:pPr>
        <w:pStyle w:val="Heading2"/>
        <w:spacing w:after="160" w:before="300"/>
      </w:pPr>
      <w:r>
        <w:rPr>
          <w:rFonts w:ascii="Arial" w:cs="Arial" w:eastAsia="Arial" w:hAnsi="Arial"/>
          <w:b/>
          <w:bCs/>
          <w:color w:val="1F4E79"/>
          <w:sz w:val="26"/>
          <w:szCs w:val="26"/>
        </w:rPr>
        <w:t xml:space="preserve">2.3 Journals &amp; Posting</w:t>
      </w:r>
    </w:p>
    <w:p>
      <w:pPr>
        <w:pStyle w:val="Heading3"/>
        <w:spacing w:after="120" w:before="240"/>
      </w:pPr>
      <w:r>
        <w:rPr>
          <w:rFonts w:ascii="Arial" w:cs="Arial" w:eastAsia="Arial" w:hAnsi="Arial"/>
          <w:b/>
          <w:bCs/>
          <w:color w:val="1F4E79"/>
          <w:sz w:val="22"/>
          <w:szCs w:val="22"/>
        </w:rPr>
        <w:t xml:space="preserve">2.3.1 Journal Concepts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 Journal is a batch of financial entries waiting to be posted. A Journal Name is a template that defines defaults (journal type, voucher series, approval workflow).</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Each journal line has: Account (debit), Offset Account (credit), Amount, Currency, Dimensions, Description. The GOLDEN RULE: Total Debits MUST equal Total Credits.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Posting = making journal entries permanent in the GL. Before posting, journals can be validated. After posting, entries create Voucher Transactions.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LedgerJournalTable (header), LedgerJournalTrans (lines), GeneralJournalEntry, GeneralJournalAccountEntry, SubledgerVoucherGeneralJournalEntry</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When building journal extensions: LedgerJournalTable = header, LedgerJournalTrans = lines. The posting process creates GeneralJournalEntry records. The link between subledger (AP/AR) and GL is in SubledgerVoucherGeneralJournalEntry.</w:t>
      </w:r>
    </w:p>
    <w:p>
      <w:pPr>
        <w:spacing w:after="100" w:before="100"/>
      </w:pPr>
    </w:p>
    <w:p>
      <w:pPr>
        <w:pStyle w:val="Heading3"/>
        <w:spacing w:after="120" w:before="240"/>
      </w:pPr>
      <w:r>
        <w:rPr>
          <w:rFonts w:ascii="Arial" w:cs="Arial" w:eastAsia="Arial" w:hAnsi="Arial"/>
          <w:b/>
          <w:bCs/>
          <w:color w:val="1F4E79"/>
          <w:sz w:val="22"/>
          <w:szCs w:val="22"/>
        </w:rPr>
        <w:t xml:space="preserve">2.3.2 Subledger to GL Relationship</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AP, AR, Inventory, Fixed Assets are subledgers. They post to GL through posting profiles that map transaction types to GL accounts.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Example: when you post a vendor invoice, the system uses the AP Posting Profile to determine: Debit Inventory (or Expense) account, Credit AP account. You don’t manually specify GL accounts on invoices.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Journal &amp; Posting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 &gt; Journal entries &gt; General journals → create a new journal</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2 lines: Debit Expense 520100 for $500, Credit Bank 110100 for $500</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Validate the journal → observe it’s balanced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the journal → navigate to GL &gt; Inquiries &gt; Voucher transactions → find your voucher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Trial Balance → verify account balances changed by $500</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SSMS: query GeneralJournalEntry and GeneralJournalAccountEntry for your voucher number</w:t>
            </w:r>
          </w:p>
        </w:tc>
      </w:tr>
    </w:tbl>
    <w:p>
      <w:pPr>
        <w:spacing w:after="100" w:before="100"/>
      </w:pPr>
    </w:p>
    <w:p>
      <w:pPr>
        <w:pStyle w:val="Heading2"/>
        <w:spacing w:after="160" w:before="300"/>
      </w:pPr>
      <w:r>
        <w:rPr>
          <w:rFonts w:ascii="Arial" w:cs="Arial" w:eastAsia="Arial" w:hAnsi="Arial"/>
          <w:b/>
          <w:bCs/>
          <w:color w:val="1F4E79"/>
          <w:sz w:val="26"/>
          <w:szCs w:val="26"/>
        </w:rPr>
        <w:t xml:space="preserve">2.4 Currencies &amp; Exchange Rates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Accounting Currency = the legal entity’s home currency (e.g., USD for US company). Reporting Currency = optional secondary currency (e.g., EUR for group reporting). Transaction Currency = the currency on a specific transaction.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Exchange rates are maintained per rate type (Spot, Budget, etc.). When posting a transaction in a foreign currency, D365 converts to accounting currency using the applicable rate.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Currency, ExchangeRate, ExchangeRateType, Ledger (stores accounting/reporting currency)</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Currency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 &gt; Currencies &gt; Currency exchange rates → view/enter rates for EUR/USD, GBP/USD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PO in EUR for a USD company → post the invoice → check GL entries → observe the currency conversion</w:t>
            </w:r>
          </w:p>
        </w:tc>
      </w:tr>
    </w:tbl>
    <w:p>
      <w:pPr>
        <w:spacing w:after="100" w:before="100"/>
      </w:pPr>
    </w:p>
    <w:p>
      <w:pPr>
        <w:pStyle w:val="Heading2"/>
        <w:spacing w:after="160" w:before="300"/>
      </w:pPr>
      <w:r>
        <w:rPr>
          <w:rFonts w:ascii="Arial" w:cs="Arial" w:eastAsia="Arial" w:hAnsi="Arial"/>
          <w:b/>
          <w:bCs/>
          <w:color w:val="1F4E79"/>
          <w:sz w:val="26"/>
          <w:szCs w:val="26"/>
        </w:rPr>
        <w:t xml:space="preserve">2.5 Fiscal Calendar &amp; Period Close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Fiscal Calendar defines the financial year and periods (usually 12 months). Period status: Open (transactions allowed), On Hold (restricted), Permanently Closed (no transactions).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Period close process: run adjustments, revaluations, allocations, then close periods to prevent accidental posting.</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FiscalCalendar, FiscalCalendarYear, FiscalCalendarPeriod, LedgerPeriodModuleAccessControl</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Fiscal Calendar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GL &gt; Ledger &gt; Fiscal calendars → examine the calendar, periods, and statuses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Try posting a journal to a closed period → observe the error message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Open the period → post successfully → close again</w:t>
            </w:r>
          </w:p>
        </w:tc>
      </w:tr>
    </w:tbl>
    <w:p>
      <w:r>
        <w:br w:type="page"/>
      </w:r>
    </w:p>
    <w:p>
      <w:pPr>
        <w:pStyle w:val="Heading1"/>
        <w:spacing w:after="200" w:before="360"/>
      </w:pPr>
      <w:r>
        <w:rPr>
          <w:rFonts w:ascii="Arial" w:cs="Arial" w:eastAsia="Arial" w:hAnsi="Arial"/>
          <w:b/>
          <w:bCs/>
          <w:color w:val="0D3B66"/>
          <w:sz w:val="32"/>
          <w:szCs w:val="32"/>
        </w:rPr>
        <w:t xml:space="preserve">MODULE 3: ACCOUNTS PAYABLE — PROCURE TO PAY</w:t>
      </w:r>
    </w:p>
    <w:p>
      <w:pPr>
        <w:spacing w:after="60" w:before="60"/>
      </w:pPr>
      <w:r>
        <w:rPr>
          <w:rFonts w:ascii="Arial" w:cs="Arial" w:eastAsia="Arial" w:hAnsi="Arial"/>
          <w:sz w:val="20"/>
          <w:szCs w:val="20"/>
        </w:rPr>
        <w:t xml:space="preserve">The complete buying process. This is one of the most heavily customized modules. You will extend these tables and forms constantly.</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60"/>
            </w:pPr>
            <w:r>
              <w:rPr>
                <w:rFonts w:ascii="Arial" w:cs="Arial" w:eastAsia="Arial" w:hAnsi="Arial"/>
                <w:b/>
                <w:bCs/>
                <w:color w:val="0D3B66"/>
                <w:sz w:val="20"/>
                <w:szCs w:val="20"/>
              </w:rPr>
              <w:t xml:space="preserve">🔄 PROCURE-TO-PAY FLOW</w:t>
            </w:r>
          </w:p>
          <w:p>
            <w:r>
              <w:rPr>
                <w:rFonts w:ascii="Arial" w:cs="Arial" w:eastAsia="Arial" w:hAnsi="Arial"/>
                <w:sz w:val="19"/>
                <w:szCs w:val="19"/>
              </w:rPr>
              <w:t xml:space="preserve">Need Identified  →  Purchase Requisition  →  Purchase Order  →  PO Confirmation  →  Product Receipt  →  Vendor Invoice  →  3-Way Match  →  Invoice Posting  →  Payment  →  Bank Reconciliation</w:t>
            </w:r>
          </w:p>
        </w:tc>
      </w:tr>
    </w:tbl>
    <w:p>
      <w:pPr>
        <w:spacing w:after="100" w:before="100"/>
      </w:pPr>
    </w:p>
    <w:p>
      <w:pPr>
        <w:pStyle w:val="Heading2"/>
        <w:spacing w:after="160" w:before="300"/>
      </w:pPr>
      <w:r>
        <w:rPr>
          <w:rFonts w:ascii="Arial" w:cs="Arial" w:eastAsia="Arial" w:hAnsi="Arial"/>
          <w:b/>
          <w:bCs/>
          <w:color w:val="1F4E79"/>
          <w:sz w:val="26"/>
          <w:szCs w:val="26"/>
        </w:rPr>
        <w:t xml:space="preserve">3.1 Vendor Master Data</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The vendor record stores all information about a supplier: name, address, payment terms, payment method, bank accounts, tax settings, default dimensions.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Vendor Group classifies vendors (Domestic, International, Intercompany, One-time) and determines default GL posting accounts via posting profiles.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Payment Terms define WHEN to pay: Net30 (pay within 30 days), 2%10Net30 (2% discount if paid within 10 days, otherwise full in 30).</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Payment Method defines HOW to pay: Check, Wire/ACH, Credit Card.</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VendTable, VendGroup, PaymTerm, VendPaymMode, VendBankAccount, DirPartyTable</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VendTable.Party links to DirPartyTable.RecId (Global Address Book). VendTable.VendGroup determines the posting profile. Default dimensions on VendTable auto-populate onto POs and invoices.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Vendor Master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AP &gt; Vendors &gt; All vendors → open an existing vendor → examine every FastTab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3 new vendors: Domestic/Net30/Check, International/Net60/Wire, One-time vendor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default financial dimensions on a vendor (Department, Cost Center)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bank account information for wire payment vendors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Application Explorer: examine VendTable fields, relations (to DirPartyTable, VendGroup)</w:t>
            </w:r>
          </w:p>
        </w:tc>
      </w:tr>
    </w:tbl>
    <w:p>
      <w:pPr>
        <w:spacing w:after="100" w:before="100"/>
      </w:pPr>
    </w:p>
    <w:p>
      <w:pPr>
        <w:pStyle w:val="Heading2"/>
        <w:spacing w:after="160" w:before="300"/>
      </w:pPr>
      <w:r>
        <w:rPr>
          <w:rFonts w:ascii="Arial" w:cs="Arial" w:eastAsia="Arial" w:hAnsi="Arial"/>
          <w:b/>
          <w:bCs/>
          <w:color w:val="1F4E79"/>
          <w:sz w:val="26"/>
          <w:szCs w:val="26"/>
        </w:rPr>
        <w:t xml:space="preserve">3.2 Purchase Orders</w:t>
      </w:r>
    </w:p>
    <w:p>
      <w:pPr>
        <w:pStyle w:val="Heading3"/>
        <w:spacing w:after="120" w:before="240"/>
      </w:pPr>
      <w:r>
        <w:rPr>
          <w:rFonts w:ascii="Arial" w:cs="Arial" w:eastAsia="Arial" w:hAnsi="Arial"/>
          <w:b/>
          <w:bCs/>
          <w:color w:val="1F4E79"/>
          <w:sz w:val="22"/>
          <w:szCs w:val="22"/>
        </w:rPr>
        <w:t xml:space="preserve">3.2.1 PO Creation &amp; Structure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 Purchase Order is a contract with a vendor to buy goods/services. Header contains: vendor, order date, delivery date, currency, payment terms. Lines contain: item/category, quantity, unit price, delivery date, dimensions.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PO Types: Standard Purchase Order, Return Order (sending goods back), Blanket Order (agreement for repeated purchases).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PurchTable (header), PurchLine (lines), PurchParmTable, PurchParmLine</w:t>
      </w:r>
    </w:p>
    <w:p>
      <w:pPr>
        <w:spacing w:after="100" w:before="100"/>
      </w:pPr>
    </w:p>
    <w:p>
      <w:pPr>
        <w:pStyle w:val="Heading3"/>
        <w:spacing w:after="120" w:before="240"/>
      </w:pPr>
      <w:r>
        <w:rPr>
          <w:rFonts w:ascii="Arial" w:cs="Arial" w:eastAsia="Arial" w:hAnsi="Arial"/>
          <w:b/>
          <w:bCs/>
          <w:color w:val="1F4E79"/>
          <w:sz w:val="22"/>
          <w:szCs w:val="22"/>
        </w:rPr>
        <w:t xml:space="preserve">3.2.2 PO Status Flow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720"/>
        <w:gridCol w:w="2720"/>
      </w:tblGrid>
      <w:tr>
        <w:tc>
          <w:tcPr>
            <w:tcW w:type="dxa" w:w="14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Status</w:t>
            </w:r>
          </w:p>
        </w:tc>
        <w:tc>
          <w:tcPr>
            <w:tcW w:type="dxa" w:w="30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What Happened</w:t>
            </w:r>
          </w:p>
        </w:tc>
        <w:tc>
          <w:tcPr>
            <w:tcW w:type="dxa" w:w="27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GL Impact</w:t>
            </w:r>
          </w:p>
        </w:tc>
        <w:tc>
          <w:tcPr>
            <w:tcW w:type="dxa" w:w="27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Inventory Impact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Draft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PO created, not yet sent to vendor</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Confirmed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PO confirmed and sent to vendor</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 (commitment only)</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Expected receipt visible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Received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Product receipt posted (goods arrived)</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Debit: Inventory accrual / Credit: Receiving accrual</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On-hand increases (physical)</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Invoiced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Vendor invoice matched and posted</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Debit: Inventory (or Expense) / Credit: Accounts Payable</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On-hand updates (financial)</w:t>
            </w:r>
          </w:p>
        </w:tc>
      </w:tr>
    </w:tbl>
    <w:p>
      <w:pPr>
        <w:spacing w:after="100" w:before="100"/>
      </w:pPr>
    </w:p>
    <w:p>
      <w:pPr>
        <w:pStyle w:val="Heading3"/>
        <w:spacing w:after="120" w:before="240"/>
      </w:pPr>
      <w:r>
        <w:rPr>
          <w:rFonts w:ascii="Arial" w:cs="Arial" w:eastAsia="Arial" w:hAnsi="Arial"/>
          <w:b/>
          <w:bCs/>
          <w:color w:val="1F4E79"/>
          <w:sz w:val="22"/>
          <w:szCs w:val="22"/>
        </w:rPr>
        <w:t xml:space="preserve">3.2.3 Charges (Miscellaneous Charges)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Additional costs on a PO: freight, handling, insurance. Can be allocated to header (total) or individual lines. Auto-charges can be configured to automatically apply charges based on vendor, item, or delivery mode.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MarkupTrans, MarkupTable, MarkupAutoTable, MarkupAutoLine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Purchase Order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PO for an existing vendor with 3 item lines → note: PO status = Draft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a $50 freight charge to the PO header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Confirm the PO → observe: status changes, confirmation document generated. Check GL → no entries yet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Product Receipt → observe: inventory on-hand increases, GL entries created (accrual)</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SSMS: SELECT * FROM PurchTable WHERE PurchId = 'your-po-id' → examine PurchStatus field values</w:t>
            </w:r>
          </w:p>
        </w:tc>
      </w:tr>
    </w:tbl>
    <w:p>
      <w:pPr>
        <w:spacing w:after="100" w:before="100"/>
      </w:pPr>
    </w:p>
    <w:p>
      <w:pPr>
        <w:pStyle w:val="Heading2"/>
        <w:spacing w:after="160" w:before="300"/>
      </w:pPr>
      <w:r>
        <w:rPr>
          <w:rFonts w:ascii="Arial" w:cs="Arial" w:eastAsia="Arial" w:hAnsi="Arial"/>
          <w:b/>
          <w:bCs/>
          <w:color w:val="1F4E79"/>
          <w:sz w:val="26"/>
          <w:szCs w:val="26"/>
        </w:rPr>
        <w:t xml:space="preserve">3.3 Vendor Invoices &amp; Matching</w:t>
      </w:r>
    </w:p>
    <w:p>
      <w:pPr>
        <w:pStyle w:val="Heading3"/>
        <w:spacing w:after="120" w:before="240"/>
      </w:pPr>
      <w:r>
        <w:rPr>
          <w:rFonts w:ascii="Arial" w:cs="Arial" w:eastAsia="Arial" w:hAnsi="Arial"/>
          <w:b/>
          <w:bCs/>
          <w:color w:val="1F4E79"/>
          <w:sz w:val="22"/>
          <w:szCs w:val="22"/>
        </w:rPr>
        <w:t xml:space="preserve">3.3.1 Invoice Processing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When the vendor sends a bill, you create a Vendor Invoice and match it against the PO. Invoice matching compares quantities and prices.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2-Way Match: Invoice vs PO (quantity and price). 3-Way Match: Invoice vs PO vs Product Receipt (adds received quantity check). Matching policies are configurable per vendor, item, or legal entity.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Posting the invoice: Debits the expense or inventory account, Credits the Accounts Payable control account. The vendor now has an open balance.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VendInvoiceJour (posted header), VendInvoiceTrans (posted lines), VendInvoiceInfoTable (pending), VendTrans (vendor balance)</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VendInvoiceJour stores posted invoices. VendTrans stores the open balance per vendor (used for aging, payments, settlements). The connection between VendTrans and GL is through SubledgerVoucherGeneralJournalEntry.</w:t>
      </w:r>
    </w:p>
    <w:p>
      <w:pPr>
        <w:spacing w:after="100" w:before="100"/>
      </w:pPr>
    </w:p>
    <w:p>
      <w:pPr>
        <w:pStyle w:val="Heading3"/>
        <w:spacing w:after="120" w:before="240"/>
      </w:pPr>
      <w:r>
        <w:rPr>
          <w:rFonts w:ascii="Arial" w:cs="Arial" w:eastAsia="Arial" w:hAnsi="Arial"/>
          <w:b/>
          <w:bCs/>
          <w:color w:val="1F4E79"/>
          <w:sz w:val="22"/>
          <w:szCs w:val="22"/>
        </w:rPr>
        <w:t xml:space="preserve">3.3.2 Posting Profiles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Posting Profiles define which GL accounts are used when AP transactions are posted. For example: "When posting an invoice for vendor group Domestic, credit Main Account 210100 (Accounts Payable).”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Without posting profiles, D365 would not know which GL accounts to use. They are the bridge between subledger (AP) and GL.</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VendLedgerAccounts, CustLedgerAccounts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Invoice &amp; Matching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AP &gt; Invoices &gt; Pending vendor invoices → create invoice matched to your PO</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invoice matching validation → verify no discrepancies (quantities and prices match)</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the invoice → check GL entries: Inventory debited, AP credited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Intentionally create a price mismatch (invoice price differs from PO) → observe the matching warning</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AP &gt; Vendors &gt; All vendors → open your vendor → check vendor balance and transaction history</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AP &gt; Setup &gt; AP posting profiles → examine which GL accounts are configured</w:t>
            </w:r>
          </w:p>
        </w:tc>
      </w:tr>
    </w:tbl>
    <w:p>
      <w:pPr>
        <w:spacing w:after="100" w:before="100"/>
      </w:pPr>
    </w:p>
    <w:p>
      <w:pPr>
        <w:pStyle w:val="Heading2"/>
        <w:spacing w:after="160" w:before="300"/>
      </w:pPr>
      <w:r>
        <w:rPr>
          <w:rFonts w:ascii="Arial" w:cs="Arial" w:eastAsia="Arial" w:hAnsi="Arial"/>
          <w:b/>
          <w:bCs/>
          <w:color w:val="1F4E79"/>
          <w:sz w:val="26"/>
          <w:szCs w:val="26"/>
        </w:rPr>
        <w:t xml:space="preserve">3.4 Vendor Payments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Payment Proposal: system analyzes all open (unpaid) vendor invoices and suggests which to pay based on due dates, discounts, and vendor priority.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Payment Journal: batch of payments. Each line = one vendor payment. After posting: Debits AP (clears liability), Credits Bank (reduces cash).</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Settlement: linking a payment to specific invoice(s). Can settle 1 payment against 1 invoice, or 1 payment against multiple invoices.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LedgerJournalTable, LedgerJournalTrans, VendTransOpen (open invoices), VendSettlement</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Payment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AP &gt; Payments &gt; Vendor payment journal → create new journal</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Payment Proposal → system suggests due invoices → review and approve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the payment → check: AP balance cleared, Bank balance decreased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Check vendor balance → should be zero. Run AP Aging report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Test partial payment: pay $500 against a $1000 invoice → observe remaining open balance</w:t>
            </w:r>
          </w:p>
        </w:tc>
      </w:tr>
    </w:tbl>
    <w:p>
      <w:pPr>
        <w:spacing w:after="100" w:before="100"/>
      </w:pPr>
    </w:p>
    <w:p>
      <w:pPr>
        <w:pStyle w:val="Heading2"/>
        <w:spacing w:after="160" w:before="300"/>
      </w:pPr>
      <w:r>
        <w:rPr>
          <w:rFonts w:ascii="Arial" w:cs="Arial" w:eastAsia="Arial" w:hAnsi="Arial"/>
          <w:b/>
          <w:bCs/>
          <w:color w:val="1F4E79"/>
          <w:sz w:val="26"/>
          <w:szCs w:val="26"/>
        </w:rPr>
        <w:t xml:space="preserve">3.5 AP Aging &amp; Reporting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AP Aging shows what you owe, broken down by time buckets (Current, 30 days, 60 days, 90+ days). Used to manage cash flow and vendor relationships.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Key reports: Vendor Balance, AP Aging, Payment Prediction, Vendor Transaction List.</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AP Reporting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AP Aging report → understand the time buckets and vendor balances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Vendor Transaction List for one vendor → trace every PO, invoice, and payment</w:t>
            </w:r>
          </w:p>
        </w:tc>
      </w:tr>
    </w:tbl>
    <w:p>
      <w:r>
        <w:br w:type="page"/>
      </w:r>
    </w:p>
    <w:p>
      <w:pPr>
        <w:pStyle w:val="Heading1"/>
        <w:spacing w:after="200" w:before="360"/>
      </w:pPr>
      <w:r>
        <w:rPr>
          <w:rFonts w:ascii="Arial" w:cs="Arial" w:eastAsia="Arial" w:hAnsi="Arial"/>
          <w:b/>
          <w:bCs/>
          <w:color w:val="0D3B66"/>
          <w:sz w:val="32"/>
          <w:szCs w:val="32"/>
        </w:rPr>
        <w:t xml:space="preserve">MODULE 4: ACCOUNTS RECEIVABLE — ORDER TO CASH</w:t>
      </w:r>
    </w:p>
    <w:p>
      <w:pPr>
        <w:spacing w:after="60" w:before="60"/>
      </w:pPr>
      <w:r>
        <w:rPr>
          <w:rFonts w:ascii="Arial" w:cs="Arial" w:eastAsia="Arial" w:hAnsi="Arial"/>
          <w:sz w:val="20"/>
          <w:szCs w:val="20"/>
        </w:rPr>
        <w:t xml:space="preserve">The complete selling process. Mirror of AP but from the revenue side.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60"/>
            </w:pPr>
            <w:r>
              <w:rPr>
                <w:rFonts w:ascii="Arial" w:cs="Arial" w:eastAsia="Arial" w:hAnsi="Arial"/>
                <w:b/>
                <w:bCs/>
                <w:color w:val="0D3B66"/>
                <w:sz w:val="20"/>
                <w:szCs w:val="20"/>
              </w:rPr>
              <w:t xml:space="preserve">🔄 ORDER-TO-CASH FLOW</w:t>
            </w:r>
          </w:p>
          <w:p>
            <w:r>
              <w:rPr>
                <w:rFonts w:ascii="Arial" w:cs="Arial" w:eastAsia="Arial" w:hAnsi="Arial"/>
                <w:sz w:val="19"/>
                <w:szCs w:val="19"/>
              </w:rPr>
              <w:t xml:space="preserve">Customer Inquiry  →  Sales Quotation  →  Sales Order  →  SO Confirmation  →  Picking List  →  Packing Slip  →  Sales Invoice  →  Customer Payment  →  Settlement</w:t>
            </w:r>
          </w:p>
        </w:tc>
      </w:tr>
    </w:tbl>
    <w:p>
      <w:pPr>
        <w:spacing w:after="100" w:before="100"/>
      </w:pPr>
    </w:p>
    <w:p>
      <w:pPr>
        <w:pStyle w:val="Heading2"/>
        <w:spacing w:after="160" w:before="300"/>
      </w:pPr>
      <w:r>
        <w:rPr>
          <w:rFonts w:ascii="Arial" w:cs="Arial" w:eastAsia="Arial" w:hAnsi="Arial"/>
          <w:b/>
          <w:bCs/>
          <w:color w:val="1F4E79"/>
          <w:sz w:val="26"/>
          <w:szCs w:val="26"/>
        </w:rPr>
        <w:t xml:space="preserve">4.1 Customer Master Data</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Customer record: name, address, payment terms, credit limit, collection letter sequence, default dimensions. Linked to Global Address Book via Party.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Customer Group classifies customers and determines default GL posting (via AR posting profiles). Credit Limit enforces maximum outstanding balance.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CustTable, CustGroup, CustTrans, CustTransOpen, CustSettlement</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CustTable is structured identically to VendTable. CustTrans stores the open/closed balance per customer. CustTransOpen tracks invoices awaiting payment.</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Customer Master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3 customers: one with credit limit $50K, one with Net60 terms, one with COD (cash on delivery)</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default financial dimensions on each customer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Examine CustTable in Application Explorer → compare structure to VendTable</w:t>
            </w:r>
          </w:p>
        </w:tc>
      </w:tr>
    </w:tbl>
    <w:p>
      <w:pPr>
        <w:spacing w:after="100" w:before="100"/>
      </w:pPr>
    </w:p>
    <w:p>
      <w:pPr>
        <w:pStyle w:val="Heading2"/>
        <w:spacing w:after="160" w:before="300"/>
      </w:pPr>
      <w:r>
        <w:rPr>
          <w:rFonts w:ascii="Arial" w:cs="Arial" w:eastAsia="Arial" w:hAnsi="Arial"/>
          <w:b/>
          <w:bCs/>
          <w:color w:val="1F4E79"/>
          <w:sz w:val="26"/>
          <w:szCs w:val="26"/>
        </w:rPr>
        <w:t xml:space="preserve">4.2 Sales Orders</w:t>
      </w:r>
    </w:p>
    <w:p>
      <w:pPr>
        <w:pStyle w:val="Heading3"/>
        <w:spacing w:after="120" w:before="240"/>
      </w:pPr>
      <w:r>
        <w:rPr>
          <w:rFonts w:ascii="Arial" w:cs="Arial" w:eastAsia="Arial" w:hAnsi="Arial"/>
          <w:b/>
          <w:bCs/>
          <w:color w:val="1F4E79"/>
          <w:sz w:val="22"/>
          <w:szCs w:val="22"/>
        </w:rPr>
        <w:t xml:space="preserve">4.2.1 SO Structure &amp; Status Flow</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Sales Order header: customer, order date, requested delivery date, currency. Lines: item, quantity, unit price, delivery date, warehouse, dimensions.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920"/>
        <w:gridCol w:w="2720"/>
      </w:tblGrid>
      <w:tr>
        <w:tc>
          <w:tcPr>
            <w:tcW w:type="dxa" w:w="14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Step</w:t>
            </w:r>
          </w:p>
        </w:tc>
        <w:tc>
          <w:tcPr>
            <w:tcW w:type="dxa" w:w="28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29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GL Impact</w:t>
            </w:r>
          </w:p>
        </w:tc>
        <w:tc>
          <w:tcPr>
            <w:tcW w:type="dxa" w:w="27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Inventory Impact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Create SO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Sales order created</w:t>
            </w:r>
          </w:p>
        </w:tc>
        <w:tc>
          <w:tcPr>
            <w:tcW w:type="dxa" w:w="2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Soft reservation</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Confirm</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Order confirmed with customer</w:t>
            </w:r>
          </w:p>
        </w:tc>
        <w:tc>
          <w:tcPr>
            <w:tcW w:type="dxa" w:w="29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Hard reservation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Picking List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Warehouse picks items</w:t>
            </w:r>
          </w:p>
        </w:tc>
        <w:tc>
          <w:tcPr>
            <w:tcW w:type="dxa" w:w="2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Reserved → Picked</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Packing Slip</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Items packed and shipped</w:t>
            </w:r>
          </w:p>
        </w:tc>
        <w:tc>
          <w:tcPr>
            <w:tcW w:type="dxa" w:w="29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Debit: Cost of Goods / Credit: Inventory</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On-hand decreases (physical)</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Invoice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Invoice sent to customer</w:t>
            </w:r>
          </w:p>
        </w:tc>
        <w:tc>
          <w:tcPr>
            <w:tcW w:type="dxa" w:w="2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Debit: Accounts Receivable / Credit: Revenue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On-hand updates (financial)</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Customer pays</w:t>
            </w:r>
          </w:p>
        </w:tc>
        <w:tc>
          <w:tcPr>
            <w:tcW w:type="dxa" w:w="29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Debit: Bank / Credit: Accounts Receivable</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w:t>
            </w:r>
          </w:p>
        </w:tc>
      </w:tr>
    </w:tbl>
    <w:p>
      <w:pPr>
        <w:spacing w:after="100" w:before="100"/>
      </w:pP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SalesTable (header), SalesLine (lines), CustConfirmJour, CustPackingSlipJour, CustInvoiceJour, CustInvoiceTrans</w:t>
      </w:r>
    </w:p>
    <w:p>
      <w:pPr>
        <w:spacing w:after="100" w:before="100"/>
      </w:pPr>
    </w:p>
    <w:p>
      <w:pPr>
        <w:pStyle w:val="Heading3"/>
        <w:spacing w:after="120" w:before="240"/>
      </w:pPr>
      <w:r>
        <w:rPr>
          <w:rFonts w:ascii="Arial" w:cs="Arial" w:eastAsia="Arial" w:hAnsi="Arial"/>
          <w:b/>
          <w:bCs/>
          <w:color w:val="1F4E79"/>
          <w:sz w:val="22"/>
          <w:szCs w:val="22"/>
        </w:rPr>
        <w:t xml:space="preserve">4.2.2 Credit Management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When a sales order is created, the system checks if the customer has exceeded their credit limit. If yes, the order can be placed on hold, requiring approval before release.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Credit hold workflow: SO creation → credit check fails → order held → credit manager reviews → release or reject.</w:t>
      </w:r>
    </w:p>
    <w:p>
      <w:pPr>
        <w:spacing w:after="100" w:before="100"/>
      </w:pPr>
    </w:p>
    <w:p>
      <w:pPr>
        <w:pStyle w:val="Heading3"/>
        <w:spacing w:after="120" w:before="240"/>
      </w:pPr>
      <w:r>
        <w:rPr>
          <w:rFonts w:ascii="Arial" w:cs="Arial" w:eastAsia="Arial" w:hAnsi="Arial"/>
          <w:b/>
          <w:bCs/>
          <w:color w:val="1F4E79"/>
          <w:sz w:val="22"/>
          <w:szCs w:val="22"/>
        </w:rPr>
        <w:t xml:space="preserve">4.2.3 Free Text Invoices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Invoices without a sales order — for miscellaneous charges, services, or one-time billing. Posted directly to AR without inventory involvement.</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FreeTextInvoiceHeader (CustInvoiceTable), FreeTextInvoiceLine (CustInvoiceLine)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Order-to-Cash Complete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Sales Quotation → convert to Sales Order</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Confirm the Sales Order → observe: confirmation journal created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Picking List → observe: items marked as picked in warehouse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Packing Slip → check GL: COGS debited, Inventory credited. Check inventory: on-hand decreased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Sales Invoice → check GL: AR debited, Revenue credited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Customer Payment Journal → settle against the invoice → check: AR balance = 0</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7</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AR Aging report → verify customer has no open balance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8</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Free Text Invoice for a service charge → post → receive payment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9</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At EACH step above, trace: which table was updated? what GL entries were created? what inventory changed?</w:t>
            </w:r>
          </w:p>
        </w:tc>
      </w:tr>
    </w:tbl>
    <w:p>
      <w:r>
        <w:br w:type="page"/>
      </w:r>
    </w:p>
    <w:p>
      <w:pPr>
        <w:pStyle w:val="Heading1"/>
        <w:spacing w:after="200" w:before="360"/>
      </w:pPr>
      <w:r>
        <w:rPr>
          <w:rFonts w:ascii="Arial" w:cs="Arial" w:eastAsia="Arial" w:hAnsi="Arial"/>
          <w:b/>
          <w:bCs/>
          <w:color w:val="0D3B66"/>
          <w:sz w:val="32"/>
          <w:szCs w:val="32"/>
        </w:rPr>
        <w:t xml:space="preserve">MODULE 5: INVENTORY &amp; PRODUCT MANAGEMENT</w:t>
      </w:r>
    </w:p>
    <w:p>
      <w:pPr>
        <w:spacing w:after="100" w:before="100"/>
      </w:pPr>
    </w:p>
    <w:p>
      <w:pPr>
        <w:pStyle w:val="Heading2"/>
        <w:spacing w:after="160" w:before="300"/>
      </w:pPr>
      <w:r>
        <w:rPr>
          <w:rFonts w:ascii="Arial" w:cs="Arial" w:eastAsia="Arial" w:hAnsi="Arial"/>
          <w:b/>
          <w:bCs/>
          <w:color w:val="1F4E79"/>
          <w:sz w:val="26"/>
          <w:szCs w:val="26"/>
        </w:rPr>
        <w:t xml:space="preserve">5.1 Product Information</w:t>
      </w:r>
    </w:p>
    <w:p>
      <w:pPr>
        <w:pStyle w:val="Heading3"/>
        <w:spacing w:after="120" w:before="240"/>
      </w:pPr>
      <w:r>
        <w:rPr>
          <w:rFonts w:ascii="Arial" w:cs="Arial" w:eastAsia="Arial" w:hAnsi="Arial"/>
          <w:b/>
          <w:bCs/>
          <w:color w:val="1F4E79"/>
          <w:sz w:val="22"/>
          <w:szCs w:val="22"/>
        </w:rPr>
        <w:t xml:space="preserve">5.1.1 Product vs Released Product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Product = global definition (name, type, category). Released Product = the product made available to a specific legal entity with company-specific settings (costing, warehouse, purchasing defaults).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Product Types: Item (physical, tracked in inventory), Service (non-physical, no inventory), BOM Item (assembled from components).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EcoResProduct, EcoResProductMaster, InventTable (released), InventItemGroup, InventModelGroup</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InventTable is the released product table — the one you query most. InventItemGroup determines GL posting for inventory transactions. InventModelGroup determines costing method.</w:t>
      </w:r>
    </w:p>
    <w:p>
      <w:pPr>
        <w:spacing w:after="100" w:before="100"/>
      </w:pPr>
    </w:p>
    <w:p>
      <w:pPr>
        <w:pStyle w:val="Heading3"/>
        <w:spacing w:after="120" w:before="240"/>
      </w:pPr>
      <w:r>
        <w:rPr>
          <w:rFonts w:ascii="Arial" w:cs="Arial" w:eastAsia="Arial" w:hAnsi="Arial"/>
          <w:b/>
          <w:bCs/>
          <w:color w:val="1F4E79"/>
          <w:sz w:val="22"/>
          <w:szCs w:val="22"/>
        </w:rPr>
        <w:t xml:space="preserve">5.1.2 Product Dimensions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Product Masters can have variants using dimensions: Color, Size, Style, Configuration. Example: T-Shirt (master) in Red/Large, Blue/Medium, Green/Small (variants).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EcoResProductMasterColor, EcoResProductMasterSize, EcoResProductVariant, InventDimCombination</w:t>
      </w:r>
    </w:p>
    <w:p>
      <w:pPr>
        <w:spacing w:after="100" w:before="100"/>
      </w:pPr>
    </w:p>
    <w:p>
      <w:pPr>
        <w:pStyle w:val="Heading3"/>
        <w:spacing w:after="120" w:before="240"/>
      </w:pPr>
      <w:r>
        <w:rPr>
          <w:rFonts w:ascii="Arial" w:cs="Arial" w:eastAsia="Arial" w:hAnsi="Arial"/>
          <w:b/>
          <w:bCs/>
          <w:color w:val="1F4E79"/>
          <w:sz w:val="22"/>
          <w:szCs w:val="22"/>
        </w:rPr>
        <w:t xml:space="preserve">5.1.3 Item Model Group (Costing Method)</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Determines HOW inventory cost is calculated:</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FIFO (First In, First Out): oldest cost used first. Most common.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LIFO (Last In, First Out): newest cost used first.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Weighted Average: average cost across all receipts.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Standard Cost: fixed predetermined cost. Variances tracked when actual differs.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Moving Average: recalculated with each receipt.</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Costing method affects COGS calculation and inventory valuation. When extending inventory posting, understand which method is active — it changes the GL entries.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Product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Product Information Management &gt; Products → create a new Product (Item type)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Release the product to your legal entity → set default warehouse, purchase/sales prices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Item Model Group = FIFO → understand: when you sell, oldest cost is used for COGS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Product Master with Color dimension → create 3 variants (Red, Blue, Green)</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Application Explorer: examine InventTable, InventModelGroup, InventItemGroup and their relations</w:t>
            </w:r>
          </w:p>
        </w:tc>
      </w:tr>
    </w:tbl>
    <w:p>
      <w:pPr>
        <w:spacing w:after="100" w:before="100"/>
      </w:pPr>
    </w:p>
    <w:p>
      <w:pPr>
        <w:pStyle w:val="Heading2"/>
        <w:spacing w:after="160" w:before="300"/>
      </w:pPr>
      <w:r>
        <w:rPr>
          <w:rFonts w:ascii="Arial" w:cs="Arial" w:eastAsia="Arial" w:hAnsi="Arial"/>
          <w:b/>
          <w:bCs/>
          <w:color w:val="1F4E79"/>
          <w:sz w:val="26"/>
          <w:szCs w:val="26"/>
        </w:rPr>
        <w:t xml:space="preserve">5.2 Storage &amp; Tracking Dimensions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Storage Dimensions define WHERE inventory is: Site (campus/facility), Warehouse (building), Location (aisle-rack-shelf), License Plate (container/pallet).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Tracking Dimensions define HOW to trace inventory: Batch Number (production lot), Serial Number (individual unit).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Dimension Group determines which dimensions are active and mandatory per item.</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InventDim, InventDimGroup, InventSite, InventLocation (warehouse), WMSLocation</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InventDim is a key table — every inventory transaction references an InventDim record. It stores the combination of all active dimensions (site, warehouse, batch, serial). When querying inventory, you almost always join to InventDim.</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Dimensions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Inventory Management &gt; Setup &gt; Dimension groups → examine storage and tracking dimension groups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Site and 2 Warehouses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default site/warehouse on your items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an inventory adjustment: add 100 units to Warehouse 1</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an inventory transfer: move 30 units from Warehouse 1 to Warehouse 2</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Check on-hand per warehouse → verify quantities</w:t>
            </w:r>
          </w:p>
        </w:tc>
      </w:tr>
    </w:tbl>
    <w:p>
      <w:pPr>
        <w:spacing w:after="100" w:before="100"/>
      </w:pPr>
    </w:p>
    <w:p>
      <w:pPr>
        <w:pStyle w:val="Heading2"/>
        <w:spacing w:after="160" w:before="300"/>
      </w:pPr>
      <w:r>
        <w:rPr>
          <w:rFonts w:ascii="Arial" w:cs="Arial" w:eastAsia="Arial" w:hAnsi="Arial"/>
          <w:b/>
          <w:bCs/>
          <w:color w:val="1F4E79"/>
          <w:sz w:val="26"/>
          <w:szCs w:val="26"/>
        </w:rPr>
        <w:t xml:space="preserve">5.3 On-Hand Inventory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On-hand = how much inventory you have right now. Key quantities: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Physical Available = physically in warehouse (can touch it).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Ordered Available = expected from purchase orders (not yet received).</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Reserved Physical = committed to sales orders (cannot sell again).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Available to Promise (ATP) = what you can promise to new customers.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InventSum (aggregated on-hand), InventOnHand (on-hand view), InventTrans (individual movements)</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InventSum is the aggregated on-hand table — one record per item/dimension combination with all quantity fields. InventTrans records every individual inventory movement. When checking availability in code, use InventOnHand class or query InventSum.</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On-Hand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Inventory Management &gt; Inquiries &gt; On-hand inventory → check on-hand for your items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PO for 50 units → check: "Ordered" quantity increases (Available Ordered)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SO for 30 units → check: "Reserved" quantity increases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Receive the PO → check: "Physical available" increases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Ship the SO → check: "Physical available" decreases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SSMS: SELECT * FROM InventSum WHERE ItemId = 'your-item' → examine AvailPhysical, AvailOrdered, ReservPhysical</w:t>
            </w:r>
          </w:p>
        </w:tc>
      </w:tr>
    </w:tbl>
    <w:p>
      <w:pPr>
        <w:spacing w:after="100" w:before="100"/>
      </w:pPr>
    </w:p>
    <w:p>
      <w:pPr>
        <w:pStyle w:val="Heading2"/>
        <w:spacing w:after="160" w:before="300"/>
      </w:pPr>
      <w:r>
        <w:rPr>
          <w:rFonts w:ascii="Arial" w:cs="Arial" w:eastAsia="Arial" w:hAnsi="Arial"/>
          <w:b/>
          <w:bCs/>
          <w:color w:val="1F4E79"/>
          <w:sz w:val="26"/>
          <w:szCs w:val="26"/>
        </w:rPr>
        <w:t xml:space="preserve">5.4 Inventory Journals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Manual inventory adjustments outside of POs/SOs: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Movement Journal: ad-hoc add/remove inventory (found extra items, disposal, etc.).</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Transfer Journal: move inventory between warehouses within the same company.</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Counting Journal: physical count reconciliation — compare actual vs system, post the difference.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Adjustment Journal: change inventory cost without changing quantity.</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InventJournalTable (header), InventJournalTrans (lines)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Inventory Journal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 Movement Journal: add 200 units of an item to a warehouse → verify on-hand increased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 Transfer Journal: move 50 units from Warehouse 1 to Warehouse 2 → verify both warehouses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 Counting Journal: system says 200, you counted 195 → post difference of -5 → verify on-hand = 195</w:t>
            </w:r>
          </w:p>
        </w:tc>
      </w:tr>
    </w:tbl>
    <w:p>
      <w:pPr>
        <w:spacing w:after="100" w:before="100"/>
      </w:pPr>
    </w:p>
    <w:p>
      <w:pPr>
        <w:pStyle w:val="Heading2"/>
        <w:spacing w:after="160" w:before="300"/>
      </w:pPr>
      <w:r>
        <w:rPr>
          <w:rFonts w:ascii="Arial" w:cs="Arial" w:eastAsia="Arial" w:hAnsi="Arial"/>
          <w:b/>
          <w:bCs/>
          <w:color w:val="1F4E79"/>
          <w:sz w:val="26"/>
          <w:szCs w:val="26"/>
        </w:rPr>
        <w:t xml:space="preserve">5.5 Inventory Costing &amp; Closing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Inventory Closing is a periodic process that finalizes inventory costs. It settles receipts against issues (FIFO/LIFO matching), calculates adjustments, and updates COGS.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Before closing: costs may be estimated. After closing: costs are finalized. Running inventory close is typically a monthly process.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InventClosing, InventSettlement, InventCostTrans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Costing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2 PO receipts at different costs: 100 units at $10, then 100 units at $12</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 SO for 150 units → check COGS in GL → observe estimated cost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Inventory Close → observe COGS adjustment (FIFO settles oldest cost first)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Review inventory value report before and after close</w:t>
            </w:r>
          </w:p>
        </w:tc>
      </w:tr>
    </w:tbl>
    <w:p>
      <w:r>
        <w:br w:type="page"/>
      </w:r>
    </w:p>
    <w:p>
      <w:pPr>
        <w:pStyle w:val="Heading1"/>
        <w:spacing w:after="200" w:before="360"/>
      </w:pPr>
      <w:r>
        <w:rPr>
          <w:rFonts w:ascii="Arial" w:cs="Arial" w:eastAsia="Arial" w:hAnsi="Arial"/>
          <w:b/>
          <w:bCs/>
          <w:color w:val="0D3B66"/>
          <w:sz w:val="32"/>
          <w:szCs w:val="32"/>
        </w:rPr>
        <w:t xml:space="preserve">MODULE 6: TAX &amp; COMPLIANCE</w:t>
      </w:r>
    </w:p>
    <w:p>
      <w:pPr>
        <w:spacing w:after="100" w:before="100"/>
      </w:pPr>
    </w:p>
    <w:p>
      <w:pPr>
        <w:pStyle w:val="Heading2"/>
        <w:spacing w:after="160" w:before="300"/>
      </w:pPr>
      <w:r>
        <w:rPr>
          <w:rFonts w:ascii="Arial" w:cs="Arial" w:eastAsia="Arial" w:hAnsi="Arial"/>
          <w:b/>
          <w:bCs/>
          <w:color w:val="1F4E79"/>
          <w:sz w:val="26"/>
          <w:szCs w:val="26"/>
        </w:rPr>
        <w:t xml:space="preserve">6.1 Sales Tax Framework</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Tax in D365 is calculated as the INTERSECTION of two groups: Sales Tax Group (who is being taxed — customer/vendor) and Item Sales Tax Group (what is being taxed — item/service).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Tax Codes define individual tax rates (State Tax 6%, City Tax 1.5%). Tax Groups contain one or more tax codes. Tax = all matching codes between the two groups.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20"/>
        <w:gridCol w:w="2720"/>
      </w:tblGrid>
      <w:tr>
        <w:tc>
          <w:tcPr>
            <w:tcW w:type="dxa" w:w="20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Component</w:t>
            </w:r>
          </w:p>
        </w:tc>
        <w:tc>
          <w:tcPr>
            <w:tcW w:type="dxa" w:w="24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Table</w:t>
            </w:r>
          </w:p>
        </w:tc>
        <w:tc>
          <w:tcPr>
            <w:tcW w:type="dxa" w:w="27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Purpose</w:t>
            </w:r>
          </w:p>
        </w:tc>
        <w:tc>
          <w:tcPr>
            <w:tcW w:type="dxa" w:w="272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Tax Code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TaxTable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Individual tax rate definition</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STATE_6 = 6%, CITY_1.5 = 1.5%</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Sales Tax Group</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TaxGroupHeading</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Group applied to customer/vendor/transaction</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TAXABLE = includes State + City tax codes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Item Sales Tax Group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TaxItemGroupHeading</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Group applied to item/service</w:t>
            </w:r>
          </w:p>
        </w:tc>
        <w:tc>
          <w:tcPr>
            <w:tcW w:type="dxa" w:w="2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ALL_ITEMS = includes State + City tax codes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Tax Exempt</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TaxItemGroupHeading</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Items not subject to tax</w:t>
            </w:r>
          </w:p>
        </w:tc>
        <w:tc>
          <w:tcPr>
            <w:tcW w:type="dxa" w:w="27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EXEMPT = contains no tax codes</w:t>
            </w:r>
          </w:p>
        </w:tc>
      </w:tr>
    </w:tbl>
    <w:p>
      <w:pPr>
        <w:spacing w:after="100" w:before="100"/>
      </w:pP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TaxTrans (posted tax transactions), TaxTable, TaxGroupHeading, TaxGroupData, TaxItemGroupHeading, TaxItemGroupData, TaxOnItem</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Tax is calculated automatically on POs, SOs, invoices, and journals. The TaxTrans table stores every posted tax transaction. When customizing, never manually calculate tax — use the Tax framework classes.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Tax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Tax &gt; Indirect Taxes &gt; Sales Tax &gt; Sales tax codes → view existing tax codes</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new tax code: MY_STATE at 6.25%</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Sales Tax Group: TAXABLE containing your code. Create Item Sales Tax Group: STANDARD containing same code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PO → set Sales Tax Group on header, Item Sales Tax Group on line → verify tax calculated (6.25%)</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an exempt scenario: Item Sales Tax Group with no codes → verify $0 tax</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an invoice with tax → in SSMS: query TaxTrans for your voucher</w:t>
            </w:r>
          </w:p>
        </w:tc>
      </w:tr>
    </w:tbl>
    <w:p>
      <w:r>
        <w:br w:type="page"/>
      </w:r>
    </w:p>
    <w:p>
      <w:pPr>
        <w:pStyle w:val="Heading1"/>
        <w:spacing w:after="200" w:before="360"/>
      </w:pPr>
      <w:r>
        <w:rPr>
          <w:rFonts w:ascii="Arial" w:cs="Arial" w:eastAsia="Arial" w:hAnsi="Arial"/>
          <w:b/>
          <w:bCs/>
          <w:color w:val="0D3B66"/>
          <w:sz w:val="32"/>
          <w:szCs w:val="32"/>
        </w:rPr>
        <w:t xml:space="preserve">MODULE 7: PROCUREMENT &amp; SOURCING</w:t>
      </w:r>
    </w:p>
    <w:p>
      <w:pPr>
        <w:spacing w:after="100" w:before="100"/>
      </w:pPr>
    </w:p>
    <w:p>
      <w:pPr>
        <w:pStyle w:val="Heading2"/>
        <w:spacing w:after="160" w:before="300"/>
      </w:pPr>
      <w:r>
        <w:rPr>
          <w:rFonts w:ascii="Arial" w:cs="Arial" w:eastAsia="Arial" w:hAnsi="Arial"/>
          <w:b/>
          <w:bCs/>
          <w:color w:val="1F4E79"/>
          <w:sz w:val="26"/>
          <w:szCs w:val="26"/>
        </w:rPr>
        <w:t xml:space="preserve">7.1 Purchase Requisitions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Internal request to buy something. Created by employees, routed through approval workflow, then converted to PO by procurement team.</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Requisition purpose: Consumption (expense) or Replenishment (inventory).</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PurchReqTable (header), PurchReqLine (lines)</w:t>
      </w:r>
    </w:p>
    <w:p>
      <w:pPr>
        <w:spacing w:after="100" w:before="100"/>
      </w:pPr>
    </w:p>
    <w:p>
      <w:pPr>
        <w:pStyle w:val="Heading2"/>
        <w:spacing w:after="160" w:before="300"/>
      </w:pPr>
      <w:r>
        <w:rPr>
          <w:rFonts w:ascii="Arial" w:cs="Arial" w:eastAsia="Arial" w:hAnsi="Arial"/>
          <w:b/>
          <w:bCs/>
          <w:color w:val="1F4E79"/>
          <w:sz w:val="26"/>
          <w:szCs w:val="26"/>
        </w:rPr>
        <w:t xml:space="preserve">7.2 Purchase Agreements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Long-term contract with a vendor for repeated purchases at agreed prices/quantities. Individual POs reference the agreement. System tracks fulfillment against the commitment.</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AgreementHeader, AgreementLine, AgreementHeaderExt_RU</w:t>
      </w:r>
    </w:p>
    <w:p>
      <w:pPr>
        <w:spacing w:after="100" w:before="100"/>
      </w:pPr>
    </w:p>
    <w:p>
      <w:pPr>
        <w:pStyle w:val="Heading2"/>
        <w:spacing w:after="160" w:before="300"/>
      </w:pPr>
      <w:r>
        <w:rPr>
          <w:rFonts w:ascii="Arial" w:cs="Arial" w:eastAsia="Arial" w:hAnsi="Arial"/>
          <w:b/>
          <w:bCs/>
          <w:color w:val="1F4E79"/>
          <w:sz w:val="26"/>
          <w:szCs w:val="26"/>
        </w:rPr>
        <w:t xml:space="preserve">7.3 Request for Quotation (RFQ)</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Competitive bidding process: send RFQ to multiple vendors → receive bids → compare → accept lowest/best bid → create PO from accepted bid.</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PurchRFQTable, PurchRFQLine, PurchRFQReplyTable, PurchRFQReplyLine</w:t>
      </w:r>
    </w:p>
    <w:p>
      <w:pPr>
        <w:spacing w:after="100" w:before="100"/>
      </w:pPr>
    </w:p>
    <w:p>
      <w:pPr>
        <w:pStyle w:val="Heading2"/>
        <w:spacing w:after="160" w:before="300"/>
      </w:pPr>
      <w:r>
        <w:rPr>
          <w:rFonts w:ascii="Arial" w:cs="Arial" w:eastAsia="Arial" w:hAnsi="Arial"/>
          <w:b/>
          <w:bCs/>
          <w:color w:val="1F4E79"/>
          <w:sz w:val="26"/>
          <w:szCs w:val="26"/>
        </w:rPr>
        <w:t xml:space="preserve">7.4 Procurement Categories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Hierarchical classification of what you buy: Office Supplies &gt; Paper &gt; Copy Paper. Used for spend analysis, approval policies, and vendor catalog management.</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EcoResCategory, EcoResCategoryHierarchy, ProcCategoryAccessPolicy</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Procurement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Purchase Requisition for office supplies → submit for approval → approve → convert to PO</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Purchase Agreement with a vendor for 1000 units over 12 months → create PO referencing the agreement → observe fulfillment tracking</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an RFQ sent to 3 vendors → enter reply bids → compare → accept lowest → create PO</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procurement categories → understand the hierarchy</w:t>
            </w:r>
          </w:p>
        </w:tc>
      </w:tr>
    </w:tbl>
    <w:p>
      <w:r>
        <w:br w:type="page"/>
      </w:r>
    </w:p>
    <w:p>
      <w:pPr>
        <w:pStyle w:val="Heading1"/>
        <w:spacing w:after="200" w:before="360"/>
      </w:pPr>
      <w:r>
        <w:rPr>
          <w:rFonts w:ascii="Arial" w:cs="Arial" w:eastAsia="Arial" w:hAnsi="Arial"/>
          <w:b/>
          <w:bCs/>
          <w:color w:val="0D3B66"/>
          <w:sz w:val="32"/>
          <w:szCs w:val="32"/>
        </w:rPr>
        <w:t xml:space="preserve">MODULE 8: WAREHOUSE MANAGEMENT</w:t>
      </w:r>
    </w:p>
    <w:p>
      <w:pPr>
        <w:spacing w:after="100" w:before="100"/>
      </w:pPr>
    </w:p>
    <w:p>
      <w:pPr>
        <w:pStyle w:val="Heading2"/>
        <w:spacing w:after="160" w:before="300"/>
      </w:pPr>
      <w:r>
        <w:rPr>
          <w:rFonts w:ascii="Arial" w:cs="Arial" w:eastAsia="Arial" w:hAnsi="Arial"/>
          <w:b/>
          <w:bCs/>
          <w:color w:val="1F4E79"/>
          <w:sz w:val="26"/>
          <w:szCs w:val="26"/>
        </w:rPr>
        <w:t xml:space="preserve">8.1 Warehouse Structure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Advanced warehouse: Zones (receiving, staging, shipping, storage), Aisles, Racks, Shelves, Bins. Every item has a precise location.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Location Profiles define what a location can hold (size, weight, item restrictions).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WHSWarehouse, WMSLocation, WHSLocationProfile, WHSZone</w:t>
      </w:r>
    </w:p>
    <w:p>
      <w:pPr>
        <w:spacing w:after="100" w:before="100"/>
      </w:pPr>
    </w:p>
    <w:p>
      <w:pPr>
        <w:pStyle w:val="Heading2"/>
        <w:spacing w:after="160" w:before="300"/>
      </w:pPr>
      <w:r>
        <w:rPr>
          <w:rFonts w:ascii="Arial" w:cs="Arial" w:eastAsia="Arial" w:hAnsi="Arial"/>
          <w:b/>
          <w:bCs/>
          <w:color w:val="1F4E79"/>
          <w:sz w:val="26"/>
          <w:szCs w:val="26"/>
        </w:rPr>
        <w:t xml:space="preserve">8.2 Warehouse Work &amp; Waves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Work Templates define WHAT work to create: e.g., when a SO is released, create Pick work (go to location X, pick Y items, bring to staging).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Location Directives define WHERE: e.g., for put-away, find an empty location in Zone A that fits the item. For picking, find the oldest batch first (FIFO).</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Wave Processing batches multiple SOs into a single picking wave for efficiency. Waves create work, work is executed by warehouse workers via mobile device.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WHSWorkTable, WHSWorkLine, WHSWaveTable, WHSLocDirTable, WHSWorkTemplateTable</w:t>
      </w:r>
    </w:p>
    <w:p>
      <w:pPr>
        <w:spacing w:after="100" w:before="100"/>
      </w:pPr>
    </w:p>
    <w:p>
      <w:pPr>
        <w:pStyle w:val="Heading2"/>
        <w:spacing w:after="160" w:before="300"/>
      </w:pPr>
      <w:r>
        <w:rPr>
          <w:rFonts w:ascii="Arial" w:cs="Arial" w:eastAsia="Arial" w:hAnsi="Arial"/>
          <w:b/>
          <w:bCs/>
          <w:color w:val="1F4E79"/>
          <w:sz w:val="26"/>
          <w:szCs w:val="26"/>
        </w:rPr>
        <w:t xml:space="preserve">8.3 Mobile Device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Warehouse workers use a mobile app (Warehouse Management mobile app). Menu items define operations: Receive PO, Pick SO, Transfer, Count, Move.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The mobile flow: Scan license plate → Scan item → Confirm quantity → Scan destination location → Complete.</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WHSRFMenuItemTable, WHSMobileAppStepInfo</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Warehouse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Configure a basic warehouse with zones: Receive, Bulk Storage, Shipping</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locations: RCV-001, BULK-A01 through BULK-A10, SHIP-001</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up a work template for Purchase Order receiving: Pick from Receive dock → Put to Bulk</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up a location directive for put-away: find empty location in Bulk zone</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Receive a PO via the warehouse process → observe work created → complete the put-away work</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Release a SO to warehouse → observe picking work created → complete the pick → pack → ship</w:t>
            </w:r>
          </w:p>
        </w:tc>
      </w:tr>
    </w:tbl>
    <w:p>
      <w:r>
        <w:br w:type="page"/>
      </w:r>
    </w:p>
    <w:p>
      <w:pPr>
        <w:pStyle w:val="Heading1"/>
        <w:spacing w:after="200" w:before="360"/>
      </w:pPr>
      <w:r>
        <w:rPr>
          <w:rFonts w:ascii="Arial" w:cs="Arial" w:eastAsia="Arial" w:hAnsi="Arial"/>
          <w:b/>
          <w:bCs/>
          <w:color w:val="0D3B66"/>
          <w:sz w:val="32"/>
          <w:szCs w:val="32"/>
        </w:rPr>
        <w:t xml:space="preserve">MODULE 9: MANUFACTURING &amp; PRODUCTION</w:t>
      </w:r>
    </w:p>
    <w:p>
      <w:pPr>
        <w:spacing w:after="100" w:before="100"/>
      </w:pPr>
    </w:p>
    <w:p>
      <w:pPr>
        <w:pStyle w:val="Heading2"/>
        <w:spacing w:after="160" w:before="300"/>
      </w:pPr>
      <w:r>
        <w:rPr>
          <w:rFonts w:ascii="Arial" w:cs="Arial" w:eastAsia="Arial" w:hAnsi="Arial"/>
          <w:b/>
          <w:bCs/>
          <w:color w:val="1F4E79"/>
          <w:sz w:val="26"/>
          <w:szCs w:val="26"/>
        </w:rPr>
        <w:t xml:space="preserve">9.1 Bill of Materials (BOM)</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BOM defines the recipe/structure of a manufactured item. Example: Finished Product "Widget Assembly" requires: 2x Part A + 1x Part B + 0.5 kg Raw Material C.</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BOM Versions allow different formulas for different dates/quantities. BOM calculation determines the standard cost of the finished product based on component costs.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BOMTable (header), BOM (lines/components), BOMVersion</w:t>
      </w:r>
    </w:p>
    <w:p>
      <w:pPr>
        <w:spacing w:after="100" w:before="100"/>
      </w:pPr>
    </w:p>
    <w:p>
      <w:pPr>
        <w:pStyle w:val="Heading2"/>
        <w:spacing w:after="160" w:before="300"/>
      </w:pPr>
      <w:r>
        <w:rPr>
          <w:rFonts w:ascii="Arial" w:cs="Arial" w:eastAsia="Arial" w:hAnsi="Arial"/>
          <w:b/>
          <w:bCs/>
          <w:color w:val="1F4E79"/>
          <w:sz w:val="26"/>
          <w:szCs w:val="26"/>
        </w:rPr>
        <w:t xml:space="preserve">9.2 Routes &amp; Operations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 Route defines the manufacturing steps: e.g., Step 1: Cut (Machine A, 5 min) → Step 2: Weld (Machine B, 10 min) → Step 3: Paint (Paint Station, 15 min) → Step 4: Inspect (QC Station, 3 min).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Operations define what is done. Work Centers / Resources define WHERE and by WHOM.</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RouteTable, Route (operations), RouteVersion, WrkCtrTable</w:t>
      </w:r>
    </w:p>
    <w:p>
      <w:pPr>
        <w:spacing w:after="100" w:before="100"/>
      </w:pPr>
    </w:p>
    <w:p>
      <w:pPr>
        <w:pStyle w:val="Heading2"/>
        <w:spacing w:after="160" w:before="300"/>
      </w:pPr>
      <w:r>
        <w:rPr>
          <w:rFonts w:ascii="Arial" w:cs="Arial" w:eastAsia="Arial" w:hAnsi="Arial"/>
          <w:b/>
          <w:bCs/>
          <w:color w:val="1F4E79"/>
          <w:sz w:val="26"/>
          <w:szCs w:val="26"/>
        </w:rPr>
        <w:t xml:space="preserve">9.3 Production Orders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60"/>
            </w:pPr>
            <w:r>
              <w:rPr>
                <w:rFonts w:ascii="Arial" w:cs="Arial" w:eastAsia="Arial" w:hAnsi="Arial"/>
                <w:b/>
                <w:bCs/>
                <w:color w:val="0D3B66"/>
                <w:sz w:val="20"/>
                <w:szCs w:val="20"/>
              </w:rPr>
              <w:t xml:space="preserve">🔄 PRODUCTION ORDER FLOW</w:t>
            </w:r>
          </w:p>
          <w:p>
            <w:r>
              <w:rPr>
                <w:rFonts w:ascii="Arial" w:cs="Arial" w:eastAsia="Arial" w:hAnsi="Arial"/>
                <w:sz w:val="19"/>
                <w:szCs w:val="19"/>
              </w:rPr>
              <w:t xml:space="preserve">Created  →  Estimated  →  Scheduled  →  Released  →  Started  →  Reported as Finished  →  Ended (Costed)</w:t>
            </w:r>
          </w:p>
        </w:tc>
      </w:tr>
    </w:tbl>
    <w:p>
      <w:pPr>
        <w:spacing w:after="100" w:before="100"/>
      </w:pP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Production Order = instruction to manufacture X quantity of a product. Consumes raw materials (BOM) through manufacturing steps (Route), producing finished goods.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Estimation: calculates expected material and resource consumption. Scheduling: reserves time on work centers. Release: makes available for shop floor. Start: begins actual production. Report as Finished: output produced. End: final costing calculated.</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ProdTable (header), ProdBOM (material consumption), ProdRoute (operation steps)</w:t>
      </w:r>
    </w:p>
    <w:p>
      <w:pPr>
        <w:spacing w:after="100" w:before="100"/>
      </w:pPr>
    </w:p>
    <w:p>
      <w:pPr>
        <w:pStyle w:val="Heading2"/>
        <w:spacing w:after="160" w:before="300"/>
      </w:pPr>
      <w:r>
        <w:rPr>
          <w:rFonts w:ascii="Arial" w:cs="Arial" w:eastAsia="Arial" w:hAnsi="Arial"/>
          <w:b/>
          <w:bCs/>
          <w:color w:val="1F4E79"/>
          <w:sz w:val="26"/>
          <w:szCs w:val="26"/>
        </w:rPr>
        <w:t xml:space="preserve">9.4 Master Planning (MRP)</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Master Planning (MRP) analyzes demand (SOs, forecasts) and supply (POs, production, inventory) to recommend actions: Create PO for material shortage, Create Production Order for finished good demand, Transfer inventory between warehouses.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Planned Orders = MRP suggestions. Can be firmed into actual POs or Production Orders.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ReqTrans (planned supply/demand), ReqPO, ReqItemTable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Manufacturing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BOM for a finished product: 2x Component A + 1x Component 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Route: Cut (10 min) → Assemble (20 min) → Inspect (5 min)</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Production Order for 50 units → Estimate → Schedule → Release → Start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Report as Finished: 50 units completed → check: finished goods added to inventory, raw materials consumed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End the production order → review actual cost vs estimated cost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Master Planning → review planned orders → firm a planned PO into an actual PO</w:t>
            </w:r>
          </w:p>
        </w:tc>
      </w:tr>
    </w:tbl>
    <w:p>
      <w:r>
        <w:br w:type="page"/>
      </w:r>
    </w:p>
    <w:p>
      <w:pPr>
        <w:pStyle w:val="Heading1"/>
        <w:spacing w:after="200" w:before="360"/>
      </w:pPr>
      <w:r>
        <w:rPr>
          <w:rFonts w:ascii="Arial" w:cs="Arial" w:eastAsia="Arial" w:hAnsi="Arial"/>
          <w:b/>
          <w:bCs/>
          <w:color w:val="0D3B66"/>
          <w:sz w:val="32"/>
          <w:szCs w:val="32"/>
        </w:rPr>
        <w:t xml:space="preserve">MODULE 10: ADDITIONAL FUNCTIONAL AREAS</w:t>
      </w:r>
    </w:p>
    <w:p>
      <w:pPr>
        <w:spacing w:after="100" w:before="100"/>
      </w:pPr>
    </w:p>
    <w:p>
      <w:pPr>
        <w:pStyle w:val="Heading2"/>
        <w:spacing w:after="160" w:before="300"/>
      </w:pPr>
      <w:r>
        <w:rPr>
          <w:rFonts w:ascii="Arial" w:cs="Arial" w:eastAsia="Arial" w:hAnsi="Arial"/>
          <w:b/>
          <w:bCs/>
          <w:color w:val="1F4E79"/>
          <w:sz w:val="26"/>
          <w:szCs w:val="26"/>
        </w:rPr>
        <w:t xml:space="preserve">10.1 Fixed Assets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Track long-term assets (buildings, equipment, vehicles): acquisition, depreciation, disposal. Each asset has a Book that records its value and depreciation over time.</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Depreciation methods: Straight Line, Declining Balance, Accelerated. Depreciation runs as a periodic batch process.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AssetTable, AssetBook, AssetTrans, AssetDepreciationProfile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Fixed Assets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fixed asset: "Company Vehicle" worth $30,000, 5-year straight-line depreciation</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acquisition journal → check GL: Debit Fixed Asset / Credit Bank</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depreciation proposal (1 month) → check GL: Debit Depreciation Expense / Credit Accumulated Depreciation</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disposal (sold for $25,000) → check GL: gain/loss calculated automatically</w:t>
            </w:r>
          </w:p>
        </w:tc>
      </w:tr>
    </w:tbl>
    <w:p>
      <w:pPr>
        <w:spacing w:after="100" w:before="100"/>
      </w:pPr>
    </w:p>
    <w:p>
      <w:pPr>
        <w:pStyle w:val="Heading2"/>
        <w:spacing w:after="160" w:before="300"/>
      </w:pPr>
      <w:r>
        <w:rPr>
          <w:rFonts w:ascii="Arial" w:cs="Arial" w:eastAsia="Arial" w:hAnsi="Arial"/>
          <w:b/>
          <w:bCs/>
          <w:color w:val="1F4E79"/>
          <w:sz w:val="26"/>
          <w:szCs w:val="26"/>
        </w:rPr>
        <w:t xml:space="preserve">10.2 Cash &amp; Bank Management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Bank Accounts: company bank accounts linked to GL main accounts. Bank Reconciliation: match bank statement transactions against D365 transactions to identify discrepancies.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Advanced Bank Reconciliation: import bank statements (BAI2 format), auto-matching rules, manual matching for exceptions.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BankAccountTable, BankAccountTrans, BankReconciliationHeader, BankReconciliationLine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Bank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Cash &amp; Bank &gt; Bank accounts → examine a bank account setup</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Post several payments → run bank reconciliation → match transactions to bank statement</w:t>
            </w:r>
          </w:p>
        </w:tc>
      </w:tr>
    </w:tbl>
    <w:p>
      <w:pPr>
        <w:spacing w:after="100" w:before="100"/>
      </w:pPr>
    </w:p>
    <w:p>
      <w:pPr>
        <w:pStyle w:val="Heading2"/>
        <w:spacing w:after="160" w:before="300"/>
      </w:pPr>
      <w:r>
        <w:rPr>
          <w:rFonts w:ascii="Arial" w:cs="Arial" w:eastAsia="Arial" w:hAnsi="Arial"/>
          <w:b/>
          <w:bCs/>
          <w:color w:val="1F4E79"/>
          <w:sz w:val="26"/>
          <w:szCs w:val="26"/>
        </w:rPr>
        <w:t xml:space="preserve">10.3 Budgeting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Budget models define budget scenarios (Original, Revised, Forecast). Budget Register Entries record budget amounts per GL account + dimensions + period.</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Budget Control: enforce spending limits in real-time. When a PO/expense exceeds budget, system blocks or warns. Budget check runs at PO confirmation, invoice posting, etc.</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BudgetModel, BudgetTransactionHeader, BudgetTransactionLine, BudgetControlConfiguration</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Budget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budget for Account 520100 (Travel) / Department=Sales: $10,000 per month</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Enable budget control for that account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PO for $8,000 travel expense → should pass budget check</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another PO for $5,000 → should warn or block (exceeds $10,000 budget)</w:t>
            </w:r>
          </w:p>
        </w:tc>
      </w:tr>
    </w:tbl>
    <w:p>
      <w:pPr>
        <w:spacing w:after="100" w:before="100"/>
      </w:pPr>
    </w:p>
    <w:p>
      <w:pPr>
        <w:pStyle w:val="Heading2"/>
        <w:spacing w:after="160" w:before="300"/>
      </w:pPr>
      <w:r>
        <w:rPr>
          <w:rFonts w:ascii="Arial" w:cs="Arial" w:eastAsia="Arial" w:hAnsi="Arial"/>
          <w:b/>
          <w:bCs/>
          <w:color w:val="1F4E79"/>
          <w:sz w:val="26"/>
          <w:szCs w:val="26"/>
        </w:rPr>
        <w:t xml:space="preserve">10.4 Project Management &amp; Accounting</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Track costs, revenue, and profitability per project. Project Types: Time &amp; Material (bill actual hours/expenses), Fixed Price (bill milestones), Internal (cost tracking only), Investment (capitalize to fixed asset).</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Project transactions: Hours (timesheets), Expenses, Items (material), Fees, On-account (billing milestones). WIP (Work in Progress) and Revenue Recognition for fixed-price projects.</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ProjTable, ProjGroup, ProjTransPosting, TSTimesheetTable, TSTimesheetLine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Project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Time &amp; Material project → enter a timesheet (8 hours) → enter an expense (travel $500)</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project invoice proposal → review → post → check: AR debited, Revenue credited</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Fixed Price project → define milestones → run WIP estimate → post WIP to GL</w:t>
            </w:r>
          </w:p>
        </w:tc>
      </w:tr>
    </w:tbl>
    <w:p>
      <w:pPr>
        <w:spacing w:after="100" w:before="100"/>
      </w:pPr>
    </w:p>
    <w:p>
      <w:pPr>
        <w:pStyle w:val="Heading2"/>
        <w:spacing w:after="160" w:before="300"/>
      </w:pPr>
      <w:r>
        <w:rPr>
          <w:rFonts w:ascii="Arial" w:cs="Arial" w:eastAsia="Arial" w:hAnsi="Arial"/>
          <w:b/>
          <w:bCs/>
          <w:color w:val="1F4E79"/>
          <w:sz w:val="26"/>
          <w:szCs w:val="26"/>
        </w:rPr>
        <w:t xml:space="preserve">10.5 Human Resources (HR Basics for Developers)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Workers/Employees are linked to the Global Address Book. HcmWorker is the key table. Each worker has positions, departments, compensation, and leave balances.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Worker → User mapping: HcmWorker links to UserInfo via the user’s employee relationship. This is how D365 knows which employee is logged in.</w:t>
      </w:r>
    </w:p>
    <w:p>
      <w:pPr>
        <w:spacing w:after="40" w:before="40"/>
        <w:ind w:left="240"/>
      </w:pPr>
      <w:r>
        <w:rPr>
          <w:rFonts w:ascii="Arial" w:cs="Arial" w:eastAsia="Arial" w:hAnsi="Arial"/>
          <w:b/>
          <w:bCs/>
          <w:color w:val="C65911"/>
          <w:sz w:val="18"/>
          <w:szCs w:val="18"/>
        </w:rPr>
        <w:t xml:space="preserve">KEY TABLES: </w:t>
      </w:r>
      <w:r>
        <w:rPr>
          <w:rFonts w:ascii="Consolas" w:cs="Consolas" w:eastAsia="Consolas" w:hAnsi="Consolas"/>
          <w:sz w:val="18"/>
          <w:szCs w:val="18"/>
        </w:rPr>
        <w:t xml:space="preserve">HcmWorker, HcmEmployment, HcmPosition, HcmPositionWorkerAssignment</w:t>
      </w:r>
    </w:p>
    <w:p>
      <w:pPr>
        <w:spacing w:after="40" w:before="40"/>
        <w:ind w:left="240"/>
      </w:pPr>
      <w:r>
        <w:rPr>
          <w:rFonts w:ascii="Arial" w:cs="Arial" w:eastAsia="Arial" w:hAnsi="Arial"/>
          <w:b/>
          <w:bCs/>
          <w:color w:val="4A148C"/>
          <w:sz w:val="18"/>
          <w:szCs w:val="18"/>
        </w:rPr>
        <w:t xml:space="preserve">DEVELOPER NOTE: </w:t>
      </w:r>
      <w:r>
        <w:rPr>
          <w:rFonts w:ascii="Arial" w:cs="Arial" w:eastAsia="Arial" w:hAnsi="Arial"/>
          <w:i/>
          <w:iCs/>
          <w:sz w:val="19"/>
          <w:szCs w:val="19"/>
        </w:rPr>
        <w:t xml:space="preserve">To find the current employee in X++: HcmWorker::find(HcmWorkerHelper::userId2Worker(curUserId())). This pattern is used everywhere to get the logged-in user’s employee record.</w:t>
      </w:r>
    </w:p>
    <w:p>
      <w:pPr>
        <w:spacing w:after="100" w:before="100"/>
      </w:pPr>
    </w:p>
    <w:p>
      <w:pPr>
        <w:pStyle w:val="Heading2"/>
        <w:spacing w:after="160" w:before="300"/>
      </w:pPr>
      <w:r>
        <w:rPr>
          <w:rFonts w:ascii="Arial" w:cs="Arial" w:eastAsia="Arial" w:hAnsi="Arial"/>
          <w:b/>
          <w:bCs/>
          <w:color w:val="1F4E79"/>
          <w:sz w:val="26"/>
          <w:szCs w:val="26"/>
        </w:rPr>
        <w:t xml:space="preserve">10.6 Data Management &amp; Integration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Data Management workspace: import/export data using Data Entities. Used for initial data migration, recurring integrations, and mass updates.</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Data Entity = abstraction over tables for integration. Import flow: Source file → Staging table → Validate → Target table(s). Supports: CSV, XML, Excel, JSON.</w:t>
      </w:r>
    </w:p>
    <w:p>
      <w:pPr>
        <w:spacing w:after="40" w:before="40"/>
        <w:ind w:left="240"/>
      </w:pPr>
      <w:r>
        <w:rPr>
          <w:rFonts w:ascii="Arial" w:cs="Arial" w:eastAsia="Arial" w:hAnsi="Arial"/>
          <w:color w:val="1F4E79"/>
          <w:sz w:val="18"/>
          <w:szCs w:val="18"/>
        </w:rPr>
        <w:t xml:space="preserve">▶ </w:t>
      </w:r>
      <w:r>
        <w:rPr>
          <w:rFonts w:ascii="Arial" w:cs="Arial" w:eastAsia="Arial" w:hAnsi="Arial"/>
          <w:sz w:val="20"/>
          <w:szCs w:val="20"/>
        </w:rPr>
        <w:t xml:space="preserve">Recurring integrations: scheduled automated import/export for ongoing data sync with external systems.</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
        <w:gridCol w:w="9360"/>
      </w:tblGrid>
      <w:tr>
        <w:tc>
          <w:tcPr>
            <w:tcW w:type="dxa" w:w="984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 LAB: Data Management Lab</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to Data Management workspace → Import a CSV of 100 vendors using the VendorV2 entity</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Review import errors → fix data issues in the staging table → re-run import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Export all customers to CSV → examine the output format</w:t>
            </w:r>
          </w:p>
        </w:tc>
      </w:tr>
      <w:tr>
        <w:tc>
          <w:tcPr>
            <w:tcW w:type="dxa" w:w="48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93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up a recurring export of daily sales orders</w:t>
            </w:r>
          </w:p>
        </w:tc>
      </w:tr>
    </w:tbl>
    <w:p>
      <w:r>
        <w:br w:type="page"/>
      </w:r>
    </w:p>
    <w:p>
      <w:pPr>
        <w:pStyle w:val="Heading1"/>
        <w:spacing w:after="200" w:before="360"/>
      </w:pPr>
      <w:r>
        <w:rPr>
          <w:rFonts w:ascii="Arial" w:cs="Arial" w:eastAsia="Arial" w:hAnsi="Arial"/>
          <w:b/>
          <w:bCs/>
          <w:color w:val="0D3B66"/>
          <w:sz w:val="32"/>
          <w:szCs w:val="32"/>
        </w:rPr>
        <w:t xml:space="preserve">QUICK REFERENCE: KEY TABLES BY MODULE</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640"/>
        <w:gridCol w:w="3600"/>
      </w:tblGrid>
      <w:tr>
        <w:tc>
          <w:tcPr>
            <w:tcW w:type="dxa" w:w="16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Module</w:t>
            </w:r>
          </w:p>
        </w:tc>
        <w:tc>
          <w:tcPr>
            <w:tcW w:type="dxa" w:w="464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Key Tables</w:t>
            </w:r>
          </w:p>
        </w:tc>
        <w:tc>
          <w:tcPr>
            <w:tcW w:type="dxa" w:w="36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What They Store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General Ledger</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MainAccount, LedgerJournalTable, LedgerJournalTrans, GeneralJournalEntry, GeneralJournalAccountEntry</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GL accounts, journal headers/lines, posted GL entries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Financial Dimensions</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DimensionAttribute, DimensionAttributeValue, DimensionAttributeValueCombination, DimensionDefault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Dimension definitions, values, combinations, defaults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Accounts Payable</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VendTable, VendGroup, PurchTable, PurchLine, VendInvoiceJour, VendInvoiceTrans, VendTrans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Vendors, POs, posted invoices, vendor balances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Accounts Receivable</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CustTable, CustGroup, SalesTable, SalesLine, CustInvoiceJour, CustInvoiceTrans, CustTrans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Customers, SOs, posted invoices, customer balances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Inventory</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InventTable, InventDim, InventTrans, InventSum, InventJournalTable, InventJournalTrans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Items, dimensions, movements, on-hand, journals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Product</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EcoResProduct, EcoResProductMaster, EcoResProductVariant, InventItemGroup, InventModelGroup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Products, masters, variants, item groups, costing methods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Procurement</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PurchReqTable, PurchReqLine, AgreementHeader, PurchRFQTable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Requisitions, agreements, RFQs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Warehouse</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WHSWorkTable, WHSWorkLine, WHSWaveTable, WMSLocation, WHSLocDirTable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Work orders, waves, locations, directives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Manufacturing</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ProdTable, ProdBOM, ProdRoute, BOMTable, BOM, RouteTable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Production orders, BOMs, routes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Tax</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TaxTable, TaxGroupHeading, TaxItemGroupHeading, TaxTrans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Tax codes, groups, posted tax transactions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Fixed Assets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AssetTable, AssetBook, AssetTrans, AssetDepreciationProfile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Assets, books, transactions, depreciation</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Project</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ProjTable, ProjGroup, TSTimesheetTable, TSTimesheetLine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Projects, groups, timesheets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000000"/>
                <w:sz w:val="15"/>
                <w:szCs w:val="15"/>
              </w:rPr>
              <w:t xml:space="preserve">HR</w:t>
            </w:r>
          </w:p>
        </w:tc>
        <w:tc>
          <w:tcPr>
            <w:tcW w:type="dxa" w:w="4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HcmWorker, HcmEmployment, HcmPosition, DirPartyTable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5"/>
                <w:szCs w:val="15"/>
              </w:rPr>
              <w:t xml:space="preserve">Workers, employment, positions, parties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000000"/>
                <w:sz w:val="15"/>
                <w:szCs w:val="15"/>
              </w:rPr>
              <w:t xml:space="preserve">Common/System</w:t>
            </w:r>
          </w:p>
        </w:tc>
        <w:tc>
          <w:tcPr>
            <w:tcW w:type="dxa" w:w="4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5"/>
                <w:szCs w:val="15"/>
              </w:rPr>
              <w:t xml:space="preserve">UserInfo, CompanyInfo, DataArea, NumberSequenceTable, BatchJob, BatchHeader</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5"/>
                <w:szCs w:val="15"/>
              </w:rPr>
              <w:t xml:space="preserve">Users, companies, number sequences, batch jobs</w:t>
            </w:r>
          </w:p>
        </w:tc>
      </w:tr>
    </w:tbl>
    <w:p>
      <w:r>
        <w:br w:type="page"/>
      </w:r>
    </w:p>
    <w:p>
      <w:pPr>
        <w:pStyle w:val="Heading1"/>
        <w:spacing w:after="200" w:before="360"/>
      </w:pPr>
      <w:r>
        <w:rPr>
          <w:rFonts w:ascii="Arial" w:cs="Arial" w:eastAsia="Arial" w:hAnsi="Arial"/>
          <w:b/>
          <w:bCs/>
          <w:color w:val="0D3B66"/>
          <w:sz w:val="32"/>
          <w:szCs w:val="32"/>
        </w:rPr>
        <w:t xml:space="preserve">PROGRESS TRACKER</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5540"/>
        <w:gridCol w:w="1200"/>
        <w:gridCol w:w="1200"/>
      </w:tblGrid>
      <w:tr>
        <w:tc>
          <w:tcPr>
            <w:tcW w:type="dxa" w:w="9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554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1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c>
          <w:tcPr>
            <w:tcW w:type="dxa" w:w="1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Confidence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55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Organization &amp; System Foundation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55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General Ledger &amp; Financial Foundation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55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Accounts Payable (Procure to Pay)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55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Accounts Receivable (Order to Cash)</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55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Inventory &amp; Product Management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55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Tax &amp; Compliance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55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Procurement &amp; Sourcing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55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Warehouse Management</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55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Manufacturing &amp; Production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55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Additional Areas (FA, Budget, Project, HR, Data Mgmt)</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bl>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BBBBBB" w:sz="1"/>
              <w:left w:val="single" w:color="BBBBBB" w:sz="1"/>
              <w:bottom w:val="single" w:color="BBBBBB" w:sz="1"/>
              <w:right w:val="single" w:color="BBBBBB" w:sz="1"/>
            </w:tcBorders>
            <w:shd w:fill="FFF3E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HOW TO USE THIS DOCUMENT</w:t>
            </w:r>
          </w:p>
          <w:p>
            <w:r>
              <w:rPr>
                <w:rFonts w:ascii="Arial" w:cs="Arial" w:eastAsia="Arial" w:hAnsi="Arial"/>
                <w:sz w:val="20"/>
                <w:szCs w:val="20"/>
              </w:rPr>
              <w:t xml:space="preserve">Work through each module in order. For each topic: (1) Read the concepts. (2) Examine the key tables in Application Explorer. (3) Complete the lab exercises in a D365 environment. (4) Write X++ queries against the tables you learned about. The goal is that when someone says "extend the PO posting logic" or "add a field to the vendor invoice form," you immediately know: which tables are involved, what the data flow looks like, and where your code should go.</w:t>
            </w:r>
          </w:p>
        </w:tc>
      </w:tr>
    </w:tbl>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D365 F&amp;O — Functional Domain Knowledge for Developers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3B6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2026-04-12T21:57:47.458Z</dcterms:created>
  <dcterms:modified xsi:type="dcterms:W3CDTF">2026-04-12T21:57:47.459Z</dcterms:modified>
</cp:coreProperties>
</file>

<file path=docProps/custom.xml><?xml version="1.0" encoding="utf-8"?>
<Properties xmlns="http://schemas.openxmlformats.org/officeDocument/2006/custom-properties" xmlns:vt="http://schemas.openxmlformats.org/officeDocument/2006/docPropsVTypes"/>
</file>