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3A5C"/>
          <w:sz w:val="72"/>
          <w:szCs w:val="72"/>
        </w:rPr>
        <w:t xml:space="preserve">GLOBAL DATASET CATALOG</w:t>
      </w:r>
    </w:p>
    <w:p>
      <w:pPr>
        <w:spacing w:after="100"/>
        <w:jc w:val="center"/>
      </w:pPr>
      <w:r>
        <w:rPr>
          <w:rFonts w:ascii="Calibri" w:cs="Calibri" w:eastAsia="Calibri" w:hAnsi="Calibri"/>
          <w:color w:val="2E86AB"/>
          <w:sz w:val="36"/>
          <w:szCs w:val="36"/>
        </w:rPr>
        <w:t xml:space="preserve">Federated Quantum Machine Learning for</w:t>
      </w:r>
    </w:p>
    <w:p>
      <w:pPr>
        <w:spacing w:after="100"/>
        <w:jc w:val="center"/>
      </w:pPr>
      <w:r>
        <w:rPr>
          <w:rFonts w:ascii="Calibri" w:cs="Calibri" w:eastAsia="Calibri" w:hAnsi="Calibri"/>
          <w:color w:val="2E86AB"/>
          <w:sz w:val="36"/>
          <w:szCs w:val="36"/>
        </w:rPr>
        <w:t xml:space="preserve">Multi-Site Schizophrenia Classification from fMRI Connectomes</w:t>
      </w:r>
    </w:p>
    <w:p>
      <w:pPr>
        <w:spacing w:after="100" w:before="400"/>
        <w:jc w:val="center"/>
      </w:pPr>
      <w:r>
        <w:rPr>
          <w:rFonts w:ascii="Calibri" w:cs="Calibri" w:eastAsia="Calibri" w:hAnsi="Calibri"/>
          <w:color w:val="666666"/>
          <w:sz w:val="28"/>
          <w:szCs w:val="28"/>
        </w:rPr>
        <w:t xml:space="preserve">Subproject 6</w:t>
      </w:r>
    </w:p>
    <w:p>
      <w:pPr>
        <w:spacing w:after="100"/>
        <w:jc w:val="center"/>
      </w:pPr>
      <w:r>
        <w:rPr>
          <w:rFonts w:ascii="Calibri" w:cs="Calibri" w:eastAsia="Calibri" w:hAnsi="Calibri"/>
          <w:color w:val="666666"/>
          <w:sz w:val="24"/>
          <w:szCs w:val="24"/>
        </w:rPr>
        <w:t xml:space="preserve">Vellore Institute of Technology Chennai | June 2026</w:t>
      </w:r>
    </w:p>
    <w:p>
      <w:pPr>
        <w:spacing w:after="100" w:before="600"/>
        <w:jc w:val="center"/>
      </w:pPr>
      <w:r>
        <w:rPr>
          <w:rFonts w:ascii="Calibri" w:cs="Calibri" w:eastAsia="Calibri" w:hAnsi="Calibri"/>
          <w:i/>
          <w:iCs/>
          <w:color w:val="666666"/>
          <w:sz w:val="22"/>
          <w:szCs w:val="22"/>
        </w:rPr>
        <w:t xml:space="preserve">Comprehensive inventory of schizophrenia rs-fMRI datasets across 50+ countries</w:t>
      </w:r>
    </w:p>
    <w:p>
      <w:r>
        <w:br w:type="page"/>
      </w:r>
    </w:p>
    <w:p>
      <w:pPr>
        <w:pStyle w:val="Heading1"/>
        <w:spacing w:after="200" w:before="400"/>
      </w:pPr>
      <w:bookmarkStart w:id="100000" w:name="_Toc100000"/>
      <w:r>
        <w:rPr>
          <w:rFonts w:ascii="Calibri" w:cs="Calibri" w:eastAsia="Calibri" w:hAnsi="Calibri"/>
          <w:b/>
          <w:bCs/>
          <w:color w:val="1B3A5C"/>
          <w:sz w:val="48"/>
          <w:szCs w:val="48"/>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North America (USA &amp; Canada)</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Tier 1: Open Access (No Data Use Agreement Required)</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2.2 Tier 2: Restricted Access (NDA / Data Use Agreement)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Tier 3: University/Institutional (Variable Access)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Europe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Open / Publicly Accessible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3.2 Consortium / Restricted Access</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3.3 Institutional (Collaboration Required)</w:t>
            </w:r>
            <w:r>
              <w:tab/>
            </w:r>
            <w:r>
              <w:fldChar w:fldCharType="begin"/>
            </w:r>
            <w:r>
              <w:instrText xml:space="preserve"> PAGEREF _Toc100009 \h </w:instrText>
            </w:r>
            <w:r>
              <w:fldChar w:fldCharType="separate"/>
            </w:r>
            <w:r>
              <w:t>3</w:t>
            </w:r>
            <w:r>
              <w:fldChar w:fldCharType="end"/>
            </w:r>
          </w:hyperlink>
        </w:p>
        <w:p>
          <w:pPr>
            <w:pStyle w:val="9"/>
            <w:tabs>
              <w:tab w:val="right" w:leader="dot" w:pos="9026"/>
            </w:tabs>
            <w:spacing w:before="120" w:after="60"/>
          </w:pPr>
          <w:hyperlink w:anchor="_Toc100010" w:history="1">
            <w:r>
              <w:rPr>
                <w:rStyle w:val="Hyperlink"/>
              </w:rPr>
              <w:t>4. Asia (Japan, China, Korea, India, Taiwan, Singapore, Hong Kong)</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4.1 Japan</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4.2 China</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4.3 South Korea</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4.4 India</w:t>
            </w:r>
            <w:r>
              <w:tab/>
            </w:r>
            <w:r>
              <w:fldChar w:fldCharType="begin"/>
            </w:r>
            <w:r>
              <w:instrText xml:space="preserve"> PAGEREF _Toc100014 \h </w:instrText>
            </w:r>
            <w:r>
              <w:fldChar w:fldCharType="separate"/>
            </w:r>
            <w:r>
              <w:t>4</w:t>
            </w:r>
            <w:r>
              <w:fldChar w:fldCharType="end"/>
            </w:r>
          </w:hyperlink>
        </w:p>
        <w:p>
          <w:pPr>
            <w:pStyle w:val="11"/>
            <w:ind w:left="360"/>
            <w:tabs>
              <w:tab w:val="right" w:leader="dot" w:pos="9026"/>
            </w:tabs>
            <w:spacing w:before="120" w:after="60"/>
          </w:pPr>
          <w:hyperlink w:anchor="_Toc100015" w:history="1">
            <w:r>
              <w:rPr>
                <w:rStyle w:val="Hyperlink"/>
              </w:rPr>
              <w:t>4.5 Taiwan, Singapore, Hong Kong</w:t>
            </w:r>
            <w:r>
              <w:tab/>
            </w:r>
            <w:r>
              <w:fldChar w:fldCharType="begin"/>
            </w:r>
            <w:r>
              <w:instrText xml:space="preserve"> PAGEREF _Toc100015 \h </w:instrText>
            </w:r>
            <w:r>
              <w:fldChar w:fldCharType="separate"/>
            </w:r>
            <w:r>
              <w:t>4</w:t>
            </w:r>
            <w:r>
              <w:fldChar w:fldCharType="end"/>
            </w:r>
          </w:hyperlink>
        </w:p>
        <w:p>
          <w:pPr>
            <w:pStyle w:val="9"/>
            <w:tabs>
              <w:tab w:val="right" w:leader="dot" w:pos="9026"/>
            </w:tabs>
            <w:spacing w:before="120" w:after="60"/>
          </w:pPr>
          <w:hyperlink w:anchor="_Toc100016" w:history="1">
            <w:r>
              <w:rPr>
                <w:rStyle w:val="Hyperlink"/>
              </w:rPr>
              <w:t>5. Oceania (Australia &amp; New Zealand)</w:t>
            </w:r>
            <w:r>
              <w:tab/>
            </w:r>
            <w:r>
              <w:fldChar w:fldCharType="begin"/>
            </w:r>
            <w:r>
              <w:instrText xml:space="preserve"> PAGEREF _Toc100016 \h </w:instrText>
            </w:r>
            <w:r>
              <w:fldChar w:fldCharType="separate"/>
            </w:r>
            <w:r>
              <w:t>5</w:t>
            </w:r>
            <w:r>
              <w:fldChar w:fldCharType="end"/>
            </w:r>
          </w:hyperlink>
        </w:p>
        <w:p>
          <w:pPr>
            <w:pStyle w:val="9"/>
            <w:tabs>
              <w:tab w:val="right" w:leader="dot" w:pos="9026"/>
            </w:tabs>
            <w:spacing w:before="120" w:after="60"/>
          </w:pPr>
          <w:hyperlink w:anchor="_Toc100017" w:history="1">
            <w:r>
              <w:rPr>
                <w:rStyle w:val="Hyperlink"/>
              </w:rPr>
              <w:t>6. Middle East (Iran, Israel, Turkey, Saudi Arabia, UAE)</w:t>
            </w:r>
            <w:r>
              <w:tab/>
            </w:r>
            <w:r>
              <w:fldChar w:fldCharType="begin"/>
            </w:r>
            <w:r>
              <w:instrText xml:space="preserve"> PAGEREF _Toc100017 \h </w:instrText>
            </w:r>
            <w:r>
              <w:fldChar w:fldCharType="separate"/>
            </w:r>
            <w:r>
              <w:t>5</w:t>
            </w:r>
            <w:r>
              <w:fldChar w:fldCharType="end"/>
            </w:r>
          </w:hyperlink>
        </w:p>
        <w:p>
          <w:pPr>
            <w:pStyle w:val="9"/>
            <w:tabs>
              <w:tab w:val="right" w:leader="dot" w:pos="9026"/>
            </w:tabs>
            <w:spacing w:before="120" w:after="60"/>
          </w:pPr>
          <w:hyperlink w:anchor="_Toc100018" w:history="1">
            <w:r>
              <w:rPr>
                <w:rStyle w:val="Hyperlink"/>
              </w:rPr>
              <w:t>7. South America (Brazil, Chile, Argentina, Colombia)</w:t>
            </w:r>
            <w:r>
              <w:tab/>
            </w:r>
            <w:r>
              <w:fldChar w:fldCharType="begin"/>
            </w:r>
            <w:r>
              <w:instrText xml:space="preserve"> PAGEREF _Toc100018 \h </w:instrText>
            </w:r>
            <w:r>
              <w:fldChar w:fldCharType="separate"/>
            </w:r>
            <w:r>
              <w:t>5</w:t>
            </w:r>
            <w:r>
              <w:fldChar w:fldCharType="end"/>
            </w:r>
          </w:hyperlink>
        </w:p>
        <w:p>
          <w:pPr>
            <w:pStyle w:val="9"/>
            <w:tabs>
              <w:tab w:val="right" w:leader="dot" w:pos="9026"/>
            </w:tabs>
            <w:spacing w:before="120" w:after="60"/>
          </w:pPr>
          <w:hyperlink w:anchor="_Toc100019" w:history="1">
            <w:r>
              <w:rPr>
                <w:rStyle w:val="Hyperlink"/>
              </w:rPr>
              <w:t>8. Africa (South Africa, Egypt, Nigeria, Kenya)</w:t>
            </w:r>
            <w:r>
              <w:tab/>
            </w:r>
            <w:r>
              <w:fldChar w:fldCharType="begin"/>
            </w:r>
            <w:r>
              <w:instrText xml:space="preserve"> PAGEREF _Toc100019 \h </w:instrText>
            </w:r>
            <w:r>
              <w:fldChar w:fldCharType="separate"/>
            </w:r>
            <w:r>
              <w:t>5</w:t>
            </w:r>
            <w:r>
              <w:fldChar w:fldCharType="end"/>
            </w:r>
          </w:hyperlink>
        </w:p>
        <w:p>
          <w:pPr>
            <w:pStyle w:val="9"/>
            <w:tabs>
              <w:tab w:val="right" w:leader="dot" w:pos="9026"/>
            </w:tabs>
            <w:spacing w:before="120" w:after="60"/>
          </w:pPr>
          <w:hyperlink w:anchor="_Toc100020" w:history="1">
            <w:r>
              <w:rPr>
                <w:rStyle w:val="Hyperlink"/>
              </w:rPr>
              <w:t>9. Cross-Disorder &amp; Longitudinal Datasets</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9.1 Cross-Disorder Datasets (SZ + BD + MDD + HC)</w:t>
            </w:r>
            <w:r>
              <w:tab/>
            </w:r>
            <w:r>
              <w:fldChar w:fldCharType="begin"/>
            </w:r>
            <w:r>
              <w:instrText xml:space="preserve"> PAGEREF _Toc100021 \h </w:instrText>
            </w:r>
            <w:r>
              <w:fldChar w:fldCharType="separate"/>
            </w:r>
            <w:r>
              <w:t>6</w:t>
            </w:r>
            <w:r>
              <w:fldChar w:fldCharType="end"/>
            </w:r>
          </w:hyperlink>
        </w:p>
        <w:p>
          <w:pPr>
            <w:pStyle w:val="11"/>
            <w:ind w:left="360"/>
            <w:tabs>
              <w:tab w:val="right" w:leader="dot" w:pos="9026"/>
            </w:tabs>
            <w:spacing w:before="120" w:after="60"/>
          </w:pPr>
          <w:hyperlink w:anchor="_Toc100022" w:history="1">
            <w:r>
              <w:rPr>
                <w:rStyle w:val="Hyperlink"/>
              </w:rPr>
              <w:t>9.2 Longitudinal Datasets</w:t>
            </w:r>
            <w:r>
              <w:tab/>
            </w:r>
            <w:r>
              <w:fldChar w:fldCharType="begin"/>
            </w:r>
            <w:r>
              <w:instrText xml:space="preserve"> PAGEREF _Toc100022 \h </w:instrText>
            </w:r>
            <w:r>
              <w:fldChar w:fldCharType="separate"/>
            </w:r>
            <w:r>
              <w:t>6</w:t>
            </w:r>
            <w:r>
              <w:fldChar w:fldCharType="end"/>
            </w:r>
          </w:hyperlink>
        </w:p>
        <w:p>
          <w:pPr>
            <w:pStyle w:val="9"/>
            <w:tabs>
              <w:tab w:val="right" w:leader="dot" w:pos="9026"/>
            </w:tabs>
            <w:spacing w:before="120" w:after="60"/>
          </w:pPr>
          <w:hyperlink w:anchor="_Toc100023" w:history="1">
            <w:r>
              <w:rPr>
                <w:rStyle w:val="Hyperlink"/>
              </w:rPr>
              <w:t>10. Federated Learning Platforms &amp; Data Infrastructure</w:t>
            </w:r>
            <w:r>
              <w:tab/>
            </w:r>
            <w:r>
              <w:fldChar w:fldCharType="begin"/>
            </w:r>
            <w:r>
              <w:instrText xml:space="preserve"> PAGEREF _Toc100023 \h </w:instrText>
            </w:r>
            <w:r>
              <w:fldChar w:fldCharType="separate"/>
            </w:r>
            <w:r>
              <w:t>6</w:t>
            </w:r>
            <w:r>
              <w:fldChar w:fldCharType="end"/>
            </w:r>
          </w:hyperlink>
        </w:p>
        <w:p>
          <w:pPr>
            <w:pStyle w:val="11"/>
            <w:ind w:left="360"/>
            <w:tabs>
              <w:tab w:val="right" w:leader="dot" w:pos="9026"/>
            </w:tabs>
            <w:spacing w:before="120" w:after="60"/>
          </w:pPr>
          <w:hyperlink w:anchor="_Toc100024" w:history="1">
            <w:r>
              <w:rPr>
                <w:rStyle w:val="Hyperlink"/>
              </w:rPr>
              <w:t>10.1 Data Aggregation Platforms</w:t>
            </w:r>
            <w:r>
              <w:tab/>
            </w:r>
            <w:r>
              <w:fldChar w:fldCharType="begin"/>
            </w:r>
            <w:r>
              <w:instrText xml:space="preserve"> PAGEREF _Toc100024 \h </w:instrText>
            </w:r>
            <w:r>
              <w:fldChar w:fldCharType="separate"/>
            </w:r>
            <w:r>
              <w:t>6</w:t>
            </w:r>
            <w:r>
              <w:fldChar w:fldCharType="end"/>
            </w:r>
          </w:hyperlink>
        </w:p>
        <w:p>
          <w:pPr>
            <w:pStyle w:val="11"/>
            <w:ind w:left="360"/>
            <w:tabs>
              <w:tab w:val="right" w:leader="dot" w:pos="9026"/>
            </w:tabs>
            <w:spacing w:before="120" w:after="60"/>
          </w:pPr>
          <w:hyperlink w:anchor="_Toc100025" w:history="1">
            <w:r>
              <w:rPr>
                <w:rStyle w:val="Hyperlink"/>
              </w:rPr>
              <w:t>10.2 Federated Learning Frameworks</w:t>
            </w:r>
            <w:r>
              <w:tab/>
            </w:r>
            <w:r>
              <w:fldChar w:fldCharType="begin"/>
            </w:r>
            <w:r>
              <w:instrText xml:space="preserve"> PAGEREF _Toc100025 \h </w:instrText>
            </w:r>
            <w:r>
              <w:fldChar w:fldCharType="separate"/>
            </w:r>
            <w:r>
              <w:t>6</w:t>
            </w:r>
            <w:r>
              <w:fldChar w:fldCharType="end"/>
            </w:r>
          </w:hyperlink>
        </w:p>
        <w:p>
          <w:pPr>
            <w:pStyle w:val="11"/>
            <w:ind w:left="360"/>
            <w:tabs>
              <w:tab w:val="right" w:leader="dot" w:pos="9026"/>
            </w:tabs>
            <w:spacing w:before="120" w:after="60"/>
          </w:pPr>
          <w:hyperlink w:anchor="_Toc100026" w:history="1">
            <w:r>
              <w:rPr>
                <w:rStyle w:val="Hyperlink"/>
              </w:rPr>
              <w:t>10.3 Foundation Model Pre-Training Data (KD Teacher)</w:t>
            </w:r>
            <w:r>
              <w:tab/>
            </w:r>
            <w:r>
              <w:fldChar w:fldCharType="begin"/>
            </w:r>
            <w:r>
              <w:instrText xml:space="preserve"> PAGEREF _Toc100026 \h </w:instrText>
            </w:r>
            <w:r>
              <w:fldChar w:fldCharType="separate"/>
            </w:r>
            <w:r>
              <w:t>7</w:t>
            </w:r>
            <w:r>
              <w:fldChar w:fldCharType="end"/>
            </w:r>
          </w:hyperlink>
        </w:p>
        <w:p>
          <w:pPr>
            <w:pStyle w:val="9"/>
            <w:tabs>
              <w:tab w:val="right" w:leader="dot" w:pos="9026"/>
            </w:tabs>
            <w:spacing w:before="120" w:after="60"/>
          </w:pPr>
          <w:hyperlink w:anchor="_Toc100027" w:history="1">
            <w:r>
              <w:rPr>
                <w:rStyle w:val="Hyperlink"/>
              </w:rPr>
              <w:t>11. Harmonization &amp; Traveling Subject Datasets</w:t>
            </w:r>
            <w:r>
              <w:tab/>
            </w:r>
            <w:r>
              <w:fldChar w:fldCharType="begin"/>
            </w:r>
            <w:r>
              <w:instrText xml:space="preserve"> PAGEREF _Toc100027 \h </w:instrText>
            </w:r>
            <w:r>
              <w:fldChar w:fldCharType="separate"/>
            </w:r>
            <w:r>
              <w:t>7</w:t>
            </w:r>
            <w:r>
              <w:fldChar w:fldCharType="end"/>
            </w:r>
          </w:hyperlink>
        </w:p>
        <w:p>
          <w:pPr>
            <w:pStyle w:val="9"/>
            <w:tabs>
              <w:tab w:val="right" w:leader="dot" w:pos="9026"/>
            </w:tabs>
            <w:spacing w:before="120" w:after="60"/>
          </w:pPr>
          <w:hyperlink w:anchor="_Toc100028" w:history="1">
            <w:r>
              <w:rPr>
                <w:rStyle w:val="Hyperlink"/>
              </w:rPr>
              <w:t>12. Recommended Federated Site Architecture for RQFM-PQFL</w:t>
            </w:r>
            <w:r>
              <w:tab/>
            </w:r>
            <w:r>
              <w:fldChar w:fldCharType="begin"/>
            </w:r>
            <w:r>
              <w:instrText xml:space="preserve"> PAGEREF _Toc100028 \h </w:instrText>
            </w:r>
            <w:r>
              <w:fldChar w:fldCharType="separate"/>
            </w:r>
            <w:r>
              <w:t>7</w:t>
            </w:r>
            <w:r>
              <w:fldChar w:fldCharType="end"/>
            </w:r>
          </w:hyperlink>
        </w:p>
        <w:p>
          <w:pPr>
            <w:pStyle w:val="11"/>
            <w:ind w:left="360"/>
            <w:tabs>
              <w:tab w:val="right" w:leader="dot" w:pos="9026"/>
            </w:tabs>
            <w:spacing w:before="120" w:after="60"/>
          </w:pPr>
          <w:hyperlink w:anchor="_Toc100029" w:history="1">
            <w:r>
              <w:rPr>
                <w:rStyle w:val="Hyperlink"/>
              </w:rPr>
              <w:t>12.1 Primary Training Federation (5 Sites)</w:t>
            </w:r>
            <w:r>
              <w:tab/>
            </w:r>
            <w:r>
              <w:fldChar w:fldCharType="begin"/>
            </w:r>
            <w:r>
              <w:instrText xml:space="preserve"> PAGEREF _Toc100029 \h </w:instrText>
            </w:r>
            <w:r>
              <w:fldChar w:fldCharType="separate"/>
            </w:r>
            <w:r>
              <w:t>7</w:t>
            </w:r>
            <w:r>
              <w:fldChar w:fldCharType="end"/>
            </w:r>
          </w:hyperlink>
        </w:p>
        <w:p>
          <w:pPr>
            <w:pStyle w:val="11"/>
            <w:ind w:left="360"/>
            <w:tabs>
              <w:tab w:val="right" w:leader="dot" w:pos="9026"/>
            </w:tabs>
            <w:spacing w:before="120" w:after="60"/>
          </w:pPr>
          <w:hyperlink w:anchor="_Toc100030" w:history="1">
            <w:r>
              <w:rPr>
                <w:rStyle w:val="Hyperlink"/>
              </w:rPr>
              <w:t>12.2 External Validation (Held-Out)</w:t>
            </w:r>
            <w:r>
              <w:tab/>
            </w:r>
            <w:r>
              <w:fldChar w:fldCharType="begin"/>
            </w:r>
            <w:r>
              <w:instrText xml:space="preserve"> PAGEREF _Toc100030 \h </w:instrText>
            </w:r>
            <w:r>
              <w:fldChar w:fldCharType="separate"/>
            </w:r>
            <w:r>
              <w:t>7</w:t>
            </w:r>
            <w:r>
              <w:fldChar w:fldCharType="end"/>
            </w:r>
          </w:hyperlink>
        </w:p>
        <w:p>
          <w:pPr>
            <w:pStyle w:val="11"/>
            <w:ind w:left="360"/>
            <w:tabs>
              <w:tab w:val="right" w:leader="dot" w:pos="9026"/>
            </w:tabs>
            <w:spacing w:before="120" w:after="60"/>
          </w:pPr>
          <w:hyperlink w:anchor="_Toc100031" w:history="1">
            <w:r>
              <w:rPr>
                <w:rStyle w:val="Hyperlink"/>
              </w:rPr>
              <w:t>12.3 Longitudinal Stability Test</w:t>
            </w:r>
            <w:r>
              <w:tab/>
            </w:r>
            <w:r>
              <w:fldChar w:fldCharType="begin"/>
            </w:r>
            <w:r>
              <w:instrText xml:space="preserve"> PAGEREF _Toc100031 \h </w:instrText>
            </w:r>
            <w:r>
              <w:fldChar w:fldCharType="separate"/>
            </w:r>
            <w:r>
              <w:t>8</w:t>
            </w:r>
            <w:r>
              <w:fldChar w:fldCharType="end"/>
            </w:r>
          </w:hyperlink>
        </w:p>
        <w:p>
          <w:pPr>
            <w:pStyle w:val="11"/>
            <w:ind w:left="360"/>
            <w:tabs>
              <w:tab w:val="right" w:leader="dot" w:pos="9026"/>
            </w:tabs>
            <w:spacing w:before="120" w:after="60"/>
          </w:pPr>
          <w:hyperlink w:anchor="_Toc100032" w:history="1">
            <w:r>
              <w:rPr>
                <w:rStyle w:val="Hyperlink"/>
              </w:rPr>
              <w:t>12.4 Novelty Summary</w:t>
            </w:r>
            <w:r>
              <w:tab/>
            </w:r>
            <w:r>
              <w:fldChar w:fldCharType="begin"/>
            </w:r>
            <w:r>
              <w:instrText xml:space="preserve"> PAGEREF _Toc100032 \h </w:instrText>
            </w:r>
            <w:r>
              <w:fldChar w:fldCharType="separate"/>
            </w:r>
            <w:r>
              <w:t>8</w:t>
            </w:r>
            <w:r>
              <w:fldChar w:fldCharType="end"/>
            </w:r>
          </w:hyperlink>
        </w:p>
        <w:p>
          <w:pPr>
            <w:pStyle w:val="9"/>
            <w:tabs>
              <w:tab w:val="right" w:leader="dot" w:pos="9026"/>
            </w:tabs>
            <w:spacing w:before="120" w:after="60"/>
          </w:pPr>
          <w:hyperlink w:anchor="_Toc100033" w:history="1">
            <w:r>
              <w:rPr>
                <w:rStyle w:val="Hyperlink"/>
              </w:rPr>
              <w:t>13. Dataset Access Priority &amp; Timeline</w:t>
            </w:r>
            <w:r>
              <w:tab/>
            </w:r>
            <w:r>
              <w:fldChar w:fldCharType="begin"/>
            </w:r>
            <w:r>
              <w:instrText xml:space="preserve"> PAGEREF _Toc100033 \h </w:instrText>
            </w:r>
            <w:r>
              <w:fldChar w:fldCharType="separate"/>
            </w:r>
            <w:r>
              <w:t>8</w:t>
            </w:r>
            <w:r>
              <w:fldChar w:fldCharType="end"/>
            </w:r>
          </w:hyperlink>
        </w:p>
        <w:p>
          <w:r>
            <w:fldChar w:fldCharType="end"/>
          </w:r>
        </w:p>
      </w:sdtContent>
    </w:sdt>
    <w:p>
      <w:r>
        <w:br w:type="page"/>
      </w:r>
    </w:p>
    <w:p>
      <w:pPr>
        <w:pStyle w:val="Heading1"/>
        <w:spacing w:after="200" w:before="400"/>
      </w:pPr>
      <w:bookmarkStart w:id="100001" w:name="_Toc100001"/>
      <w:r>
        <w:rPr>
          <w:rFonts w:ascii="Calibri" w:cs="Calibri" w:eastAsia="Calibri" w:hAnsi="Calibri"/>
          <w:b/>
          <w:bCs/>
          <w:color w:val="1B3A5C"/>
          <w:sz w:val="48"/>
          <w:szCs w:val="48"/>
        </w:rPr>
        <w:t xml:space="preserve">1. Executive Summary</w:t>
      </w:r>
      <w:bookmarkEnd w:id="100001"/>
    </w:p>
    <w:p>
      <w:pPr>
        <w:spacing w:after="120" w:line="312"/>
        <w:jc w:val="both"/>
      </w:pPr>
      <w:r>
        <w:rPr>
          <w:rFonts w:ascii="Calibri" w:cs="Calibri" w:eastAsia="Calibri" w:hAnsi="Calibri"/>
          <w:sz w:val="22"/>
          <w:szCs w:val="22"/>
        </w:rPr>
        <w:t xml:space="preserve">This document provides a comprehensive global catalog of schizophrenia (SZ) resting-state functional MRI (rs-fMRI) datasets identified for use in the Federated Quantum Machine Learning (FQML) research project. The catalog spans datasets from over 50 countries across all inhabited continents, organized by geographic region, access tier, and suitability for the proposed RQFM-PQFL framework.</w:t>
      </w:r>
    </w:p>
    <w:p>
      <w:pPr>
        <w:spacing w:after="120" w:line="312"/>
        <w:jc w:val="both"/>
      </w:pPr>
      <w:r>
        <w:rPr>
          <w:rFonts w:ascii="Calibri" w:cs="Calibri" w:eastAsia="Calibri" w:hAnsi="Calibri"/>
          <w:sz w:val="22"/>
          <w:szCs w:val="22"/>
        </w:rPr>
        <w:t xml:space="preserve">The search methodology included systematic queries across PubMed, Scopus, Google Scholar, OpenNeuro, NIMH Data Archive (NDA), NITRC, SchizConnect, COINS, EBRAINS, NBDC Japan, and institutional repositories. Semantic tools including Semantic Scholar, Connected Papers, Elicit, and Consensus AI were used for gap analysis. A total of 100+ datasets were identified globally, of which approximately 35 are publicly or semi-publicly accessible with rs-fMRI data suitable for federated learning experiments.</w:t>
      </w:r>
    </w:p>
    <w:p>
      <w:pPr>
        <w:spacing w:after="120" w:line="312"/>
        <w:jc w:val="both"/>
      </w:pPr>
      <w:r>
        <w:rPr>
          <w:rFonts w:ascii="Calibri" w:cs="Calibri" w:eastAsia="Calibri" w:hAnsi="Calibri"/>
          <w:sz w:val="22"/>
          <w:szCs w:val="22"/>
        </w:rPr>
        <w:t xml:space="preserve">Key findings: (1) The triple intersection of Federated Learning + Quantum ML + fMRI neuroimaging has ZERO existing papers, making any combination of these datasets novel for QML evaluation. (2) The largest concentrations of accessible SZ rs-fMRI data are in the USA, Japan, and UK. (3) No single dataset combines multi-site SZ + BD + MDD + longitudinal + open access, necessitating our federated combination strategy. (4) Asian datasets (SRPBS-1600, Chinese Han, COCORO) provide crucial ethnic diversity entirely absent from prior QML neuroimaging studies.</w:t>
      </w:r>
    </w:p>
    <w:p>
      <w:pPr>
        <w:pStyle w:val="Heading1"/>
        <w:spacing w:after="200" w:before="400"/>
      </w:pPr>
      <w:bookmarkStart w:id="100002" w:name="_Toc100002"/>
      <w:r>
        <w:rPr>
          <w:rFonts w:ascii="Calibri" w:cs="Calibri" w:eastAsia="Calibri" w:hAnsi="Calibri"/>
          <w:b/>
          <w:bCs/>
          <w:color w:val="1B3A5C"/>
          <w:sz w:val="48"/>
          <w:szCs w:val="48"/>
        </w:rPr>
        <w:t xml:space="preserve">2. North America (USA &amp; Canada)</w:t>
      </w:r>
      <w:bookmarkEnd w:id="100002"/>
    </w:p>
    <w:p>
      <w:pPr>
        <w:spacing w:after="120" w:line="312"/>
        <w:jc w:val="both"/>
      </w:pPr>
      <w:r>
        <w:rPr>
          <w:rFonts w:ascii="Calibri" w:cs="Calibri" w:eastAsia="Calibri" w:hAnsi="Calibri"/>
          <w:sz w:val="22"/>
          <w:szCs w:val="22"/>
        </w:rPr>
        <w:t xml:space="preserve">North America hosts the largest concentration of publicly accessible SZ rs-fMRI datasets, driven by NIH-funded data sharing mandates. The USA alone accounts for approximately 8,000-10,000 unique subjects with rs-fMRI across all accessible datasets.</w:t>
      </w:r>
    </w:p>
    <w:p>
      <w:pPr>
        <w:pStyle w:val="Heading2"/>
        <w:spacing w:after="150" w:before="300"/>
      </w:pPr>
      <w:bookmarkStart w:id="100003" w:name="_Toc100003"/>
      <w:r>
        <w:rPr>
          <w:rFonts w:ascii="Calibri" w:cs="Calibri" w:eastAsia="Calibri" w:hAnsi="Calibri"/>
          <w:b/>
          <w:bCs/>
          <w:color w:val="2E86AB"/>
          <w:sz w:val="36"/>
          <w:szCs w:val="36"/>
        </w:rPr>
        <w:t xml:space="preserve">2.1 Tier 1: Open Access (No Data Use Agreement Required)</w:t>
      </w:r>
      <w:bookmarkEnd w:id="100003"/>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URL</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COBRE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74</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Trio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 / INDI</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FBIRN Phase II/III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163</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167</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Mixed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 / COINS / NITRC</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MCIC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146</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160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Mixed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 / COINS / Zenodo</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NUSDAST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~205</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~205</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Trio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 / NITRC</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UCLA LA5c/CNP</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130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Trio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OpenNeuro ds000030</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TCP (2025)</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~33 SZ+BD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93</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Prisma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OpenNeuro ds005237</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BrainGluSchi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Trio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SPINS Phantoms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 phantoms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GE/Siemens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OpenNeuro ds003011</w:t>
            </w:r>
          </w:p>
        </w:tc>
      </w:tr>
    </w:tbl>
    <w:p>
      <w:pPr>
        <w:pStyle w:val="Heading2"/>
        <w:spacing w:after="150" w:before="300"/>
      </w:pPr>
      <w:bookmarkStart w:id="100004" w:name="_Toc100004"/>
      <w:r>
        <w:rPr>
          <w:rFonts w:ascii="Calibri" w:cs="Calibri" w:eastAsia="Calibri" w:hAnsi="Calibri"/>
          <w:b/>
          <w:bCs/>
          <w:color w:val="2E86AB"/>
          <w:sz w:val="36"/>
          <w:szCs w:val="36"/>
        </w:rPr>
        <w:t xml:space="preserve">2.2 Tier 2: Restricted Access (NDA / Data Use Agreement)</w:t>
      </w:r>
      <w:bookmarkEnd w:id="100004"/>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SZ/CHR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Notes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BSNIP-1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~180 SZ + ~120 SZA + ~160 BD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Mixed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Gold standard cross-disorder</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BSNIP-2</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Mixed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Longitudinal follow-up</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HCP-EP</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~120 FEP</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~170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Prisma HCP</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HCP-quality imaging</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AMP SCZ</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~2,109 CHR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~650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42+</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Mixed 3T harmonized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CHR longitudinal study</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NAPLS-3</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~710 CHR</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~280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8</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Mixed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Psychosis conversion prediction</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PRONET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~1,300 CHR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~25</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Prisma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Part of AMP SCZ network</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SPINS Clinical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~120 SZ</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GE/Siemens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Traveling phantoms included</w:t>
            </w:r>
          </w:p>
        </w:tc>
      </w:tr>
    </w:tbl>
    <w:p>
      <w:pPr>
        <w:pStyle w:val="Heading2"/>
        <w:spacing w:after="150" w:before="300"/>
      </w:pPr>
      <w:bookmarkStart w:id="100005" w:name="_Toc100005"/>
      <w:r>
        <w:rPr>
          <w:rFonts w:ascii="Calibri" w:cs="Calibri" w:eastAsia="Calibri" w:hAnsi="Calibri"/>
          <w:b/>
          <w:bCs/>
          <w:color w:val="2E86AB"/>
          <w:sz w:val="36"/>
          <w:szCs w:val="36"/>
        </w:rPr>
        <w:t xml:space="preserve">2.3 Tier 3: University/Institutional (Variable Access)</w:t>
      </w:r>
      <w:bookmarkEnd w:id="100005"/>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Institution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rs-fMRI</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Primary Access Route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McLean Hospital / Harvard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(BSNIP)</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Stanford CNI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~40-60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OpenNeuro / NDA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UCSF EPIC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(BSNIP/HCP-EP)</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 Minnesota CMRR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COINS / SchizConnect</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Yale MRRC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(NAPLS/FBIRN)</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UT Southwestern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~50-100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(BSNIP)</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Duke BIAC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~80+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MGH / Martinos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 / NDA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Wash U St. Louis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Penn / BBL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CAMH Toronto</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 OpenNeuro</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McGill / MNI Montreal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 Calgary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 CHR</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Yes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(NAPLS)</w:t>
            </w:r>
          </w:p>
        </w:tc>
      </w:tr>
    </w:tbl>
    <w:p>
      <w:pPr>
        <w:pStyle w:val="Heading1"/>
        <w:spacing w:after="200" w:before="400"/>
      </w:pPr>
      <w:bookmarkStart w:id="100006" w:name="_Toc100006"/>
      <w:r>
        <w:rPr>
          <w:rFonts w:ascii="Calibri" w:cs="Calibri" w:eastAsia="Calibri" w:hAnsi="Calibri"/>
          <w:b/>
          <w:bCs/>
          <w:color w:val="1B3A5C"/>
          <w:sz w:val="48"/>
          <w:szCs w:val="48"/>
        </w:rPr>
        <w:t xml:space="preserve">3. Europe</w:t>
      </w:r>
      <w:bookmarkEnd w:id="100006"/>
    </w:p>
    <w:p>
      <w:pPr>
        <w:spacing w:after="120" w:line="312"/>
        <w:jc w:val="both"/>
      </w:pPr>
      <w:r>
        <w:rPr>
          <w:rFonts w:ascii="Calibri" w:cs="Calibri" w:eastAsia="Calibri" w:hAnsi="Calibri"/>
          <w:sz w:val="22"/>
          <w:szCs w:val="22"/>
        </w:rPr>
        <w:t xml:space="preserve">Europe hosts significant SZ neuroimaging resources, but most institutional datasets are closed-access, requiring collaboration agreements or consortium membership. Only 6 datasets with European origin offer open rs-fMRI access. The ENIGMA consortium provides the largest meta-analytic aggregation but does not share individual-level data.</w:t>
      </w:r>
    </w:p>
    <w:p>
      <w:pPr>
        <w:pStyle w:val="Heading2"/>
        <w:spacing w:after="150" w:before="300"/>
      </w:pPr>
      <w:bookmarkStart w:id="100007" w:name="_Toc100007"/>
      <w:r>
        <w:rPr>
          <w:rFonts w:ascii="Calibri" w:cs="Calibri" w:eastAsia="Calibri" w:hAnsi="Calibri"/>
          <w:b/>
          <w:bCs/>
          <w:color w:val="2E86AB"/>
          <w:sz w:val="36"/>
          <w:szCs w:val="36"/>
        </w:rPr>
        <w:t xml:space="preserve">3.1 Open / Publicly Accessible</w:t>
      </w:r>
      <w:bookmarkEnd w:id="100007"/>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URL</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 Biobank (SZ subset)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~900+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~40,000+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Prisma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Registered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ukbiobank.ac.uk</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TCP (2025)</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 (KCL)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33 SZ + 53 BD + 62 MDD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93</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Prisma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OpenNeuro ds005237</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Psy-ShareD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UK/Global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~800+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~800+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Various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 (figshare)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psyshared.com</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BrainGluSchi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France (CEA)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14</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14</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Trio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Zenodo SZ Connectomes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France (NeuroSpin)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27</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27</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Zenodo 3758534</w:t>
            </w:r>
          </w:p>
        </w:tc>
      </w:tr>
    </w:tbl>
    <w:p>
      <w:pPr>
        <w:pStyle w:val="Heading2"/>
        <w:spacing w:after="150" w:before="300"/>
      </w:pPr>
      <w:bookmarkStart w:id="100008" w:name="_Toc100008"/>
      <w:r>
        <w:rPr>
          <w:rFonts w:ascii="Calibri" w:cs="Calibri" w:eastAsia="Calibri" w:hAnsi="Calibri"/>
          <w:b/>
          <w:bCs/>
          <w:color w:val="2E86AB"/>
          <w:sz w:val="36"/>
          <w:szCs w:val="36"/>
        </w:rPr>
        <w:t xml:space="preserve">3.2 Consortium / Restricted Access</w:t>
      </w:r>
      <w:bookmarkEnd w:id="10000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Countries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Notes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ENIGMA-SZ rs-fMRI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Int'l (15+ EU sites)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~15-20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Consortium/DUA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Standardized FC matrices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EU-GEI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 NL, ES, IT, FR, BE, TR, BR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~16</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Gene-environment interaction</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OPTiMiSE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NL, DE, UK, FR, IT, DK, BE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~500 FEP</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First-episode psychosis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GROUP Study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Netherlands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~1,100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~1,200 sib+par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Family design, longitudinal</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IMAGEM</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 DE, FR, IE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8</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Adolescent longitudinal</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NORMENT/TOP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Norway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3-4</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Scandinavian SZ dataset</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HUBIN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Sweden (Karolinska)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Application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Swedish SZ cohort</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PAFIP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Spain (Santander)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~300+ FEP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First-episode psychosis</w:t>
            </w:r>
          </w:p>
        </w:tc>
      </w:tr>
    </w:tbl>
    <w:p>
      <w:pPr>
        <w:pStyle w:val="Heading2"/>
        <w:spacing w:after="150" w:before="300"/>
      </w:pPr>
      <w:bookmarkStart w:id="100009" w:name="_Toc100009"/>
      <w:r>
        <w:rPr>
          <w:rFonts w:ascii="Calibri" w:cs="Calibri" w:eastAsia="Calibri" w:hAnsi="Calibri"/>
          <w:b/>
          <w:bCs/>
          <w:color w:val="2E86AB"/>
          <w:sz w:val="36"/>
          <w:szCs w:val="36"/>
        </w:rPr>
        <w:t xml:space="preserve">3.3 Institutional (Collaboration Required)</w:t>
      </w:r>
      <w:bookmarkEnd w:id="100009"/>
    </w:p>
    <w:p>
      <w:pPr>
        <w:spacing w:after="120" w:line="312"/>
        <w:jc w:val="both"/>
      </w:pPr>
      <w:r>
        <w:rPr>
          <w:rFonts w:ascii="Calibri" w:cs="Calibri" w:eastAsia="Calibri" w:hAnsi="Calibri"/>
          <w:sz w:val="22"/>
          <w:szCs w:val="22"/>
        </w:rPr>
        <w:t xml:space="preserve">The following European institutions maintain SZ rs-fMRI datasets accessible through PI collaboration. Estimated SZ sample sizes are approximate and vary by study wave: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Institution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Charite Berlin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Germany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LMU Munich</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Germany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UKE Hamburg</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Germany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 Dusseldorf</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Germany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BMBF German Multisite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Germany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Various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INSERM/CEA NeuroSpin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France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Partial open (Zenodo)</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Pitie-Salpetriere/ICM</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France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VUmc/Amsterdam UMC</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Netherlands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Philips/GE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Donders Institute NRG</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Netherlands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Prisma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UMC Utrecht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Netherlands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Philips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University of Milan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Italy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Philips/GE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University of Barcelona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Spain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KU Leuven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Belgium</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Philips/Siemens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University of Zurich</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Switzerland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Philips/GE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University of Basel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Switzerland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University of Turku</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Finland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~80+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Philips/GE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Aarhus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Denmark</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PSYRHS Copenhagen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Denmark</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Siemens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r>
    </w:tbl>
    <w:p>
      <w:pPr>
        <w:pStyle w:val="Heading1"/>
        <w:spacing w:after="200" w:before="400"/>
      </w:pPr>
      <w:bookmarkStart w:id="100010" w:name="_Toc100010"/>
      <w:r>
        <w:rPr>
          <w:rFonts w:ascii="Calibri" w:cs="Calibri" w:eastAsia="Calibri" w:hAnsi="Calibri"/>
          <w:b/>
          <w:bCs/>
          <w:color w:val="1B3A5C"/>
          <w:sz w:val="48"/>
          <w:szCs w:val="48"/>
        </w:rPr>
        <w:t xml:space="preserve">4. Asia (Japan, China, Korea, India, Taiwan, Singapore, Hong Kong)</w:t>
      </w:r>
      <w:bookmarkEnd w:id="100010"/>
    </w:p>
    <w:p>
      <w:pPr>
        <w:spacing w:after="120" w:line="312"/>
        <w:jc w:val="both"/>
      </w:pPr>
      <w:r>
        <w:rPr>
          <w:rFonts w:ascii="Calibri" w:cs="Calibri" w:eastAsia="Calibri" w:hAnsi="Calibri"/>
          <w:sz w:val="22"/>
          <w:szCs w:val="22"/>
        </w:rPr>
        <w:t xml:space="preserve">Asia represents the most underutilized yet critically important source of SZ rs-fMRI data for our research. The SRPBS-1600 dataset alone provides 14 scanner configurations across 8 Japanese sites, offering unprecedented federated learning diversity. Chinese datasets provide the largest single-population SZ samples globally, while Indian datasets offer South Asian ethnic diversity entirely absent from Western studies.</w:t>
      </w:r>
    </w:p>
    <w:p>
      <w:pPr>
        <w:pStyle w:val="Heading2"/>
        <w:spacing w:after="150" w:before="300"/>
      </w:pPr>
      <w:bookmarkStart w:id="100011" w:name="_Toc100011"/>
      <w:r>
        <w:rPr>
          <w:rFonts w:ascii="Calibri" w:cs="Calibri" w:eastAsia="Calibri" w:hAnsi="Calibri"/>
          <w:b/>
          <w:bCs/>
          <w:color w:val="2E86AB"/>
          <w:sz w:val="36"/>
          <w:szCs w:val="36"/>
        </w:rPr>
        <w:t xml:space="preserve">4.1 Japan</w:t>
      </w:r>
      <w:bookmarkEnd w:id="100011"/>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URL</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Unique Value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SRPBS-1600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~370 SZ + 623 other disorders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~1,421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8 sites, 14 scanners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Various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Application (free)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bicr-resource.atr.jp/srpbs1600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multi-site multi-disorder Asian SZ rs-fMRI; pre-computed FC matrices; traveling subjects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COCORO</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~600+ SZ (of 6,000+ total)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Multi-site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Various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Application (NBDC)</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humandbs.dbcls.jp/en/hum0031-v1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Japanese psychiatry database; SZ+BD+MDD+ASD</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Brain/MINDS Beyond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SZ+ASD+MDD+BPD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 psychiatric + 4 neuro</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Various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Consortium</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brainminds.jp/en/humanbrainmri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Prospective harmonization; longitudinal; traveling subjects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ATR/BIC Datasets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Application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bicr-resource.atr.jp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Pre-computed FC matrices available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Zenodo SZ Connectomes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27</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27</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Zenodo 3758534</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Pre-computed FC; small but open</w:t>
            </w:r>
          </w:p>
        </w:tc>
      </w:tr>
    </w:tbl>
    <w:p>
      <w:pPr>
        <w:pStyle w:val="Heading2"/>
        <w:spacing w:after="150" w:before="300"/>
      </w:pPr>
      <w:bookmarkStart w:id="100012" w:name="_Toc100012"/>
      <w:r>
        <w:rPr>
          <w:rFonts w:ascii="Calibri" w:cs="Calibri" w:eastAsia="Calibri" w:hAnsi="Calibri"/>
          <w:b/>
          <w:bCs/>
          <w:color w:val="2E86AB"/>
          <w:sz w:val="36"/>
          <w:szCs w:val="36"/>
        </w:rPr>
        <w:t xml:space="preserve">4.2 China</w:t>
      </w:r>
      <w:bookmarkEnd w:id="100012"/>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Unique Value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Chinese Han SZ</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558</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542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Author 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single-population SZ rs-fMRI (1,100 total)</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REST-meta-MDD/DIRECT Phase II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Expanding to SZ</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~1,128 HC</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17 hospitals, 25 groups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Various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rfmri.org</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Multi-site Chinese; expanding from MDD to BD/SZ</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Beijing Normal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Major Chinese neuroimaging center</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Peking University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Psychiatry department datasets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Shanghai Jiao Tong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 Chinese medical center</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West China Hospital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Major western China center</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OpenNeuro ds001461 (Smoking+SZ)</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Variable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 (OpenNeuro)</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 smoking comorbidity; Chinese dataset</w:t>
            </w:r>
          </w:p>
        </w:tc>
      </w:tr>
    </w:tbl>
    <w:p>
      <w:pPr>
        <w:pStyle w:val="Heading2"/>
        <w:spacing w:after="150" w:before="300"/>
      </w:pPr>
      <w:bookmarkStart w:id="100013" w:name="_Toc100013"/>
      <w:r>
        <w:rPr>
          <w:rFonts w:ascii="Calibri" w:cs="Calibri" w:eastAsia="Calibri" w:hAnsi="Calibri"/>
          <w:b/>
          <w:bCs/>
          <w:color w:val="2E86AB"/>
          <w:sz w:val="36"/>
          <w:szCs w:val="36"/>
        </w:rPr>
        <w:t xml:space="preserve">4.3 South Korea</w:t>
      </w:r>
      <w:bookmarkEnd w:id="100013"/>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Institution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Notes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Seoul National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 Siemens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Korean SZ neuroimaging program</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Korea University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Active SZ rs-fMRI research</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Samsung Medical Center</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Clinical SZ cohorts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KAIST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~20-30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~20-30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Computational psychiatry focus</w:t>
            </w:r>
          </w:p>
        </w:tc>
      </w:tr>
    </w:tbl>
    <w:p>
      <w:pPr>
        <w:pStyle w:val="Heading2"/>
        <w:spacing w:after="150" w:before="300"/>
      </w:pPr>
      <w:bookmarkStart w:id="100014" w:name="_Toc100014"/>
      <w:r>
        <w:rPr>
          <w:rFonts w:ascii="Calibri" w:cs="Calibri" w:eastAsia="Calibri" w:hAnsi="Calibri"/>
          <w:b/>
          <w:bCs/>
          <w:color w:val="2E86AB"/>
          <w:sz w:val="36"/>
          <w:szCs w:val="36"/>
        </w:rPr>
        <w:t xml:space="preserve">4.4 India</w:t>
      </w:r>
      <w:bookmarkEnd w:id="100014"/>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Institution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Notes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NIMHANS Bangalore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~100-200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~100-200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 Siemens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India's premier psychiatry institute; largest Indian SZ neuroimaging program</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AIIMS Delhi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~50-80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~50-80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Major Delhi psychiatry center</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Indian Institute of Science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Computational neuroscience focus</w:t>
            </w:r>
          </w:p>
        </w:tc>
      </w:tr>
    </w:tbl>
    <w:p>
      <w:pPr>
        <w:pStyle w:val="Heading2"/>
        <w:spacing w:after="150" w:before="300"/>
      </w:pPr>
      <w:bookmarkStart w:id="100015" w:name="_Toc100015"/>
      <w:r>
        <w:rPr>
          <w:rFonts w:ascii="Calibri" w:cs="Calibri" w:eastAsia="Calibri" w:hAnsi="Calibri"/>
          <w:b/>
          <w:bCs/>
          <w:color w:val="2E86AB"/>
          <w:sz w:val="36"/>
          <w:szCs w:val="36"/>
        </w:rPr>
        <w:t xml:space="preserve">4.5 Taiwan, Singapore, Hong Kong</w:t>
      </w:r>
      <w:bookmarkEnd w:id="100015"/>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Institution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Notes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National Taiwan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Taiwan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~50-80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Major Taiwanese SZ research</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Duke-NUS / IMCB</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Singapore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Singapore psychiatry program</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HKU</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Hong Kong</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Chinese population SZ data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CUHK</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Hong Kong</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Multi-disorder psychiatry data</w:t>
            </w:r>
          </w:p>
        </w:tc>
      </w:tr>
    </w:tbl>
    <w:p>
      <w:pPr>
        <w:pStyle w:val="Heading1"/>
        <w:spacing w:after="200" w:before="400"/>
      </w:pPr>
      <w:bookmarkStart w:id="100016" w:name="_Toc100016"/>
      <w:r>
        <w:rPr>
          <w:rFonts w:ascii="Calibri" w:cs="Calibri" w:eastAsia="Calibri" w:hAnsi="Calibri"/>
          <w:b/>
          <w:bCs/>
          <w:color w:val="1B3A5C"/>
          <w:sz w:val="48"/>
          <w:szCs w:val="48"/>
        </w:rPr>
        <w:t xml:space="preserve">5. Oceania (Australia &amp; New Zealand)</w:t>
      </w:r>
      <w:bookmarkEnd w:id="100016"/>
    </w:p>
    <w:p>
      <w:pPr>
        <w:spacing w:after="120" w:line="312"/>
        <w:jc w:val="both"/>
      </w:pPr>
      <w:r>
        <w:rPr>
          <w:rFonts w:ascii="Calibri" w:cs="Calibri" w:eastAsia="Calibri" w:hAnsi="Calibri"/>
          <w:sz w:val="22"/>
          <w:szCs w:val="22"/>
        </w:rPr>
        <w:t xml:space="preserve">Oceania has significant SZ neuroimaging research infrastructure but NO publicly accessible datasets. All data requires collaboration or application-based access. The Australian Schizophrenia Research Bank (ASRB) is the most systematic collection.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Unique Value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ASRB</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Australia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~455+</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~299+</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1.5T + 3T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Application (NEURA)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Australian SZ collection; multi-site</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Melbourne Neuropsychiatry Centre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Australia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~30-60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~30-60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 Siemens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Active SZ connectomics research</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Univ. Melbourne / Zalesky Lab</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Australia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Connectomics expertise</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Orygen FEP Dataset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Australia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~50-80 FEP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~50-80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First-episode psychosis focus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Monash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Australia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 Siemens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Fornito lab connectomics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QIMR Berghofer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Australia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3T/4T Bruker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Twin/family SZ data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New Zealand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NZ</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~15-30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~15-30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Limited but existing</w:t>
            </w:r>
          </w:p>
        </w:tc>
      </w:tr>
    </w:tbl>
    <w:p>
      <w:pPr>
        <w:pStyle w:val="Heading1"/>
        <w:spacing w:after="200" w:before="400"/>
      </w:pPr>
      <w:bookmarkStart w:id="100017" w:name="_Toc100017"/>
      <w:r>
        <w:rPr>
          <w:rFonts w:ascii="Calibri" w:cs="Calibri" w:eastAsia="Calibri" w:hAnsi="Calibri"/>
          <w:b/>
          <w:bCs/>
          <w:color w:val="1B3A5C"/>
          <w:sz w:val="48"/>
          <w:szCs w:val="48"/>
        </w:rPr>
        <w:t xml:space="preserve">6. Middle East (Iran, Israel, Turkey, Saudi Arabia, UAE)</w:t>
      </w:r>
      <w:bookmarkEnd w:id="100017"/>
    </w:p>
    <w:p>
      <w:pPr>
        <w:spacing w:after="120" w:line="312"/>
        <w:jc w:val="both"/>
      </w:pPr>
      <w:r>
        <w:rPr>
          <w:rFonts w:ascii="Calibri" w:cs="Calibri" w:eastAsia="Calibri" w:hAnsi="Calibri"/>
          <w:sz w:val="22"/>
          <w:szCs w:val="22"/>
        </w:rPr>
        <w:t xml:space="preserve">The Middle East has growing SZ rs-fMRI research activity, particularly in Iran, Israel, and Turkey. However, NO datasets are publicly available. All data is institutional and requires PI collaboration. Iran has the most active research output, with multiple groups at Tehran University and Shahid Beheshti University producing regular rs-fMRI studies.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Institution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Notes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Tehran University / Roozbeh Hospital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Iran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~20-40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 Siemens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Most active Iranian SZ rs-fMRI program</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ICSS Tehran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Iran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Institute for Cognitive Science Studies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Shahid Beheshti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Iran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~20-30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Active SZ connectomics research</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Tel Aviv Sourasky Medical Center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Israel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~20-40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Limited rs-fMRI; mostly task/DTI</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Technion / Haifa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Israel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~15-30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Limited publications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Ege University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Turkey (Izmir)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~30-40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Active SZ rs-fMRI research</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Dokuz Eylul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Turkey (Izmir)</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~20-30 CHR</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CHR focus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Hacettepe University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Turkey (Ankara)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~20-30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Ankara psychiatry</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King Abdulaziz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Saudi Arabia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~20-30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Emerging rs-fMRI work since 2021</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King Saud University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Saudi Arabia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~20-30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Riyadh psychiatry</w:t>
            </w:r>
          </w:p>
        </w:tc>
      </w:tr>
    </w:tbl>
    <w:p>
      <w:pPr>
        <w:pStyle w:val="Heading1"/>
        <w:spacing w:after="200" w:before="400"/>
      </w:pPr>
      <w:bookmarkStart w:id="100018" w:name="_Toc100018"/>
      <w:r>
        <w:rPr>
          <w:rFonts w:ascii="Calibri" w:cs="Calibri" w:eastAsia="Calibri" w:hAnsi="Calibri"/>
          <w:b/>
          <w:bCs/>
          <w:color w:val="1B3A5C"/>
          <w:sz w:val="48"/>
          <w:szCs w:val="48"/>
        </w:rPr>
        <w:t xml:space="preserve">7. South America (Brazil, Chile, Argentina, Colombia)</w:t>
      </w:r>
      <w:bookmarkEnd w:id="100018"/>
    </w:p>
    <w:p>
      <w:pPr>
        <w:spacing w:after="120" w:line="312"/>
        <w:jc w:val="both"/>
      </w:pPr>
      <w:r>
        <w:rPr>
          <w:rFonts w:ascii="Calibri" w:cs="Calibri" w:eastAsia="Calibri" w:hAnsi="Calibri"/>
          <w:sz w:val="22"/>
          <w:szCs w:val="22"/>
        </w:rPr>
        <w:t xml:space="preserve">South American SZ rs-fMRI research is concentrated in Brazil and Chile. Brazil uniquely offers Afro-descendant psychosis datasets, providing ethnic diversity absent from all Northern Hemisphere collections. Chile has focused on first-episode psychosis. No datasets are publicly available.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Institution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Unique Value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UFBA Salvador</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Brazil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~20-30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Afro-descendant SZ data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UFC Fortaleza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Brazil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 SZ + ~30-50 BD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SZ-BD Afro-descendant comparison; unique globally</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USP Sao Paulo</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Brazil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~20-40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1.5T/3T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Major Brazilian center</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Pontificia UC Chile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Chile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~20-30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Chilean SZ research</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Universidad de Valparaiso</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Chile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~15-20 FEP</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First-episode psychosis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CONICET Buenos Aires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Argentina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~15-20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Argentinean SZ stress research</w:t>
            </w:r>
          </w:p>
        </w:tc>
      </w:tr>
    </w:tbl>
    <w:p>
      <w:pPr>
        <w:pStyle w:val="Heading1"/>
        <w:spacing w:after="200" w:before="400"/>
      </w:pPr>
      <w:bookmarkStart w:id="100019" w:name="_Toc100019"/>
      <w:r>
        <w:rPr>
          <w:rFonts w:ascii="Calibri" w:cs="Calibri" w:eastAsia="Calibri" w:hAnsi="Calibri"/>
          <w:b/>
          <w:bCs/>
          <w:color w:val="1B3A5C"/>
          <w:sz w:val="48"/>
          <w:szCs w:val="48"/>
        </w:rPr>
        <w:t xml:space="preserve">8. Africa (South Africa, Egypt, Nigeria, Kenya)</w:t>
      </w:r>
      <w:bookmarkEnd w:id="100019"/>
    </w:p>
    <w:p>
      <w:pPr>
        <w:spacing w:after="120" w:line="312"/>
        <w:jc w:val="both"/>
      </w:pPr>
      <w:r>
        <w:rPr>
          <w:rFonts w:ascii="Calibri" w:cs="Calibri" w:eastAsia="Calibri" w:hAnsi="Calibri"/>
          <w:sz w:val="22"/>
          <w:szCs w:val="22"/>
        </w:rPr>
        <w:t xml:space="preserve">Africa has minimal SZ rs-fMRI infrastructure. South Africa (UCT Cape Town) has the most significant work, primarily comparing SZ with methamphetamine-induced psychosis. Egypt has limited 1.5T imaging. Nigeria and Kenya have no fMRI infrastructure for SZ research. This represents the greatest global gap in SZ neuroimaging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Institution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Scanner</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Unique Value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UCT Cape Town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South Africa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~30-50 SZ + ~30-50 MA-psychosis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 Siemens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Collaboration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vs methamphetamine psychosis comparison; unique globally</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Stellenbosch University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South Africa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~15-25</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Tygerberg Hospital data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Wits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South Africa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~10-20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1.5T/3T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Johannesburg data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Ain Shams University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Egypt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~15-20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Limited SZ rs-fMRI</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Cairo University</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Egypt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~10-15</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1.5T/3T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Minimal published work</w:t>
            </w:r>
          </w:p>
        </w:tc>
      </w:tr>
    </w:tbl>
    <w:p>
      <w:pPr>
        <w:pStyle w:val="Heading1"/>
        <w:spacing w:after="200" w:before="400"/>
      </w:pPr>
      <w:bookmarkStart w:id="100020" w:name="_Toc100020"/>
      <w:r>
        <w:rPr>
          <w:rFonts w:ascii="Calibri" w:cs="Calibri" w:eastAsia="Calibri" w:hAnsi="Calibri"/>
          <w:b/>
          <w:bCs/>
          <w:color w:val="1B3A5C"/>
          <w:sz w:val="48"/>
          <w:szCs w:val="48"/>
        </w:rPr>
        <w:t xml:space="preserve">9. Cross-Disorder &amp; Longitudinal Datasets</w:t>
      </w:r>
      <w:bookmarkEnd w:id="100020"/>
    </w:p>
    <w:p>
      <w:pPr>
        <w:spacing w:after="120" w:line="312"/>
        <w:jc w:val="both"/>
      </w:pPr>
      <w:r>
        <w:rPr>
          <w:rFonts w:ascii="Calibri" w:cs="Calibri" w:eastAsia="Calibri" w:hAnsi="Calibri"/>
          <w:sz w:val="22"/>
          <w:szCs w:val="22"/>
        </w:rPr>
        <w:t xml:space="preserve">Cross-disorder and longitudinal datasets are critical for the proposed RQFM-PQFL framework: cross-disorder data enables SZ vs BD vs MDD differential diagnosis experiments, while longitudinal data validates model stability over time. These represent the rarest and most valuable dataset categories.</w:t>
      </w:r>
    </w:p>
    <w:p>
      <w:pPr>
        <w:pStyle w:val="Heading2"/>
        <w:spacing w:after="150" w:before="300"/>
      </w:pPr>
      <w:bookmarkStart w:id="100021" w:name="_Toc100021"/>
      <w:r>
        <w:rPr>
          <w:rFonts w:ascii="Calibri" w:cs="Calibri" w:eastAsia="Calibri" w:hAnsi="Calibri"/>
          <w:b/>
          <w:bCs/>
          <w:color w:val="2E86AB"/>
          <w:sz w:val="36"/>
          <w:szCs w:val="36"/>
        </w:rPr>
        <w:t xml:space="preserve">9.1 Cross-Disorder Datasets (SZ + BD + MDD + HC)</w:t>
      </w:r>
      <w:bookmarkEnd w:id="100021"/>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Disorders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Total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Unique Value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BSNIP-1/2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SZA, BD-psychosis, MDD-psychosis, HC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Gold standard psychosis biotyping; Kaggle competition data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TCP (2025)</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BD, MDD, anxiety, ADHD, HC</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241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 (OpenNeuro)</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Brand new; HCP-quality; fully open</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SRPBS-1600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MDD, BD, OCD, ASD, HC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2,414</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8 sites, 14 scanners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Application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multi-disorder Asian rs-fMRI; traveling subjects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UCLA LA5c/CNP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BD, ADHD, HC</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~250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 (OpenNeuro)</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Cross-disorder; fully open</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 Biobank</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BD, MDD, and many others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~40,000+ imaging</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Registered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single imaging dataset; huge but limited psychosis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ENIGMA Cross-Disorder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BD, MDD, OCD, ADHD, ASD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50,000+ across WGs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Int'l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Consortium</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meta-analytic; no individual data</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EU-GEI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FEP (SZ + BD + other psychosis)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~2,400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16</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Restricted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Gene-environment; 6+ EU countries</w:t>
            </w:r>
          </w:p>
        </w:tc>
      </w:tr>
    </w:tbl>
    <w:p>
      <w:pPr>
        <w:pStyle w:val="Heading2"/>
        <w:spacing w:after="150" w:before="300"/>
      </w:pPr>
      <w:bookmarkStart w:id="100022" w:name="_Toc100022"/>
      <w:r>
        <w:rPr>
          <w:rFonts w:ascii="Calibri" w:cs="Calibri" w:eastAsia="Calibri" w:hAnsi="Calibri"/>
          <w:b/>
          <w:bCs/>
          <w:color w:val="2E86AB"/>
          <w:sz w:val="36"/>
          <w:szCs w:val="36"/>
        </w:rPr>
        <w:t xml:space="preserve">9.2 Longitudinal Datasets</w:t>
      </w:r>
      <w:bookmarkEnd w:id="100022"/>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Design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SZ/CHR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Timepoints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Unique Value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AMP SCZ</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CHR conversion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~2,109 CHR + 650 HC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Multiple over 2 years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prospective CHR study; 42 sites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NUSDAST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longitudinal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451 total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2-year follow-up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open longitudinal SZ dataset</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BSNIP-2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Psychosis longitudinal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~1,000+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 year</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SZ+SZA+BD longitudinal</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NAPLS-3</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CHR conversion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~710 CHR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Multiple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Psychosis conversion prediction</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GROUP</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families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~1,100+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Multiple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Dutch multi-site; siblings + parents</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PRONIA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Early psychosis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9-month + 2-year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Institutional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EU-funded; ML prediction</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PSYSCAN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Early psychosis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Multi-site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Longitudinal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Institutional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ML-based course prediction</w:t>
            </w:r>
          </w:p>
        </w:tc>
      </w:tr>
    </w:tbl>
    <w:p>
      <w:pPr>
        <w:pStyle w:val="Heading1"/>
        <w:spacing w:after="200" w:before="400"/>
      </w:pPr>
      <w:bookmarkStart w:id="100023" w:name="_Toc100023"/>
      <w:r>
        <w:rPr>
          <w:rFonts w:ascii="Calibri" w:cs="Calibri" w:eastAsia="Calibri" w:hAnsi="Calibri"/>
          <w:b/>
          <w:bCs/>
          <w:color w:val="1B3A5C"/>
          <w:sz w:val="48"/>
          <w:szCs w:val="48"/>
        </w:rPr>
        <w:t xml:space="preserve">10. Federated Learning Platforms &amp; Data Infrastructure</w:t>
      </w:r>
      <w:bookmarkEnd w:id="100023"/>
    </w:p>
    <w:p>
      <w:pPr>
        <w:spacing w:after="120" w:line="312"/>
        <w:jc w:val="both"/>
      </w:pPr>
      <w:r>
        <w:rPr>
          <w:rFonts w:ascii="Calibri" w:cs="Calibri" w:eastAsia="Calibri" w:hAnsi="Calibri"/>
          <w:sz w:val="22"/>
          <w:szCs w:val="22"/>
        </w:rPr>
        <w:t xml:space="preserve">The following platforms and infrastructure resources are directly relevant to our federated quantum ML architecture. They provide both data access mechanisms and computational frameworks for federated experiments.</w:t>
      </w:r>
    </w:p>
    <w:p>
      <w:pPr>
        <w:pStyle w:val="Heading2"/>
        <w:spacing w:after="150" w:before="300"/>
      </w:pPr>
      <w:bookmarkStart w:id="100024" w:name="_Toc100024"/>
      <w:r>
        <w:rPr>
          <w:rFonts w:ascii="Calibri" w:cs="Calibri" w:eastAsia="Calibri" w:hAnsi="Calibri"/>
          <w:b/>
          <w:bCs/>
          <w:color w:val="2E86AB"/>
          <w:sz w:val="36"/>
          <w:szCs w:val="36"/>
        </w:rPr>
        <w:t xml:space="preserve">10.1 Data Aggregation Platforms</w:t>
      </w:r>
      <w:bookmarkEnd w:id="100024"/>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Platform</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Datasases Covered</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URL</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Status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COBRE, FBIRN, MCIC, NUSDAST, BrainGluSchi, NMorphCH</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Free registration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schizconnect.org</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Intermittently available</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COINS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MCIC, FBIRN, COBRE, MRN studies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Free registration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coins.mrn.org</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Transitions ongoing</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BSNIP, HCP-EP, NAPLS, AMP SCZ, SPINS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DUC required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nda.nih.gov</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Active</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OpenNeuro</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CNP, TCP, SPINS phantoms, various SZ</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 access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openneuro.org</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Active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NITRC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FBIRN, NUSDAST, COINSTAC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Free registration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nitrc.org</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Active</w:t>
            </w:r>
          </w:p>
        </w:tc>
      </w:tr>
    </w:tbl>
    <w:p>
      <w:pPr>
        <w:pStyle w:val="Heading2"/>
        <w:spacing w:after="150" w:before="300"/>
      </w:pPr>
      <w:bookmarkStart w:id="100025" w:name="_Toc100025"/>
      <w:r>
        <w:rPr>
          <w:rFonts w:ascii="Calibri" w:cs="Calibri" w:eastAsia="Calibri" w:hAnsi="Calibri"/>
          <w:b/>
          <w:bCs/>
          <w:color w:val="2E86AB"/>
          <w:sz w:val="36"/>
          <w:szCs w:val="36"/>
        </w:rPr>
        <w:t xml:space="preserve">10.2 Federated Learning Frameworks</w:t>
      </w:r>
      <w:bookmarkEnd w:id="100025"/>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Platform</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Type</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Brain Imaging Use</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Key Features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COINSTAC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FL platform (neuroimaging-specific)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 classification, ENIGMA analyses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Vaults for data; decentralized; used with FBIRN+BSNIP</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FLightcase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FL toolbox (brain-specific)</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Cognitive status prediction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Glass-box; real-world deployed; 2026</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Fed-BioMed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FL framework (biomedical)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Medical imaging, brain MRI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PyTorch + Flower; GDPR-compliant</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Flower (flwr)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General FL framework</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Used in brain imaging studies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Lightweight; framework-agnostic; scalable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NVIDIA FLARE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Enterprise FL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Healthcare imaging</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Supports PyTorch/TF; enterprise-grade</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PySyft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Privacy-preserving ML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Neuroimaging demonstrated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OpenMined; DP + secure aggregation</w:t>
            </w:r>
          </w:p>
        </w:tc>
      </w:tr>
    </w:tbl>
    <w:p>
      <w:pPr>
        <w:pStyle w:val="Heading2"/>
        <w:spacing w:after="150" w:before="300"/>
      </w:pPr>
      <w:bookmarkStart w:id="100026" w:name="_Toc100026"/>
      <w:r>
        <w:rPr>
          <w:rFonts w:ascii="Calibri" w:cs="Calibri" w:eastAsia="Calibri" w:hAnsi="Calibri"/>
          <w:b/>
          <w:bCs/>
          <w:color w:val="2E86AB"/>
          <w:sz w:val="36"/>
          <w:szCs w:val="36"/>
        </w:rPr>
        <w:t xml:space="preserve">10.3 Foundation Model Pre-Training Data (KD Teacher)</w:t>
      </w:r>
      <w:bookmarkEnd w:id="100026"/>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Dataset/Model</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N (scans)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Modality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Pre-Training Utility</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 Biobank</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~40,000+ with fMRI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rs-fMRI, sMRI, dMRI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Registered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Largest single imaging dataset</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ABCD Study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~12,000; 5+ timepoints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rs-fMRI, sMRI, dMRI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Longitudinal; developmental</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HCP-Lifespan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~7,000+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HCP-style multimodal</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OpenNeuro/ConnectomeDB</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High-quality standardized</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SRPBS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2,414</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rs-fMRI, sMRI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Application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Multi-disorder; 15 sites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ABIDE I+II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2,000+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rs-fMRI, sMRI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FCON, OpenNeuro</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ASD + HC; FC methods transfer</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BrainGFM pre-training</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27 datasets, 25 disorders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rs-fMRI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ICLR 2026 paper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Already demonstrates cross-disorder transfer</w:t>
            </w:r>
          </w:p>
        </w:tc>
      </w:tr>
    </w:tbl>
    <w:p>
      <w:pPr>
        <w:pStyle w:val="Heading1"/>
        <w:spacing w:after="200" w:before="400"/>
      </w:pPr>
      <w:bookmarkStart w:id="100027" w:name="_Toc100027"/>
      <w:r>
        <w:rPr>
          <w:rFonts w:ascii="Calibri" w:cs="Calibri" w:eastAsia="Calibri" w:hAnsi="Calibri"/>
          <w:b/>
          <w:bCs/>
          <w:color w:val="1B3A5C"/>
          <w:sz w:val="48"/>
          <w:szCs w:val="48"/>
        </w:rPr>
        <w:t xml:space="preserve">11. Harmonization &amp; Traveling Subject Datasets</w:t>
      </w:r>
      <w:bookmarkEnd w:id="100027"/>
    </w:p>
    <w:p>
      <w:pPr>
        <w:spacing w:after="120" w:line="312"/>
        <w:jc w:val="both"/>
      </w:pPr>
      <w:r>
        <w:rPr>
          <w:rFonts w:ascii="Calibri" w:cs="Calibri" w:eastAsia="Calibri" w:hAnsi="Calibri"/>
          <w:sz w:val="22"/>
          <w:szCs w:val="22"/>
        </w:rPr>
        <w:t xml:space="preserve">Harmonization is critical for federated multi-site experiments. The following datasets include traveling subject components that enable direct evaluation of site-effect removal — essential for validating our FedHarmony integration in the RQFM-PQFL framework.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Design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Subjects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Modality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Key Finding</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SPINS Traveling Phantoms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Multi-center traveling</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Traveling human phantoms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T1w, DTI, rs-fMRI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 (OpenNeuro)</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Reliability study of multi-center data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SRPBS Traveling Subjects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Multi-scanner traveling</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14 scanners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Traveling subjects included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rs-fMRI, sMRI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Synapse/bicr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15 scanners; explicit traveling subject component</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FBIRN Traveling Subjects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Multi-site traveling</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Traveling subjects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sMRI, fMRI</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NITRC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BIRN calibration data</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Brain/MINDS Beyond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Multi-site Japanese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Multiple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Population + clinical</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sMRI, rs-fMRI</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brainminds-beyond.jp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Prospective harmonization framework</w:t>
            </w:r>
          </w:p>
        </w:tc>
      </w:tr>
    </w:tbl>
    <w:p>
      <w:pPr>
        <w:pStyle w:val="Heading1"/>
        <w:spacing w:after="200" w:before="400"/>
      </w:pPr>
      <w:bookmarkStart w:id="100028" w:name="_Toc100028"/>
      <w:r>
        <w:rPr>
          <w:rFonts w:ascii="Calibri" w:cs="Calibri" w:eastAsia="Calibri" w:hAnsi="Calibri"/>
          <w:b/>
          <w:bCs/>
          <w:color w:val="1B3A5C"/>
          <w:sz w:val="48"/>
          <w:szCs w:val="48"/>
        </w:rPr>
        <w:t xml:space="preserve">12. Recommended Federated Site Architecture for RQFM-PQFL</w:t>
      </w:r>
      <w:bookmarkEnd w:id="100028"/>
    </w:p>
    <w:p>
      <w:pPr>
        <w:spacing w:after="120" w:line="312"/>
        <w:jc w:val="both"/>
      </w:pPr>
      <w:r>
        <w:rPr>
          <w:rFonts w:ascii="Calibri" w:cs="Calibri" w:eastAsia="Calibri" w:hAnsi="Calibri"/>
          <w:sz w:val="22"/>
          <w:szCs w:val="22"/>
        </w:rPr>
        <w:t xml:space="preserve">Based on the comprehensive global dataset catalog, we propose the following federated site architecture for the research paper. This configuration maximizes geographic diversity, scanner heterogeneity, and dataset novelty while maintaining feasibility for a 20-week research timeline.</w:t>
      </w:r>
    </w:p>
    <w:p>
      <w:pPr>
        <w:pStyle w:val="Heading2"/>
        <w:spacing w:after="150" w:before="300"/>
      </w:pPr>
      <w:bookmarkStart w:id="100029" w:name="_Toc100029"/>
      <w:r>
        <w:rPr>
          <w:rFonts w:ascii="Calibri" w:cs="Calibri" w:eastAsia="Calibri" w:hAnsi="Calibri"/>
          <w:b/>
          <w:bCs/>
          <w:color w:val="2E86AB"/>
          <w:sz w:val="36"/>
          <w:szCs w:val="36"/>
        </w:rPr>
        <w:t xml:space="preserve">12.1 Primary Training Federation (5 Sites)</w:t>
      </w:r>
      <w:bookmarkEnd w:id="100029"/>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HC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Sites/Scanners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Role in Federation</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Site 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COBRE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74</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USA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 (Siemens Trio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Standard benchmark anchor</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Site 2</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FBIRN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163</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167</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USA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7 (Mixed 3T)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Multi-site US; largest US open SZ</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Site 3</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MCIC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146</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160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USA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 (Mixed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FL baseline comparison (COINSTAC)</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Site 4</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SRPBS-1600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~370</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~400 HC subset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Japan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8 sites, 14 scanners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Application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Asian population; multi-disorder; traveling subjects</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Site 5</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LA5c/CNP</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50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130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USA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 (Siemens Trio 3T)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Cross-disorder (SZ+BD+ADHD)</w:t>
            </w:r>
          </w:p>
        </w:tc>
      </w:tr>
    </w:tbl>
    <w:p>
      <w:pPr>
        <w:spacing w:after="120" w:line="312"/>
        <w:jc w:val="both"/>
      </w:pPr>
      <w:r>
        <w:rPr>
          <w:rFonts w:ascii="Calibri" w:cs="Calibri" w:eastAsia="Calibri" w:hAnsi="Calibri"/>
          <w:sz w:val="22"/>
          <w:szCs w:val="22"/>
        </w:rPr>
        <w:t xml:space="preserve">Total training federation: ~801 SZ + ~931 HC across 5 sites with ~23 scanner configurations spanning 2 countries (USA, Japan). This represents the most diverse QCNN evaluation to date.</w:t>
      </w:r>
    </w:p>
    <w:p>
      <w:pPr>
        <w:pStyle w:val="Heading2"/>
        <w:spacing w:after="150" w:before="300"/>
      </w:pPr>
      <w:bookmarkStart w:id="100030" w:name="_Toc100030"/>
      <w:r>
        <w:rPr>
          <w:rFonts w:ascii="Calibri" w:cs="Calibri" w:eastAsia="Calibri" w:hAnsi="Calibri"/>
          <w:b/>
          <w:bCs/>
          <w:color w:val="2E86AB"/>
          <w:sz w:val="36"/>
          <w:szCs w:val="36"/>
        </w:rPr>
        <w:t xml:space="preserve">12.2 External Validation (Held-Out)</w:t>
      </w:r>
      <w:bookmarkEnd w:id="100030"/>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Site</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SZ/CHR 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Disorders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Country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Purpose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Site 6</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BSNIP-2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SZ+SZA+BD+MDD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USA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Cross-disorder generalization (SZ vs BD vs MDD)</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Site 7</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TCP (2025)</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33 SZ+53 BD+62 MDD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SZ+BD+MDD+anxiety</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Brand new 2025 dataset; HCP-quality</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Site 8</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 Biobank SZ subset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~900+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SZ+HC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Registered</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Large-scale generalization</w:t>
            </w:r>
          </w:p>
        </w:tc>
      </w:tr>
    </w:tbl>
    <w:p>
      <w:pPr>
        <w:pStyle w:val="Heading2"/>
        <w:spacing w:after="150" w:before="300"/>
      </w:pPr>
      <w:bookmarkStart w:id="100031" w:name="_Toc100031"/>
      <w:r>
        <w:rPr>
          <w:rFonts w:ascii="Calibri" w:cs="Calibri" w:eastAsia="Calibri" w:hAnsi="Calibri"/>
          <w:b/>
          <w:bCs/>
          <w:color w:val="2E86AB"/>
          <w:sz w:val="36"/>
          <w:szCs w:val="36"/>
        </w:rPr>
        <w:t xml:space="preserve">12.3 Longitudinal Stability Test</w:t>
      </w:r>
      <w:bookmarkEnd w:id="100031"/>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Design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N</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Purpose</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NUSDAST</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2-year follow-up</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451</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Test RQFM temporal stability</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AMP SCZ</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CHR conversion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2,109 CHR</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Early psychosis detection (if timeline permits)</w:t>
            </w:r>
          </w:p>
        </w:tc>
      </w:tr>
    </w:tbl>
    <w:p>
      <w:pPr>
        <w:pStyle w:val="Heading2"/>
        <w:spacing w:after="150" w:before="300"/>
      </w:pPr>
      <w:bookmarkStart w:id="100032" w:name="_Toc100032"/>
      <w:r>
        <w:rPr>
          <w:rFonts w:ascii="Calibri" w:cs="Calibri" w:eastAsia="Calibri" w:hAnsi="Calibri"/>
          <w:b/>
          <w:bCs/>
          <w:color w:val="2E86AB"/>
          <w:sz w:val="36"/>
          <w:szCs w:val="36"/>
        </w:rPr>
        <w:t xml:space="preserve">12.4 Novelty Summary</w:t>
      </w:r>
      <w:bookmarkEnd w:id="100032"/>
    </w:p>
    <w:p>
      <w:pPr>
        <w:spacing w:after="120" w:line="312"/>
        <w:jc w:val="both"/>
      </w:pPr>
      <w:r>
        <w:rPr>
          <w:rFonts w:ascii="Calibri" w:cs="Calibri" w:eastAsia="Calibri" w:hAnsi="Calibri"/>
          <w:sz w:val="22"/>
          <w:szCs w:val="22"/>
        </w:rPr>
        <w:t xml:space="preserve">The proposed dataset architecture is novel on four independent axes that no prior QML paper has achieved:</w:t>
      </w:r>
    </w:p>
    <w:p>
      <w:pPr>
        <w:pStyle w:val="ListParagraph"/>
        <w:numPr>
          <w:ilvl w:val="0"/>
          <w:numId w:val="1"/>
        </w:numPr>
        <w:spacing w:after="80" w:line="312"/>
      </w:pPr>
      <w:r>
        <w:rPr>
          <w:rFonts w:ascii="Calibri" w:cs="Calibri" w:eastAsia="Calibri" w:hAnsi="Calibri"/>
          <w:b/>
          <w:bCs/>
          <w:sz w:val="22"/>
          <w:szCs w:val="22"/>
        </w:rPr>
        <w:t xml:space="preserve">Geographic diversity: USA + Japan + UK (3 countries, 2 continents) — no prior QML neuroimaging paper has used non-Western data</w:t>
      </w:r>
    </w:p>
    <w:p>
      <w:pPr>
        <w:pStyle w:val="ListParagraph"/>
        <w:numPr>
          <w:ilvl w:val="0"/>
          <w:numId w:val="1"/>
        </w:numPr>
        <w:spacing w:after="80" w:line="312"/>
      </w:pPr>
      <w:r>
        <w:rPr>
          <w:rFonts w:ascii="Calibri" w:cs="Calibri" w:eastAsia="Calibri" w:hAnsi="Calibri"/>
          <w:b/>
          <w:bCs/>
          <w:sz w:val="22"/>
          <w:szCs w:val="22"/>
        </w:rPr>
        <w:t xml:space="preserve">Scanner heterogeneity: 23+ scanner configurations — unprecedented for any QML evaluation</w:t>
      </w:r>
    </w:p>
    <w:p>
      <w:pPr>
        <w:pStyle w:val="ListParagraph"/>
        <w:numPr>
          <w:ilvl w:val="0"/>
          <w:numId w:val="1"/>
        </w:numPr>
        <w:spacing w:after="80" w:line="312"/>
      </w:pPr>
      <w:r>
        <w:rPr>
          <w:rFonts w:ascii="Calibri" w:cs="Calibri" w:eastAsia="Calibri" w:hAnsi="Calibri"/>
          <w:b/>
          <w:bCs/>
          <w:sz w:val="22"/>
          <w:szCs w:val="22"/>
        </w:rPr>
        <w:t xml:space="preserve">Cross-disorder differentiation: SZ vs BD vs MDD using BSNIP-2 + TCP + SRPBS — a first in quantum psychiatry</w:t>
      </w:r>
    </w:p>
    <w:p>
      <w:pPr>
        <w:pStyle w:val="ListParagraph"/>
        <w:numPr>
          <w:ilvl w:val="0"/>
          <w:numId w:val="1"/>
        </w:numPr>
        <w:spacing w:after="80" w:line="312"/>
      </w:pPr>
      <w:r>
        <w:rPr>
          <w:rFonts w:ascii="Calibri" w:cs="Calibri" w:eastAsia="Calibri" w:hAnsi="Calibri"/>
          <w:b/>
          <w:bCs/>
          <w:sz w:val="22"/>
          <w:szCs w:val="22"/>
        </w:rPr>
        <w:t xml:space="preserve">Brand-new dataset: TCP (published June 2025) — among the first papers to use this dataset for QML</w:t>
      </w:r>
    </w:p>
    <w:p>
      <w:pPr>
        <w:pStyle w:val="Heading1"/>
        <w:spacing w:after="200" w:before="400"/>
      </w:pPr>
      <w:bookmarkStart w:id="100033" w:name="_Toc100033"/>
      <w:r>
        <w:rPr>
          <w:rFonts w:ascii="Calibri" w:cs="Calibri" w:eastAsia="Calibri" w:hAnsi="Calibri"/>
          <w:b/>
          <w:bCs/>
          <w:color w:val="1B3A5C"/>
          <w:sz w:val="48"/>
          <w:szCs w:val="48"/>
        </w:rPr>
        <w:t xml:space="preserve">13. Dataset Access Priority &amp; Timeline</w:t>
      </w:r>
      <w:bookmarkEnd w:id="100033"/>
    </w:p>
    <w:p>
      <w:pPr>
        <w:spacing w:after="120" w:line="312"/>
        <w:jc w:val="both"/>
      </w:pPr>
      <w:r>
        <w:rPr>
          <w:rFonts w:ascii="Calibri" w:cs="Calibri" w:eastAsia="Calibri" w:hAnsi="Calibri"/>
          <w:sz w:val="22"/>
          <w:szCs w:val="22"/>
        </w:rPr>
        <w:t xml:space="preserve">Obtaining data access is a critical-path item. The following table ranks datasets by access urgency, considering both processing time and research priority: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Priority</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Dataset</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Access Type</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Est. Processing Time</w:t>
            </w:r>
          </w:p>
        </w:tc>
        <w:tc>
          <w:tcPr>
            <w:shd w:fill="1B3A5C" w:val="clear"/>
            <w:tcMar>
              <w:top w:type="dxa" w:w="40"/>
              <w:left w:type="dxa" w:w="60"/>
              <w:bottom w:type="dxa" w:w="40"/>
              <w:right w:type="dxa" w:w="60"/>
            </w:tcMar>
          </w:tcPr>
          <w:p>
            <w:pPr>
              <w:spacing w:after="0"/>
            </w:pPr>
            <w:r>
              <w:rPr>
                <w:rFonts w:ascii="Calibri" w:cs="Calibri" w:eastAsia="Calibri" w:hAnsi="Calibri"/>
                <w:b/>
                <w:bCs/>
                <w:color w:val="FFFFFF"/>
                <w:sz w:val="20"/>
                <w:szCs w:val="20"/>
              </w:rPr>
              <w:t xml:space="preserve">Action Required</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 (Immediate)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COBRE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0 days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Download now</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 (Immediate)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FBIRN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0 days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Download now</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 (Immediate)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MCIC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0 days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Download now</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 (Immediate)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LA5c/CNP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0 days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Download from OpenNeuro</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 (Immediate)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TCP (2025)</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0 days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Download from OpenNeuro ds005237</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 (Immediate)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NUSDAST</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Open</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0 days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Download from NITRC</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 (Week 1-2)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SRPBS-1600</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Application</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2-4 weeks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Submit application to bicr-resource.atr.jp</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 (Week 1-2)</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UK Biobank</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Registered</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1-2 weeks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Register at ukbiobank.ac.uk</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 (Week 2-4)</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BSNIP-1/2</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(DUC)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2-6 weeks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Apply for NDA access + sign DUC</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3 (Week 2-4)</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HCP-EP</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(DUC)</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2-6 weeks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Apply for NDA access + sign DUC</w:t>
            </w:r>
          </w:p>
        </w:tc>
      </w:tr>
      <w:tr>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 (If timeline)</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AMP SCZ</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(DUC)</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4-8 weeks</w:t>
            </w:r>
          </w:p>
        </w:tc>
        <w:tc>
          <w:tcP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Apply for NDA access; large dataset</w:t>
            </w:r>
          </w:p>
        </w:tc>
      </w:tr>
      <w:tr>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 (If timeline)</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NAPLS-3</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NDA (DUC)</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4-8 weeks</w:t>
            </w:r>
          </w:p>
        </w:tc>
        <w:tc>
          <w:tcPr>
            <w:shd w:fill="F0F4F8" w:val="clear"/>
            <w:tcMar>
              <w:top w:type="dxa" w:w="40"/>
              <w:left w:type="dxa" w:w="60"/>
              <w:bottom w:type="dxa" w:w="40"/>
              <w:right w:type="dxa" w:w="60"/>
            </w:tcMar>
          </w:tcPr>
          <w:p>
            <w:pPr>
              <w:spacing w:after="0"/>
            </w:pPr>
            <w:r>
              <w:rPr>
                <w:rFonts w:ascii="Calibri" w:cs="Calibri" w:eastAsia="Calibri" w:hAnsi="Calibri"/>
                <w:b w:val="false"/>
                <w:bCs w:val="false"/>
                <w:color w:val="1a1a2e"/>
                <w:sz w:val="18"/>
                <w:szCs w:val="18"/>
              </w:rPr>
              <w:t xml:space="preserve">Apply for NDA access</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2026-05-24T20:40:53.389Z</dcterms:created>
  <dcterms:modified xsi:type="dcterms:W3CDTF">2026-05-24T20:40:53.389Z</dcterms:modified>
</cp:coreProperties>
</file>

<file path=docProps/custom.xml><?xml version="1.0" encoding="utf-8"?>
<Properties xmlns="http://schemas.openxmlformats.org/officeDocument/2006/custom-properties" xmlns:vt="http://schemas.openxmlformats.org/officeDocument/2006/docPropsVTypes"/>
</file>