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https://docs.google.com/spreadsheets/d/11FqnvlssBcP3-RcAMWKWrvFRQyvogl-0J1two2pNtmA/edit?usp=drive_link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5 entities in the first (financial institutions licensing module)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INFO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Beneficiary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Licenses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entities should be linked with FI types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VASP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MICROBANK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Link should be done by json file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Below is the mapping between entities and FI Types </w:t>
        <w:br w:type="textWrapping"/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 INFO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Branches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Administrators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Beneficiary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VASP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MICROBANK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Each entity will have different number of the properties in different Fi types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Full list of the properties for general info: 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info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"/>
        <w:gridCol w:w="1845"/>
        <w:tblGridChange w:id="0">
          <w:tblGrid>
            <w:gridCol w:w="3210"/>
            <w:gridCol w:w="184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Property name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 Type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FormalComplianceConfirmationDate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FormalSuitabilityConfirmationLetterNumber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LicensingDeadline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LicenseIssuanceDate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LicenseStatus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ForeignBankBranchOrSubsidiary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ForeignReliableBankBranchOrSubsidiary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SignificantServiceProvider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ActualOrHeadOfficeAddress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ContactPersonFullName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ContactPersonIdentificationNumber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ServicingCommercialBanks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ReferenceExchangeRate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Entering General info is splitted in two phases. First phase is the initiation of the FI registration process and second phase is details after initiation, some fields are required . </w:t>
        <w:br w:type="textWrapping"/>
        <w:br w:type="textWrapping"/>
        <w:t xml:space="preserve">Mapping of properties in General info for different FI Types can be found below in tables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9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9.0283400809717"/>
        <w:gridCol w:w="1792.7125506072875"/>
        <w:gridCol w:w="1472.064777327935"/>
        <w:gridCol w:w="1472.064777327935"/>
        <w:gridCol w:w="1472.064777327935"/>
        <w:gridCol w:w="1472.064777327935"/>
        <w:tblGridChange w:id="0">
          <w:tblGrid>
            <w:gridCol w:w="3119.0283400809717"/>
            <w:gridCol w:w="1792.7125506072875"/>
            <w:gridCol w:w="1472.064777327935"/>
            <w:gridCol w:w="1472.064777327935"/>
            <w:gridCol w:w="1472.064777327935"/>
            <w:gridCol w:w="1472.06477732793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ServicingCommercialBanks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ReferenceExchangeRate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CommissionFee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dashed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ServicingCommercialBanks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MFO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ServicingCommercialBanks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ServicingCommercialBanks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LicenseType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SignificantServiceProvider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ActualOrHeadOfficeAddress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ContactPersonFullName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VASP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LicenseType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TradeName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ActualOrHeadOfficeAddress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ContactPersonFullName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FormalComplianceConfirmationDate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FormalSuitabilityConfirmationLetterNumber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LicenseIssuanceDate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LicenseStatus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ForeignBankBranchOrSubsidiary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ForeignReliableBankBranchOrSubsidiary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ActualOrHeadOfficeAddress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ContactPersonFullName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MICROBANK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FormalComplianceConfirmationDate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FormalSuitabilityConfirmationLetterNumber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LicenseIssuanceDate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LicenseStatus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ForeignBankBranchOrSubsidiary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ForeignReliableBankBranchOrSubsidiary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ActualOrHeadOfficeAddress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ContactPersonFullName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BC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8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7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9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.9565807327"/>
        <w:gridCol w:w="1802.4423337856174"/>
        <w:gridCol w:w="1465.4002713704208"/>
        <w:gridCol w:w="1465.4002713704208"/>
        <w:gridCol w:w="1465.4002713704208"/>
        <w:gridCol w:w="1465.4002713704208"/>
        <w:tblGridChange w:id="0">
          <w:tblGrid>
            <w:gridCol w:w="3135.9565807327"/>
            <w:gridCol w:w="1802.4423337856174"/>
            <w:gridCol w:w="1465.4002713704208"/>
            <w:gridCol w:w="1465.4002713704208"/>
            <w:gridCol w:w="1465.4002713704208"/>
            <w:gridCol w:w="1465.400271370420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1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Phase 2 Additional general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 fill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ApplicationReceivedDate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ApplicationRegistrationDeadline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LegalActDate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LegalActNumber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LegalForm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FirmName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LegalAddressRegion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LegalAddressCity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ActualAddress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8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B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ContactPersonPhoneNumber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input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E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1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4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TypeOfActivity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 menu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dashed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Binder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dashed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6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Full list of the properties for Branches: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Mapping of properties in Branches for different FI Types can be found below in tables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Full list of the properties for Administrators: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Mapping of properties in Administrators for different FI Types can be found below in tables 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Full list of the properties for Beneficiaries: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Mapping of properties in Beneficiaries for different FI Types can be found below in tables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Full list of the properties for Licenses: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Mapping of properties in Licenses for different FI Types can be found below in tables 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//TODO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1FqnvlssBcP3-RcAMWKWrvFRQyvogl-0J1two2pNtmA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