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nigj3oi9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GENERAL SOFTWARE DEVELOPMENT STANDARDS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jm5evw82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Coding Principles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KISS</w:t>
      </w:r>
      <w:r w:rsidDel="00000000" w:rsidR="00000000" w:rsidRPr="00000000">
        <w:rPr>
          <w:rtl w:val="0"/>
        </w:rPr>
        <w:t xml:space="preserve"> – Keep it simple.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</w:t>
      </w:r>
      <w:r w:rsidDel="00000000" w:rsidR="00000000" w:rsidRPr="00000000">
        <w:rPr>
          <w:rtl w:val="0"/>
        </w:rPr>
        <w:t xml:space="preserve"> – Don't repeat yourself.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</w:t>
      </w:r>
      <w:r w:rsidDel="00000000" w:rsidR="00000000" w:rsidRPr="00000000">
        <w:rPr>
          <w:rtl w:val="0"/>
        </w:rPr>
        <w:t xml:space="preserve"> – Follow object-oriented design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Code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Methods ≤ 20–50 lines.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should have a single responsibility.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magic numbers &amp; hardcoded strings.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code duplications</w:t>
        <w:br w:type="textWrapping"/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tdd38545k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NAMING CONVENTION STANDARDS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nidfntz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General Naming Rules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 must be </w:t>
      </w:r>
      <w:r w:rsidDel="00000000" w:rsidR="00000000" w:rsidRPr="00000000">
        <w:rPr>
          <w:b w:val="1"/>
          <w:bCs w:val="1"/>
          <w:rtl w:val="0"/>
        </w:rPr>
        <w:t xml:space="preserve">descriptive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short:</w:t>
        <w:br w:type="textWrapping"/>
        <w:t xml:space="preserve"> 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xyz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abbreviations unless widely known (URL, HTML, JSON).</w:t>
        <w:br w:type="textWrapping"/>
      </w:r>
    </w:p>
    <w:p w:rsidR="00000000" w:rsidDel="00000000" w:rsidP="00000000" w:rsidRDefault="00000000" w:rsidRPr="00000000" w14:paraId="00000010">
      <w:pPr>
        <w:pStyle w:val="Heading2"/>
        <w:spacing w:after="80" w:lineRule="auto"/>
        <w:rPr/>
      </w:pPr>
      <w:bookmarkStart w:colFirst="0" w:colLast="0" w:name="_k0dm4qjfzz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Java Naming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camelCase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sendEmail()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camelCase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ALL_CAPS + underscores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PascalCase for name, UPPER_CASE for constants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{ ACTIVE, DISABLED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lowercase, dots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net.fina.moduleName.service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DTO,MetaModel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camelCase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m31x35pgp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JavaScript / TypeScript Naming Standards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6vr018bdvg14" w:id="6"/>
      <w:bookmarkEnd w:id="6"/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625"/>
        <w:gridCol w:w="4410"/>
        <w:tblGridChange w:id="0">
          <w:tblGrid>
            <w:gridCol w:w="2400"/>
            <w:gridCol w:w="2625"/>
            <w:gridCol w:w="4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camelCase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userName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isLoading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camelCase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fetchData()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renderTable()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UserService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ApiClient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Constants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UPPER_CASE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API_URL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MAX_RETRIES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React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UserCard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ReportTable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Utility&amp;helper Files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camelCase.js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appUtil.js,userService.js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 (never)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TypeScript for all new modules.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80" w:lineRule="auto"/>
        <w:rPr/>
      </w:pPr>
      <w:bookmarkStart w:colFirst="0" w:colLast="0" w:name="_7pznsfb6tt1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CONTROL-FLOW &amp; BRANCHING STANDARDS (if/else, switch, loops, etc.)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naagiwi1gxn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General Principles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braces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... }</w:t>
      </w:r>
      <w:r w:rsidDel="00000000" w:rsidR="00000000" w:rsidRPr="00000000">
        <w:rPr>
          <w:rtl w:val="0"/>
        </w:rPr>
        <w:t xml:space="preserve"> for the body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… 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, even if the body contains only one statement. This avoids bugs when additional statements are later added.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statement should stand on its own line.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Oracle+1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nesting levels reasonable — avoid deep nesting. If a block gets complex, consider extracting into a separate method/function.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8zsohyu0v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Java — If / Else / Switch / Loops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Always include braces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even for single-statement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Follow the brace style: opening brace on same line, then newline. Closing brace on its own line.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  <w:t xml:space="preserve"> (or return) in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, unless there is an explicit fall-through, in which case add a comment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falls through</w:t>
      </w:r>
      <w:r w:rsidDel="00000000" w:rsidR="00000000" w:rsidRPr="00000000">
        <w:rPr>
          <w:rtl w:val="0"/>
        </w:rPr>
        <w:t xml:space="preserve"> to signal intent.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braces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around the switch body as usual (per general block rules).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Loops &amp; Other Blocks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 loops follow the same block-and-brace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statement inside loops must be on its own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s1s6ekc3x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JavaScript / TypeScript — If / Else / Switch / Loops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“Egyptian / K&amp;R / 1TBS” style: opening brace on same line as </w:t>
      </w:r>
      <w:r w:rsidDel="00000000" w:rsidR="00000000" w:rsidRPr="00000000">
        <w:rPr>
          <w:color w:val="188038"/>
          <w:rtl w:val="0"/>
        </w:rPr>
        <w:t xml:space="preserve">if (…)</w:t>
      </w:r>
      <w:r w:rsidDel="00000000" w:rsidR="00000000" w:rsidRPr="00000000">
        <w:rPr>
          <w:rtl w:val="0"/>
        </w:rPr>
        <w:t xml:space="preserve">, with space before brace.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JavaScript.info+1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Always use braces for multi-line statements. For single simple statements (e.g. </w:t>
      </w:r>
      <w:r w:rsidDel="00000000" w:rsidR="00000000" w:rsidRPr="00000000">
        <w:rPr>
          <w:color w:val="188038"/>
          <w:rtl w:val="0"/>
        </w:rPr>
        <w:t xml:space="preserve">return …</w:t>
      </w:r>
      <w:r w:rsidDel="00000000" w:rsidR="00000000" w:rsidRPr="00000000">
        <w:rPr>
          <w:rtl w:val="0"/>
        </w:rPr>
        <w:t xml:space="preserve">), some teams may allow a one-liner — but braces are preferred for consistency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often recommended to wrap each </w:t>
      </w:r>
      <w:r w:rsidDel="00000000" w:rsidR="00000000" w:rsidRPr="00000000">
        <w:rPr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block in braces </w:t>
      </w:r>
      <w:r w:rsidDel="00000000" w:rsidR="00000000" w:rsidRPr="00000000">
        <w:rPr>
          <w:color w:val="188038"/>
          <w:rtl w:val="0"/>
        </w:rPr>
        <w:t xml:space="preserve">{ }</w:t>
      </w:r>
      <w:r w:rsidDel="00000000" w:rsidR="00000000" w:rsidRPr="00000000">
        <w:rPr>
          <w:rtl w:val="0"/>
        </w:rPr>
        <w:t xml:space="preserve">. This creates a new scope and prevents issues like duplicate variable declarations across cases.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</w:t>
      </w:r>
      <w:r w:rsidDel="00000000" w:rsidR="00000000" w:rsidRPr="00000000">
        <w:rPr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) unless you intentionally want fall-through. If fall-through is intended, add a comment </w:t>
      </w:r>
      <w:r w:rsidDel="00000000" w:rsidR="00000000" w:rsidRPr="00000000">
        <w:rPr>
          <w:color w:val="188038"/>
          <w:rtl w:val="0"/>
        </w:rPr>
        <w:t xml:space="preserve">// falls through</w:t>
      </w:r>
      <w:r w:rsidDel="00000000" w:rsidR="00000000" w:rsidRPr="00000000">
        <w:rPr>
          <w:rtl w:val="0"/>
        </w:rPr>
        <w:t xml:space="preserve">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Loops &amp; Other Blocks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consistent indentation.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statement should be on its own line; avoid multiple statements on one line.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Conditional (Ternary) Operator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ternary operator for simple conditional assignments / expressions when it improves readability and doesn’t obscure logic. Example: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const result = condition ? exprA : exprB;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hyethlhtii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Java Project Structure &amp; Maven Multi-Modularity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3zehau35035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Jakarta EE Project Structure (REST → ProxyBeans → SessionBeans → Persistence)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Jakarta EE applications (WildFly,Jboss, etc.) we use a layered architecture: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 (JAX-RS) → ProxyBeans (CDI/EJB) → SessionBeans (EJB) → Persistence (JPA)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package structure: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src/main/java/</w:t>
        <w:br w:type="textWrapping"/>
        <w:t xml:space="preserve"> net.fina.project/</w:t>
        <w:br w:type="textWrapping"/>
        <w:t xml:space="preserve"> config/ (JAX-RS activator, CDI config, security config)</w:t>
        <w:br w:type="textWrapping"/>
        <w:t xml:space="preserve"> rest/ (REST resources / controllers – JAX-RS)</w:t>
        <w:br w:type="textWrapping"/>
        <w:t xml:space="preserve"> proxy/ (CDI/EJB façade beans – “ProxyBeans”)</w:t>
        <w:br w:type="textWrapping"/>
        <w:t xml:space="preserve"> server/ (business logic – SessionBeans EJB, API/IMPL folder stucture)</w:t>
        <w:br w:type="textWrapping"/>
        <w:t xml:space="preserve"> persistence/ (entity managers)</w:t>
        <w:br w:type="textWrapping"/>
        <w:t xml:space="preserve"> entities/ (JPA entities / domain models)</w:t>
        <w:br w:type="textWrapping"/>
        <w:t xml:space="preserve"> model/ (Models For Entities)</w:t>
        <w:br w:type="textWrapping"/>
        <w:t xml:space="preserve"> helpers/ (mapping between entity ↔ models)</w:t>
        <w:br w:type="textWrapping"/>
        <w:t xml:space="preserve"> exception/ (application exceptions, exception mappers)</w:t>
        <w:br w:type="textWrapping"/>
        <w:t xml:space="preserve"> util/ (utility classes, helpers)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JAX-RS resource classes.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Exposes REST endpoints only (no business logic).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Depends on proxy layer and Models.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net.fina.project.module.rest.ReportRestService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“Edge” beans used as façade/adapters between REST and EJB session beans.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CDI/EJB beans that call SessionBeans and handle technical concerns (transactions, security context, logging, mapping Models to domain calls).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@ApplicationScoped / @RequestScoped / @Stateless as appropriate.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net.fina.project.module.proxy.ReportProxySession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EJB SessionBeans (@Stateless, @Singleton, @Schedule, etc.).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Implements business logic and orchestrates persistence layer.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not know about REST or HTTP, only domain logic.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net.fina.project.module.server.ReportSessionBean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JPA entity managers, named queries.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Responsible only for data access.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JPA entity classes and other domain objects.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by server and persistence layers.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Transfer Objects used by REST layer (request/response).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Decouple API payloads from internal domain entities.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net.fina.project.dto.ReportMetaModel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between entity ↔ MetaModel (manual or MapStruct).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net.fina.project.mapper.ReportMetaModel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application exceptions and JAX-RS ExceptionMappers.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net.fina.project.exception.FinaTypeExcptionMapper, ReportExceptionMapper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call flow (Jakarta EE):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(HTTP)</w:t>
        <w:br w:type="textWrapping"/>
        <w:t xml:space="preserve"> → REST resource (rest)</w:t>
        <w:br w:type="textWrapping"/>
        <w:t xml:space="preserve"> → ProxyBean (proxy – CDI/EJB)</w:t>
        <w:br w:type="textWrapping"/>
        <w:t xml:space="preserve"> → SessionBean (service – EJB)</w:t>
        <w:br w:type="textWrapping"/>
        <w:t xml:space="preserve"> → persistence – JPA</w:t>
        <w:br w:type="textWrapping"/>
        <w:t xml:space="preserve"> → Database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x8vs7bg98m6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Spring Boot Project Structure (Industry Standard Layered Architecture)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Spring Boot applications we use a standard layered architecture: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Service → Repository → Persistence/Model, with DTOs between controller and service.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package structure: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src/main/java/</w:t>
        <w:br w:type="textWrapping"/>
        <w:t xml:space="preserve"> net.fina.project/</w:t>
        <w:br w:type="textWrapping"/>
        <w:t xml:space="preserve"> config/ (Spring @Configuration classes, security config, etc.)</w:t>
        <w:br w:type="textWrapping"/>
        <w:t xml:space="preserve"> controller/ (REST controllers – @RestController)</w:t>
        <w:br w:type="textWrapping"/>
        <w:t xml:space="preserve"> service/ (business services – @Service)</w:t>
        <w:br w:type="textWrapping"/>
        <w:t xml:space="preserve"> repository/ (Spring Data JPA repositories – @Repository)</w:t>
        <w:br w:type="textWrapping"/>
        <w:t xml:space="preserve"> model/ (JPA entities / domain models – @Entity)</w:t>
        <w:br w:type="textWrapping"/>
        <w:t xml:space="preserve"> dto/ (DTOs for API layer)</w:t>
        <w:br w:type="textWrapping"/>
        <w:t xml:space="preserve"> mapper/ (entity ↔ DTO mapping, MapStruct or manual)</w:t>
        <w:br w:type="textWrapping"/>
        <w:t xml:space="preserve"> security/ (Spring Security configuration, filters, user details)</w:t>
        <w:br w:type="textWrapping"/>
        <w:t xml:space="preserve"> exception/ (global exception handlers)</w:t>
        <w:br w:type="textWrapping"/>
        <w:t xml:space="preserve"> util/ (general utilities, helpers)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MVC / WebFlux REST controllers (@RestController).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HTTP requests, validation, mapping DTOs in/out.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Delegates to service layer; no business logic here.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net.fina.project.controller.ReportController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application/business logic (@Service).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Coordinates repositories and other services.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transactional boundaries (@Transactional).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net.fina.project.service.ReportService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Data JPA repositories (@Repository or interface extending JpaRepository).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Encapsulates all database access.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net.fina.project.repository.ReportRepository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JPA entities / aggregate roots (@Entity).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Represents domain objects persisted to DB.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net.fina.project.model.ReportEntity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Transfer Objects used in controllers and sometimes between modules.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exposing entities directly in REST API.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net.fina.project.dto.ReportRequestDto, ReportResponseDto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mapper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Mapping between entities and DTOs.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use MapStruct or manual mappers.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net.fina.project.mapper.ReportMapper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@Configuration classes (datasource, Jackson, CORS, etc.).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net.fina.project.config.WebConfig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Security config, filters, authentication providers, JWT, etc.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net.fina.project.security.SecurityConfig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error handling using @ControllerAdvice and @ExceptionHandler.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net.fina.project.exception.GlobalExceptionHandler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call flow (Spring Boot):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(HTTP)</w:t>
        <w:br w:type="textWrapping"/>
        <w:t xml:space="preserve"> → REST Controller (controller – @RestController)</w:t>
        <w:br w:type="textWrapping"/>
        <w:t xml:space="preserve"> → Service (service – @Service)</w:t>
        <w:br w:type="textWrapping"/>
        <w:t xml:space="preserve"> → Repository (repository – Spring Data @Repository)</w:t>
        <w:br w:type="textWrapping"/>
        <w:t xml:space="preserve"> → Database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1kli6ein2y4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React (TypeScript) Project Structure – Containers, Components, APIs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React front-end apps we use a layered structure: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Pages / Containers → Components → APIs / Services → Backend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directory layout: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frontend-project/</w:t>
        <w:br w:type="textWrapping"/>
        <w:t xml:space="preserve"> package.json</w:t>
        <w:br w:type="textWrapping"/>
        <w:t xml:space="preserve"> tsconfig.json</w:t>
        <w:br w:type="textWrapping"/>
        <w:t xml:space="preserve"> src/</w:t>
        <w:br w:type="textWrapping"/>
        <w:t xml:space="preserve">   index.tsx</w:t>
        <w:br w:type="textWrapping"/>
        <w:t xml:space="preserve">   App.tsx</w:t>
        <w:br w:type="textWrapping"/>
        <w:t xml:space="preserve">   containers/</w:t>
        <w:br w:type="textWrapping"/>
        <w:t xml:space="preserve">   components/</w:t>
        <w:br w:type="textWrapping"/>
        <w:t xml:space="preserve">   api/</w:t>
        <w:br w:type="textWrapping"/>
        <w:t xml:space="preserve">   api/services</w:t>
        <w:br w:type="textWrapping"/>
        <w:t xml:space="preserve">   hoc/</w:t>
        <w:br w:type="textWrapping"/>
        <w:t xml:space="preserve">   redux/ (if using Redux, etc.)</w:t>
        <w:br w:type="textWrapping"/>
        <w:t xml:space="preserve">   types/</w:t>
        <w:br w:type="textWrapping"/>
        <w:t xml:space="preserve">   styles/</w:t>
        <w:br w:type="textWrapping"/>
        <w:t xml:space="preserve">   locale/</w:t>
        <w:br w:type="textWrapping"/>
        <w:t xml:space="preserve">   util/</w:t>
        <w:br w:type="textWrapping"/>
        <w:t xml:space="preserve">   public/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b w:val="1"/>
          <w:bCs w:val="1"/>
          <w:sz w:val="46"/>
          <w:szCs w:val="46"/>
        </w:rPr>
      </w:pPr>
      <w:bookmarkStart w:colFirst="0" w:colLast="0" w:name="_er2ilmb4dql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Technology Stack Standards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w5058rid8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Jakarta EE Technology Stack (Enterprise Standard)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Jakarta EE applications follow the specifications and APIs provided by the Jakarta Foundation, deployed typically on </w:t>
      </w:r>
      <w:r w:rsidDel="00000000" w:rsidR="00000000" w:rsidRPr="00000000">
        <w:rPr>
          <w:b w:val="1"/>
          <w:bCs w:val="1"/>
          <w:rtl w:val="0"/>
        </w:rPr>
        <w:t xml:space="preserve">WildFly</w:t>
      </w:r>
      <w:r w:rsidDel="00000000" w:rsidR="00000000" w:rsidRPr="00000000">
        <w:rPr>
          <w:rtl w:val="0"/>
        </w:rPr>
        <w:t xml:space="preserve"> or similar application servers.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b8oss798g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Technologies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EJB 3.x (Enterprise JavaBeans)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Stateless / Stateful / Singleton session beans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Timer services / @Schedule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management (@Transactional, CMT)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JPA (Jakarta Persistence) – latest stable version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ORM for persistence layer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 provider: </w:t>
      </w:r>
      <w:r w:rsidDel="00000000" w:rsidR="00000000" w:rsidRPr="00000000">
        <w:rPr>
          <w:b w:val="1"/>
          <w:bCs w:val="1"/>
          <w:rtl w:val="0"/>
        </w:rPr>
        <w:t xml:space="preserve">Hibernate (latest stable version)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criteria API, entity graphs, named queries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Hibernate ORM (latest stable release)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JPA implementation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features: batch fetching, caching, multi-tenancy if needed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CDI (Contexts and Dependency Injection) – latest stable version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Bean lifecycle and dependency injection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for: business beans, proxy/adapters, interceptors, events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JAX-RS (REST API) – latest stable version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RESTful services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JSON-B / Jackson for serialization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 mappers for global error handling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5wtx1vm2l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Server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WildFly (latest stable release)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Jakarta EE platform support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Module-based classloading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Elytron security subsystem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Datasource, JMS (ActiveMQ Artemis), clustering support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s4pv9soo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Jakarta EE Technologies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Bean Validation (Jakarta Validation)</w:t>
      </w:r>
      <w:r w:rsidDel="00000000" w:rsidR="00000000" w:rsidRPr="00000000">
        <w:rPr>
          <w:rtl w:val="0"/>
        </w:rPr>
        <w:t xml:space="preserve"> – @NotNull, @Size, custom constraints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Jakarta Transactions (JTA)</w:t>
      </w:r>
      <w:r w:rsidDel="00000000" w:rsidR="00000000" w:rsidRPr="00000000">
        <w:rPr>
          <w:rtl w:val="0"/>
        </w:rPr>
        <w:t xml:space="preserve"> – container-managed transactions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Jakarta Interceptors</w:t>
      </w:r>
      <w:r w:rsidDel="00000000" w:rsidR="00000000" w:rsidRPr="00000000">
        <w:rPr>
          <w:rtl w:val="0"/>
        </w:rPr>
        <w:t xml:space="preserve"> – logging, auditing, performance metrics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Jakarta Security / Elytron</w:t>
      </w:r>
      <w:r w:rsidDel="00000000" w:rsidR="00000000" w:rsidRPr="00000000">
        <w:rPr>
          <w:rtl w:val="0"/>
        </w:rPr>
        <w:t xml:space="preserve"> – integration with LDAP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hlhljc3q4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Jakarta EE Enterprise Stack Summary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4110"/>
        <w:tblGridChange w:id="0">
          <w:tblGrid>
            <w:gridCol w:w="3780"/>
            <w:gridCol w:w="4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JAX-RS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Proxy / Adapter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CDI / EJB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Stateless EJBs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JPA + Hibernate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Runtime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WildFly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Elytron, Keycloak (OIDC)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c83ru1jcdo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Spring Boot Technology Stack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Boot applications follow industry standards commonly used in microservices and enterprise systems.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xtd7owdnt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Technologies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 (latest LTS)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Auto-configuration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 server (Tomcat/Jetty/Netty)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Externalized configuration via YAML/Properties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Web / Spring MVC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controllers (@RestController)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serialization with Jackson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request/response validation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Data JPA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JPA repository abstractions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Paging, sorting, derived queries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 provider: Hibernate ORM (latest)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Security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authentication (default approach)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Method-level security (@PreAuthorize)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with OAuth2 / Keycloak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Validation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Bean validation with Jakarta Validation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@Valid, custom validators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AOP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Cross-cutting concerns (logging, auditing, metrics)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rbtgh5tqr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&amp; Dependency Management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Maven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Gradle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Initializr as the standard project generator</w:t>
        <w:br w:type="textWrapping"/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09tj5qtev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Access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Hibernate ORM</w:t>
      </w:r>
      <w:r w:rsidDel="00000000" w:rsidR="00000000" w:rsidRPr="00000000">
        <w:rPr>
          <w:rtl w:val="0"/>
        </w:rPr>
        <w:t xml:space="preserve"> (default JPA provider)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b w:val="1"/>
          <w:bCs w:val="1"/>
          <w:rtl w:val="0"/>
        </w:rPr>
        <w:t xml:space="preserve">Flyway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Liquibase</w:t>
      </w:r>
      <w:r w:rsidDel="00000000" w:rsidR="00000000" w:rsidRPr="00000000">
        <w:rPr>
          <w:rtl w:val="0"/>
        </w:rPr>
        <w:t xml:space="preserve"> for schema migrations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hejrlkffg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Stack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JUnit 5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Spring Boot Test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MockMvc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Testcontainers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Mockito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z769yc11t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Spring Boot Enterprise Stack Summary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5"/>
        <w:gridCol w:w="3410"/>
        <w:tblGridChange w:id="0">
          <w:tblGrid>
            <w:gridCol w:w="1745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Spring MVC / WebFlux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@Service components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Spring Data JPA + Hibernate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Spring Security + JWT / OAuth2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Server Runtime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Embedded Tomcat (default)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Spring Boot config + profiles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Spring Actuator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Deployments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Docker / Kubernetes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oogle.github.io/styleguide/javaguide.html?utm_source=chatgpt.com" TargetMode="External"/><Relationship Id="rId10" Type="http://schemas.openxmlformats.org/officeDocument/2006/relationships/hyperlink" Target="https://www.oracle.com/java/technologies/javase/codeconventions-statements.html?utm_source=chatgpt.com" TargetMode="External"/><Relationship Id="rId13" Type="http://schemas.openxmlformats.org/officeDocument/2006/relationships/hyperlink" Target="https://javascript.info/coding-style?utm_source=chatgpt.com" TargetMode="External"/><Relationship Id="rId12" Type="http://schemas.openxmlformats.org/officeDocument/2006/relationships/hyperlink" Target="https://javascript.info/coding-styl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racle.com/java/technologies/javase/codeconventions-statements.html?utm_source=chatgpt.com" TargetMode="External"/><Relationship Id="rId15" Type="http://schemas.openxmlformats.org/officeDocument/2006/relationships/hyperlink" Target="https://www.oracle.com/java/technologies/javase/codeconventions-statements.html?utm_source=chatgpt.com" TargetMode="External"/><Relationship Id="rId14" Type="http://schemas.openxmlformats.org/officeDocument/2006/relationships/hyperlink" Target="https://mrcoles.com/curly-braces-javascript-switch/?utm_source=chatgpt.com" TargetMode="External"/><Relationship Id="rId17" Type="http://schemas.openxmlformats.org/officeDocument/2006/relationships/hyperlink" Target="https://www.oracle.com/java/technologies/javase/codeconventions-statements.html?utm_source=chatgpt.com" TargetMode="External"/><Relationship Id="rId16" Type="http://schemas.openxmlformats.org/officeDocument/2006/relationships/hyperlink" Target="https://standardjs.com/rules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gle.github.io/styleguide/javaguide.html?utm_source=chatgpt.com" TargetMode="External"/><Relationship Id="rId7" Type="http://schemas.openxmlformats.org/officeDocument/2006/relationships/hyperlink" Target="https://google.github.io/styleguide/javaguide.html?utm_source=chatgpt.com" TargetMode="External"/><Relationship Id="rId8" Type="http://schemas.openxmlformats.org/officeDocument/2006/relationships/hyperlink" Target="https://www.oracle.com/java/technologies/javase/codeconventions-statements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