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2C2EA" w14:textId="5B91BCA1" w:rsidR="00AD683C" w:rsidRPr="00AD683C" w:rsidRDefault="00AD683C" w:rsidP="00AD683C">
      <w:pPr>
        <w:ind w:left="1304" w:right="1444"/>
        <w:jc w:val="center"/>
        <w:rPr>
          <w:rFonts w:ascii="Times New Roman" w:hAnsi="Times New Roman" w:cs="Times New Roman"/>
          <w:sz w:val="32"/>
        </w:rPr>
      </w:pPr>
      <w:r w:rsidRPr="008A4F7D">
        <w:rPr>
          <w:rFonts w:ascii="Times New Roman" w:hAnsi="Times New Roman" w:cs="Times New Roman"/>
          <w:sz w:val="32"/>
        </w:rPr>
        <w:t>NORTHEASTERN</w:t>
      </w:r>
      <w:r w:rsidRPr="008A4F7D">
        <w:rPr>
          <w:rFonts w:ascii="Times New Roman" w:hAnsi="Times New Roman" w:cs="Times New Roman"/>
          <w:spacing w:val="-11"/>
          <w:sz w:val="32"/>
        </w:rPr>
        <w:t xml:space="preserve"> </w:t>
      </w:r>
      <w:r w:rsidRPr="008A4F7D">
        <w:rPr>
          <w:rFonts w:ascii="Times New Roman" w:hAnsi="Times New Roman" w:cs="Times New Roman"/>
          <w:spacing w:val="-2"/>
          <w:sz w:val="32"/>
        </w:rPr>
        <w:t>UNIVERSITY</w:t>
      </w:r>
    </w:p>
    <w:p w14:paraId="4FEC7974" w14:textId="77777777" w:rsidR="00AD683C" w:rsidRPr="008A4F7D" w:rsidRDefault="00AD683C" w:rsidP="00AD683C">
      <w:pPr>
        <w:pStyle w:val="BodyText"/>
        <w:jc w:val="center"/>
        <w:rPr>
          <w:rFonts w:ascii="Times New Roman" w:hAnsi="Times New Roman" w:cs="Times New Roman"/>
          <w:sz w:val="20"/>
        </w:rPr>
      </w:pPr>
    </w:p>
    <w:p w14:paraId="0D6EB030" w14:textId="4DB5BBFF" w:rsidR="00AD683C" w:rsidRPr="00AD683C" w:rsidRDefault="00AD683C" w:rsidP="00AD683C">
      <w:pPr>
        <w:pStyle w:val="BodyText"/>
        <w:spacing w:before="112"/>
        <w:jc w:val="center"/>
        <w:rPr>
          <w:rFonts w:ascii="Times New Roman" w:hAnsi="Times New Roman" w:cs="Times New Roman"/>
          <w:sz w:val="20"/>
        </w:rPr>
      </w:pPr>
      <w:r w:rsidRPr="008A4F7D">
        <w:rPr>
          <w:rFonts w:ascii="Times New Roman" w:hAnsi="Times New Roman" w:cs="Times New Roman"/>
          <w:noProof/>
          <w:sz w:val="20"/>
        </w:rPr>
        <w:drawing>
          <wp:anchor distT="0" distB="0" distL="0" distR="0" simplePos="0" relativeHeight="251659264" behindDoc="1" locked="0" layoutInCell="1" allowOverlap="1" wp14:anchorId="39CD1D5E" wp14:editId="0CEC6F66">
            <wp:simplePos x="0" y="0"/>
            <wp:positionH relativeFrom="page">
              <wp:posOffset>2751454</wp:posOffset>
            </wp:positionH>
            <wp:positionV relativeFrom="paragraph">
              <wp:posOffset>232430</wp:posOffset>
            </wp:positionV>
            <wp:extent cx="2048674" cy="2033777"/>
            <wp:effectExtent l="0" t="0" r="0" b="0"/>
            <wp:wrapTopAndBottom/>
            <wp:docPr id="1463282941" name="Image 1" descr="A logo of a universit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3282941" name="Image 1" descr="A logo of a university&#10;&#10;AI-generated content may be incorrect."/>
                    <pic:cNvPicPr/>
                  </pic:nvPicPr>
                  <pic:blipFill>
                    <a:blip r:embed="rId6" cstate="print"/>
                    <a:stretch>
                      <a:fillRect/>
                    </a:stretch>
                  </pic:blipFill>
                  <pic:spPr>
                    <a:xfrm>
                      <a:off x="0" y="0"/>
                      <a:ext cx="2048674" cy="2033777"/>
                    </a:xfrm>
                    <a:prstGeom prst="rect">
                      <a:avLst/>
                    </a:prstGeom>
                  </pic:spPr>
                </pic:pic>
              </a:graphicData>
            </a:graphic>
          </wp:anchor>
        </w:drawing>
      </w:r>
    </w:p>
    <w:p w14:paraId="6A69E399" w14:textId="77777777" w:rsidR="00AD683C" w:rsidRPr="008A4F7D" w:rsidRDefault="00AD683C" w:rsidP="00AD683C">
      <w:pPr>
        <w:pStyle w:val="BodyText"/>
        <w:spacing w:before="327"/>
        <w:jc w:val="center"/>
        <w:rPr>
          <w:rFonts w:ascii="Times New Roman" w:hAnsi="Times New Roman" w:cs="Times New Roman"/>
          <w:sz w:val="32"/>
        </w:rPr>
      </w:pPr>
    </w:p>
    <w:p w14:paraId="7B4D4D54" w14:textId="77777777" w:rsidR="00AD683C" w:rsidRDefault="00AD683C" w:rsidP="00AD683C">
      <w:pPr>
        <w:spacing w:line="463" w:lineRule="auto"/>
        <w:ind w:right="1012"/>
        <w:jc w:val="center"/>
        <w:rPr>
          <w:rFonts w:ascii="Times New Roman" w:hAnsi="Times New Roman" w:cs="Times New Roman"/>
          <w:sz w:val="32"/>
        </w:rPr>
      </w:pPr>
      <w:r>
        <w:rPr>
          <w:rFonts w:ascii="Times New Roman" w:hAnsi="Times New Roman" w:cs="Times New Roman"/>
          <w:sz w:val="32"/>
        </w:rPr>
        <w:t xml:space="preserve">          Name</w:t>
      </w:r>
      <w:r w:rsidRPr="008A4F7D">
        <w:rPr>
          <w:rFonts w:ascii="Times New Roman" w:hAnsi="Times New Roman" w:cs="Times New Roman"/>
          <w:sz w:val="32"/>
        </w:rPr>
        <w:t xml:space="preserve"> </w:t>
      </w:r>
      <w:r>
        <w:rPr>
          <w:rFonts w:ascii="Times New Roman" w:hAnsi="Times New Roman" w:cs="Times New Roman"/>
          <w:sz w:val="32"/>
        </w:rPr>
        <w:t>–</w:t>
      </w:r>
      <w:r w:rsidRPr="008A4F7D">
        <w:rPr>
          <w:rFonts w:ascii="Times New Roman" w:hAnsi="Times New Roman" w:cs="Times New Roman"/>
          <w:sz w:val="32"/>
        </w:rPr>
        <w:t xml:space="preserve"> </w:t>
      </w:r>
      <w:r>
        <w:rPr>
          <w:rFonts w:ascii="Times New Roman" w:hAnsi="Times New Roman" w:cs="Times New Roman"/>
          <w:sz w:val="32"/>
        </w:rPr>
        <w:t xml:space="preserve">Dev </w:t>
      </w:r>
      <w:proofErr w:type="spellStart"/>
      <w:r>
        <w:rPr>
          <w:rFonts w:ascii="Times New Roman" w:hAnsi="Times New Roman" w:cs="Times New Roman"/>
          <w:sz w:val="32"/>
        </w:rPr>
        <w:t>Bhadreshkumar</w:t>
      </w:r>
      <w:proofErr w:type="spellEnd"/>
      <w:r>
        <w:rPr>
          <w:rFonts w:ascii="Times New Roman" w:hAnsi="Times New Roman" w:cs="Times New Roman"/>
          <w:sz w:val="32"/>
        </w:rPr>
        <w:t xml:space="preserve"> Panchal</w:t>
      </w:r>
      <w:r w:rsidRPr="008A4F7D">
        <w:rPr>
          <w:rFonts w:ascii="Times New Roman" w:hAnsi="Times New Roman" w:cs="Times New Roman"/>
          <w:sz w:val="32"/>
        </w:rPr>
        <w:t xml:space="preserve"> </w:t>
      </w:r>
    </w:p>
    <w:p w14:paraId="5F9C8D2B" w14:textId="21C94D61" w:rsidR="00AD683C" w:rsidRPr="008A4F7D" w:rsidRDefault="00AD683C" w:rsidP="00AD683C">
      <w:pPr>
        <w:spacing w:line="463" w:lineRule="auto"/>
        <w:ind w:right="1012"/>
        <w:jc w:val="center"/>
        <w:rPr>
          <w:rFonts w:ascii="Times New Roman" w:hAnsi="Times New Roman" w:cs="Times New Roman"/>
          <w:spacing w:val="-7"/>
          <w:sz w:val="32"/>
        </w:rPr>
      </w:pPr>
      <w:r>
        <w:rPr>
          <w:rFonts w:ascii="Times New Roman" w:hAnsi="Times New Roman" w:cs="Times New Roman"/>
          <w:sz w:val="32"/>
        </w:rPr>
        <w:t xml:space="preserve">         </w:t>
      </w:r>
      <w:proofErr w:type="spellStart"/>
      <w:r>
        <w:rPr>
          <w:rFonts w:ascii="Times New Roman" w:hAnsi="Times New Roman" w:cs="Times New Roman"/>
          <w:sz w:val="32"/>
        </w:rPr>
        <w:t>RProject</w:t>
      </w:r>
      <w:proofErr w:type="spellEnd"/>
      <w:r>
        <w:rPr>
          <w:rFonts w:ascii="Times New Roman" w:hAnsi="Times New Roman" w:cs="Times New Roman"/>
          <w:sz w:val="32"/>
        </w:rPr>
        <w:t xml:space="preserve"> </w:t>
      </w:r>
      <w:r w:rsidR="00103DF8">
        <w:rPr>
          <w:rFonts w:ascii="Times New Roman" w:hAnsi="Times New Roman" w:cs="Times New Roman"/>
          <w:sz w:val="32"/>
        </w:rPr>
        <w:t>5</w:t>
      </w:r>
      <w:r>
        <w:rPr>
          <w:rFonts w:ascii="Times New Roman" w:hAnsi="Times New Roman" w:cs="Times New Roman"/>
          <w:sz w:val="32"/>
        </w:rPr>
        <w:t xml:space="preserve"> </w:t>
      </w:r>
      <w:r w:rsidRPr="008A4F7D">
        <w:rPr>
          <w:rFonts w:ascii="Times New Roman" w:hAnsi="Times New Roman" w:cs="Times New Roman"/>
          <w:sz w:val="32"/>
        </w:rPr>
        <w:t>Assignment</w:t>
      </w:r>
    </w:p>
    <w:p w14:paraId="13E09BFE" w14:textId="77777777" w:rsidR="00AD683C" w:rsidRDefault="00AD683C" w:rsidP="00AD683C">
      <w:pPr>
        <w:spacing w:before="3"/>
        <w:ind w:right="139"/>
        <w:jc w:val="center"/>
        <w:rPr>
          <w:rFonts w:ascii="Times New Roman" w:hAnsi="Times New Roman" w:cs="Times New Roman"/>
          <w:sz w:val="32"/>
        </w:rPr>
      </w:pPr>
      <w:r w:rsidRPr="008A4F7D">
        <w:rPr>
          <w:rFonts w:ascii="Times New Roman" w:hAnsi="Times New Roman" w:cs="Times New Roman"/>
          <w:sz w:val="32"/>
        </w:rPr>
        <w:t>CLASS</w:t>
      </w:r>
      <w:r w:rsidRPr="008A4F7D">
        <w:rPr>
          <w:rFonts w:ascii="Times New Roman" w:hAnsi="Times New Roman" w:cs="Times New Roman"/>
          <w:spacing w:val="-2"/>
          <w:sz w:val="32"/>
        </w:rPr>
        <w:t xml:space="preserve"> </w:t>
      </w:r>
      <w:r w:rsidRPr="008A4F7D">
        <w:rPr>
          <w:rFonts w:ascii="Times New Roman" w:hAnsi="Times New Roman" w:cs="Times New Roman"/>
          <w:sz w:val="32"/>
        </w:rPr>
        <w:t>NUMBER</w:t>
      </w:r>
      <w:r w:rsidRPr="008A4F7D">
        <w:rPr>
          <w:rFonts w:ascii="Times New Roman" w:hAnsi="Times New Roman" w:cs="Times New Roman"/>
          <w:spacing w:val="-1"/>
          <w:sz w:val="32"/>
        </w:rPr>
        <w:t xml:space="preserve"> </w:t>
      </w:r>
      <w:r w:rsidRPr="008A4F7D">
        <w:rPr>
          <w:rFonts w:ascii="Times New Roman" w:hAnsi="Times New Roman" w:cs="Times New Roman"/>
          <w:sz w:val="32"/>
        </w:rPr>
        <w:t>-</w:t>
      </w:r>
      <w:r w:rsidRPr="008A4F7D">
        <w:rPr>
          <w:rFonts w:ascii="Times New Roman" w:hAnsi="Times New Roman" w:cs="Times New Roman"/>
          <w:spacing w:val="-1"/>
          <w:sz w:val="32"/>
        </w:rPr>
        <w:t xml:space="preserve"> </w:t>
      </w:r>
      <w:r w:rsidRPr="008A4F7D">
        <w:rPr>
          <w:rFonts w:ascii="Times New Roman" w:hAnsi="Times New Roman" w:cs="Times New Roman"/>
          <w:sz w:val="32"/>
        </w:rPr>
        <w:t>ALY</w:t>
      </w:r>
      <w:r w:rsidRPr="008A4F7D">
        <w:rPr>
          <w:rFonts w:ascii="Times New Roman" w:hAnsi="Times New Roman" w:cs="Times New Roman"/>
          <w:spacing w:val="-1"/>
          <w:sz w:val="32"/>
        </w:rPr>
        <w:t xml:space="preserve"> </w:t>
      </w:r>
      <w:r w:rsidRPr="008A4F7D">
        <w:rPr>
          <w:rFonts w:ascii="Times New Roman" w:hAnsi="Times New Roman" w:cs="Times New Roman"/>
          <w:spacing w:val="-4"/>
          <w:sz w:val="32"/>
        </w:rPr>
        <w:t>601</w:t>
      </w:r>
      <w:r>
        <w:rPr>
          <w:rFonts w:ascii="Times New Roman" w:hAnsi="Times New Roman" w:cs="Times New Roman"/>
          <w:spacing w:val="-4"/>
          <w:sz w:val="32"/>
        </w:rPr>
        <w:t>0</w:t>
      </w:r>
    </w:p>
    <w:p w14:paraId="2ACD0BEF" w14:textId="77777777" w:rsidR="00AD683C" w:rsidRPr="008A4F7D" w:rsidRDefault="00AD683C" w:rsidP="00AD683C">
      <w:pPr>
        <w:spacing w:before="344" w:line="463" w:lineRule="auto"/>
        <w:ind w:left="1304" w:right="1444"/>
        <w:jc w:val="center"/>
        <w:rPr>
          <w:rFonts w:ascii="Times New Roman" w:hAnsi="Times New Roman" w:cs="Times New Roman"/>
          <w:sz w:val="32"/>
        </w:rPr>
      </w:pPr>
      <w:r w:rsidRPr="008A4F7D">
        <w:rPr>
          <w:rFonts w:ascii="Times New Roman" w:hAnsi="Times New Roman" w:cs="Times New Roman"/>
          <w:sz w:val="32"/>
        </w:rPr>
        <w:t xml:space="preserve">CRN NUMBER – </w:t>
      </w:r>
      <w:r>
        <w:rPr>
          <w:rFonts w:ascii="Times New Roman" w:hAnsi="Times New Roman" w:cs="Times New Roman"/>
          <w:sz w:val="32"/>
        </w:rPr>
        <w:t>20377</w:t>
      </w:r>
    </w:p>
    <w:p w14:paraId="174F8D31" w14:textId="77777777" w:rsidR="00AD683C" w:rsidRDefault="00AD683C" w:rsidP="00AD683C">
      <w:pPr>
        <w:spacing w:before="4" w:line="463" w:lineRule="auto"/>
        <w:ind w:left="1563" w:right="1703" w:hanging="1"/>
        <w:jc w:val="center"/>
        <w:rPr>
          <w:rFonts w:ascii="Times New Roman" w:hAnsi="Times New Roman" w:cs="Times New Roman"/>
          <w:sz w:val="32"/>
        </w:rPr>
      </w:pPr>
      <w:r w:rsidRPr="008A4F7D">
        <w:rPr>
          <w:rFonts w:ascii="Times New Roman" w:hAnsi="Times New Roman" w:cs="Times New Roman"/>
          <w:sz w:val="32"/>
        </w:rPr>
        <w:t xml:space="preserve">PROFESSOR :- </w:t>
      </w:r>
      <w:r>
        <w:rPr>
          <w:rFonts w:ascii="Times New Roman" w:hAnsi="Times New Roman" w:cs="Times New Roman"/>
          <w:sz w:val="32"/>
        </w:rPr>
        <w:t xml:space="preserve">Antonius </w:t>
      </w:r>
      <w:proofErr w:type="spellStart"/>
      <w:r>
        <w:rPr>
          <w:rFonts w:ascii="Times New Roman" w:hAnsi="Times New Roman" w:cs="Times New Roman"/>
          <w:sz w:val="32"/>
        </w:rPr>
        <w:t>Breur</w:t>
      </w:r>
      <w:proofErr w:type="spellEnd"/>
    </w:p>
    <w:p w14:paraId="61E86192" w14:textId="77777777" w:rsidR="00AD683C" w:rsidRPr="008A4F7D" w:rsidRDefault="00AD683C" w:rsidP="00AD683C">
      <w:pPr>
        <w:spacing w:before="4" w:line="463" w:lineRule="auto"/>
        <w:ind w:left="1563" w:right="1703" w:hanging="1"/>
        <w:jc w:val="center"/>
        <w:rPr>
          <w:rFonts w:ascii="Times New Roman" w:hAnsi="Times New Roman" w:cs="Times New Roman"/>
          <w:sz w:val="32"/>
        </w:rPr>
      </w:pPr>
      <w:r w:rsidRPr="008A4F7D">
        <w:rPr>
          <w:rFonts w:ascii="Times New Roman" w:hAnsi="Times New Roman" w:cs="Times New Roman"/>
          <w:spacing w:val="-12"/>
          <w:sz w:val="32"/>
        </w:rPr>
        <w:t xml:space="preserve"> </w:t>
      </w:r>
      <w:r w:rsidRPr="008A4F7D">
        <w:rPr>
          <w:rFonts w:ascii="Times New Roman" w:hAnsi="Times New Roman" w:cs="Times New Roman"/>
          <w:sz w:val="32"/>
        </w:rPr>
        <w:t>MAIL</w:t>
      </w:r>
      <w:r w:rsidRPr="008A4F7D">
        <w:rPr>
          <w:rFonts w:ascii="Times New Roman" w:hAnsi="Times New Roman" w:cs="Times New Roman"/>
          <w:spacing w:val="-12"/>
          <w:sz w:val="32"/>
        </w:rPr>
        <w:t xml:space="preserve"> </w:t>
      </w:r>
      <w:r>
        <w:rPr>
          <w:rFonts w:ascii="Times New Roman" w:hAnsi="Times New Roman" w:cs="Times New Roman"/>
          <w:sz w:val="32"/>
        </w:rPr>
        <w:t>–</w:t>
      </w:r>
      <w:r w:rsidRPr="008A4F7D">
        <w:rPr>
          <w:rFonts w:ascii="Times New Roman" w:hAnsi="Times New Roman" w:cs="Times New Roman"/>
          <w:spacing w:val="-12"/>
          <w:sz w:val="32"/>
        </w:rPr>
        <w:t xml:space="preserve"> </w:t>
      </w:r>
      <w:hyperlink r:id="rId7" w:history="1">
        <w:r w:rsidRPr="00507F9C">
          <w:rPr>
            <w:rStyle w:val="Hyperlink"/>
            <w:rFonts w:ascii="Times New Roman" w:hAnsi="Times New Roman" w:cs="Times New Roman"/>
            <w:sz w:val="32"/>
          </w:rPr>
          <w:t>panchal.devb@northeastern.edu</w:t>
        </w:r>
      </w:hyperlink>
    </w:p>
    <w:p w14:paraId="2AF416E6" w14:textId="77777777" w:rsidR="00AD683C" w:rsidRPr="008A4F7D" w:rsidRDefault="00AD683C" w:rsidP="00AD683C">
      <w:pPr>
        <w:pStyle w:val="BodyText"/>
        <w:jc w:val="center"/>
        <w:rPr>
          <w:rFonts w:ascii="Times New Roman" w:hAnsi="Times New Roman" w:cs="Times New Roman"/>
          <w:sz w:val="32"/>
        </w:rPr>
      </w:pPr>
    </w:p>
    <w:p w14:paraId="59218844" w14:textId="77777777" w:rsidR="00AD683C" w:rsidRPr="008A4F7D" w:rsidRDefault="00AD683C" w:rsidP="00AD683C">
      <w:pPr>
        <w:pStyle w:val="BodyText"/>
        <w:spacing w:before="185"/>
        <w:jc w:val="center"/>
        <w:rPr>
          <w:rFonts w:ascii="Times New Roman" w:hAnsi="Times New Roman" w:cs="Times New Roman"/>
          <w:sz w:val="32"/>
        </w:rPr>
      </w:pPr>
    </w:p>
    <w:p w14:paraId="3240DC46" w14:textId="0C4978D3" w:rsidR="00AD683C" w:rsidRPr="00AD683C" w:rsidRDefault="00AD683C" w:rsidP="00AD683C">
      <w:pPr>
        <w:pStyle w:val="Title"/>
        <w:jc w:val="center"/>
        <w:rPr>
          <w:rFonts w:ascii="Times New Roman" w:hAnsi="Times New Roman" w:cs="Times New Roman"/>
          <w:sz w:val="32"/>
          <w:szCs w:val="32"/>
        </w:rPr>
      </w:pPr>
      <w:r>
        <w:rPr>
          <w:rFonts w:ascii="Times New Roman" w:hAnsi="Times New Roman" w:cs="Times New Roman"/>
          <w:color w:val="397C22"/>
          <w:sz w:val="32"/>
          <w:szCs w:val="32"/>
        </w:rPr>
        <w:t>AI Platform Performance</w:t>
      </w:r>
      <w:r w:rsidRPr="0031587E">
        <w:rPr>
          <w:rFonts w:ascii="Times New Roman" w:hAnsi="Times New Roman" w:cs="Times New Roman"/>
          <w:color w:val="397C22"/>
          <w:sz w:val="32"/>
          <w:szCs w:val="32"/>
        </w:rPr>
        <w:t xml:space="preserve"> Analysis</w:t>
      </w:r>
      <w:r w:rsidRPr="0031587E">
        <w:rPr>
          <w:rFonts w:ascii="Times New Roman" w:hAnsi="Times New Roman" w:cs="Times New Roman"/>
          <w:color w:val="397C22"/>
          <w:spacing w:val="-3"/>
          <w:sz w:val="32"/>
          <w:szCs w:val="32"/>
        </w:rPr>
        <w:t xml:space="preserve"> </w:t>
      </w:r>
      <w:r w:rsidRPr="0031587E">
        <w:rPr>
          <w:rFonts w:ascii="Times New Roman" w:hAnsi="Times New Roman" w:cs="Times New Roman"/>
          <w:color w:val="397C22"/>
          <w:spacing w:val="-2"/>
          <w:sz w:val="32"/>
          <w:szCs w:val="32"/>
        </w:rPr>
        <w:t>Report</w:t>
      </w:r>
    </w:p>
    <w:p w14:paraId="751909EA" w14:textId="77777777" w:rsidR="0081107E" w:rsidRPr="00AD683C" w:rsidRDefault="00000000">
      <w:pPr>
        <w:rPr>
          <w:rFonts w:ascii="Times New Roman" w:hAnsi="Times New Roman" w:cs="Times New Roman"/>
          <w:b/>
          <w:bCs/>
          <w:sz w:val="28"/>
          <w:szCs w:val="28"/>
        </w:rPr>
      </w:pPr>
      <w:r w:rsidRPr="00AD683C">
        <w:rPr>
          <w:rFonts w:ascii="Times New Roman" w:hAnsi="Times New Roman" w:cs="Times New Roman"/>
          <w:b/>
          <w:bCs/>
          <w:sz w:val="28"/>
          <w:szCs w:val="28"/>
        </w:rPr>
        <w:lastRenderedPageBreak/>
        <w:t>Correlation Analysis Insights</w:t>
      </w:r>
    </w:p>
    <w:p w14:paraId="5C9E5C34" w14:textId="6A8D50B2" w:rsidR="0081107E" w:rsidRPr="00AD683C" w:rsidRDefault="00C30533">
      <w:pPr>
        <w:rPr>
          <w:rFonts w:ascii="Times New Roman" w:hAnsi="Times New Roman" w:cs="Times New Roman"/>
        </w:rPr>
      </w:pPr>
      <w:r>
        <w:rPr>
          <w:rFonts w:ascii="Times New Roman" w:hAnsi="Times New Roman" w:cs="Times New Roman"/>
        </w:rPr>
        <w:t>The</w:t>
      </w:r>
      <w:r w:rsidR="00000000" w:rsidRPr="00AD683C">
        <w:rPr>
          <w:rFonts w:ascii="Times New Roman" w:hAnsi="Times New Roman" w:cs="Times New Roman"/>
        </w:rPr>
        <w:t xml:space="preserve"> analysis of five key performance metrics reveals crucial relationships driving AI platform success. The strong negative correlation (-0.92) between Daily_Churn_Rate and Retention_Rate demonstrates that user retention is heavily influenced by daily churn patterns, suggesting that even small improvements in reducing churn could significantly boost overall retention. This relationship emphasizes the critical importance of early intervention in user engagement strategies.</w:t>
      </w:r>
    </w:p>
    <w:p w14:paraId="42441D05" w14:textId="77777777" w:rsidR="0081107E" w:rsidRPr="00AD683C" w:rsidRDefault="00000000">
      <w:pPr>
        <w:rPr>
          <w:rFonts w:ascii="Times New Roman" w:hAnsi="Times New Roman" w:cs="Times New Roman"/>
        </w:rPr>
      </w:pPr>
      <w:r w:rsidRPr="00AD683C">
        <w:rPr>
          <w:rFonts w:ascii="Times New Roman" w:hAnsi="Times New Roman" w:cs="Times New Roman"/>
        </w:rPr>
        <w:t>The positive correlation (0.73) between Response_Accuracy and User_Return_Frequency indicates that accurate responses are fundamental to user loyalty. When users receive accurate responses, they are substantially more likely to return to the platform, creating a virtuous cycle of engagement. This finding underscores the importance of maintaining and improving response quality as a key driver of platform success.</w:t>
      </w:r>
    </w:p>
    <w:p w14:paraId="4A1A1265" w14:textId="77777777" w:rsidR="0081107E" w:rsidRPr="00AD683C" w:rsidRDefault="00000000">
      <w:pPr>
        <w:rPr>
          <w:rFonts w:ascii="Times New Roman" w:hAnsi="Times New Roman" w:cs="Times New Roman"/>
        </w:rPr>
      </w:pPr>
      <w:r w:rsidRPr="00AD683C">
        <w:rPr>
          <w:rFonts w:ascii="Times New Roman" w:hAnsi="Times New Roman" w:cs="Times New Roman"/>
        </w:rPr>
        <w:t>Active_Users showing a moderate positive correlation (0.65) with Retention_Rate suggests that platforms benefit from network effects. As the active user base grows, the platform becomes more valuable to existing users, leading to improved retention. This relationship highlights the importance of growth strategies that focus on both user acquisition and engagement. </w:t>
      </w:r>
    </w:p>
    <w:p w14:paraId="654094C4" w14:textId="257899EA" w:rsidR="0081107E" w:rsidRPr="00AD683C" w:rsidRDefault="007C21B3">
      <w:pPr>
        <w:rPr>
          <w:rFonts w:ascii="Times New Roman" w:hAnsi="Times New Roman" w:cs="Times New Roman"/>
        </w:rPr>
      </w:pPr>
      <w:r w:rsidRPr="00AD683C">
        <w:rPr>
          <w:rFonts w:ascii="Times New Roman" w:eastAsia="Times New Roman" w:hAnsi="Times New Roman" w:cs="Times New Roman"/>
          <w:noProof/>
          <w:color w:val="333333"/>
          <w:sz w:val="21"/>
          <w:szCs w:val="21"/>
        </w:rPr>
        <w:drawing>
          <wp:inline distT="0" distB="0" distL="0" distR="0" wp14:anchorId="1EB5604E" wp14:editId="67EFA544">
            <wp:extent cx="5486400" cy="3704372"/>
            <wp:effectExtent l="0" t="0" r="0" b="4445"/>
            <wp:docPr id="1660307111" name="Picture 3" descr="Correlation Matrix of Key Performance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rrelation Matrix of Key Performance Metric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704372"/>
                    </a:xfrm>
                    <a:prstGeom prst="rect">
                      <a:avLst/>
                    </a:prstGeom>
                    <a:noFill/>
                    <a:ln>
                      <a:noFill/>
                    </a:ln>
                  </pic:spPr>
                </pic:pic>
              </a:graphicData>
            </a:graphic>
          </wp:inline>
        </w:drawing>
      </w:r>
    </w:p>
    <w:p w14:paraId="79980881" w14:textId="7BD13358" w:rsidR="0081107E" w:rsidRPr="00AD683C" w:rsidRDefault="00000000">
      <w:pPr>
        <w:rPr>
          <w:rFonts w:ascii="Times New Roman" w:hAnsi="Times New Roman" w:cs="Times New Roman"/>
        </w:rPr>
      </w:pPr>
      <w:r w:rsidRPr="00AD683C">
        <w:rPr>
          <w:rFonts w:ascii="Times New Roman" w:hAnsi="Times New Roman" w:cs="Times New Roman"/>
        </w:rPr>
        <w:t xml:space="preserve">The deliberate limitation of </w:t>
      </w:r>
      <w:r w:rsidR="00C30533">
        <w:rPr>
          <w:rFonts w:ascii="Times New Roman" w:hAnsi="Times New Roman" w:cs="Times New Roman"/>
        </w:rPr>
        <w:t>the</w:t>
      </w:r>
      <w:r w:rsidRPr="00AD683C">
        <w:rPr>
          <w:rFonts w:ascii="Times New Roman" w:hAnsi="Times New Roman" w:cs="Times New Roman"/>
        </w:rPr>
        <w:t xml:space="preserve"> correlation analysis to five key variables (Response_Accuracy, User_Return_Frequency, Retention_Rate, </w:t>
      </w:r>
      <w:proofErr w:type="gramStart"/>
      <w:r w:rsidRPr="00AD683C">
        <w:rPr>
          <w:rFonts w:ascii="Times New Roman" w:hAnsi="Times New Roman" w:cs="Times New Roman"/>
        </w:rPr>
        <w:t>Daily</w:t>
      </w:r>
      <w:proofErr w:type="gramEnd"/>
      <w:r w:rsidRPr="00AD683C">
        <w:rPr>
          <w:rFonts w:ascii="Times New Roman" w:hAnsi="Times New Roman" w:cs="Times New Roman"/>
        </w:rPr>
        <w:t xml:space="preserve">_Churn_Rate, and Active_Users) serves a crucial analytical purpose. This constraint enhances interpretability and reduces cognitive overload, as correlation matrices with more variables become exponentially more complex to interpret. With </w:t>
      </w:r>
      <w:r w:rsidRPr="00AD683C">
        <w:rPr>
          <w:rFonts w:ascii="Times New Roman" w:hAnsi="Times New Roman" w:cs="Times New Roman"/>
        </w:rPr>
        <w:lastRenderedPageBreak/>
        <w:t>five variables, we analyze 10 unique correlations, whereas ten variables would result in 45 correlations, making it difficult to extract meaningful patterns. This focused approach allows us to identify the most significant relationships: the critical negative correlation between churn and retention (-0.92), the strong positive impact of response accuracy on user returns (0.73), and the substantial influence of active users on retention (0.65). These relationships form a clear narrative about platform performance without being obscured by less relevant metrics.</w:t>
      </w:r>
    </w:p>
    <w:p w14:paraId="588B2CE1" w14:textId="77777777" w:rsidR="0081107E" w:rsidRPr="00AD683C" w:rsidRDefault="00000000">
      <w:pPr>
        <w:rPr>
          <w:rFonts w:ascii="Times New Roman" w:hAnsi="Times New Roman" w:cs="Times New Roman"/>
          <w:b/>
          <w:bCs/>
          <w:sz w:val="28"/>
          <w:szCs w:val="28"/>
        </w:rPr>
      </w:pPr>
      <w:r w:rsidRPr="00AD683C">
        <w:rPr>
          <w:rFonts w:ascii="Times New Roman" w:hAnsi="Times New Roman" w:cs="Times New Roman"/>
          <w:b/>
          <w:bCs/>
          <w:sz w:val="28"/>
          <w:szCs w:val="28"/>
        </w:rPr>
        <w:t>Regression Analysis Insights</w:t>
      </w:r>
    </w:p>
    <w:p w14:paraId="6E45A2DB" w14:textId="0AB9461A" w:rsidR="0081107E" w:rsidRPr="00AD683C" w:rsidRDefault="00C30533">
      <w:pPr>
        <w:rPr>
          <w:rFonts w:ascii="Times New Roman" w:hAnsi="Times New Roman" w:cs="Times New Roman"/>
        </w:rPr>
      </w:pPr>
      <w:r>
        <w:rPr>
          <w:rFonts w:ascii="Times New Roman" w:hAnsi="Times New Roman" w:cs="Times New Roman"/>
        </w:rPr>
        <w:t>The</w:t>
      </w:r>
      <w:r w:rsidR="00000000" w:rsidRPr="00AD683C">
        <w:rPr>
          <w:rFonts w:ascii="Times New Roman" w:hAnsi="Times New Roman" w:cs="Times New Roman"/>
        </w:rPr>
        <w:t xml:space="preserve"> regression model examining Retention_Rate reveals compelling insights into platform performance drivers. With an R-squared value of 0.89, the model explains 89% of the variance in retention rates, indicating strong predictive power. The highly significant F-statistic (p &lt; 0.001) confirms the model’s robustness and reliability in explaining retention patterns.</w:t>
      </w:r>
    </w:p>
    <w:p w14:paraId="008593B7" w14:textId="77777777" w:rsidR="0081107E" w:rsidRPr="00AD683C" w:rsidRDefault="00000000">
      <w:pPr>
        <w:rPr>
          <w:rFonts w:ascii="Times New Roman" w:hAnsi="Times New Roman" w:cs="Times New Roman"/>
        </w:rPr>
      </w:pPr>
      <w:r w:rsidRPr="00AD683C">
        <w:rPr>
          <w:rFonts w:ascii="Times New Roman" w:hAnsi="Times New Roman" w:cs="Times New Roman"/>
        </w:rPr>
        <w:t>Daily_Churn_Rate emerges as the strongest predictor (β = -0.83, p &lt; 0.001), reinforcing its critical role in platform success. This substantial negative coefficient suggests that for every percentage point increase in churn rate, there’s a corresponding 0.83 percentage point decrease in retention, highlighting the multiplicative effect of user attrition on platform stability.</w:t>
      </w:r>
    </w:p>
    <w:p w14:paraId="1F807307" w14:textId="77777777" w:rsidR="0081107E" w:rsidRPr="00AD683C" w:rsidRDefault="00000000">
      <w:pPr>
        <w:rPr>
          <w:rFonts w:ascii="Times New Roman" w:hAnsi="Times New Roman" w:cs="Times New Roman"/>
        </w:rPr>
      </w:pPr>
      <w:r w:rsidRPr="00AD683C">
        <w:rPr>
          <w:rFonts w:ascii="Times New Roman" w:hAnsi="Times New Roman" w:cs="Times New Roman"/>
        </w:rPr>
        <w:t>Response_Accuracy’s positive impact (β = 0.45, p &lt; 0.001) quantifies the tangible benefits of improved response quality. This coefficient indicates that a 10% improvement in accuracy could lead to a 4.5% increase in retention rates, providing clear ROI justification for investments in response quality improvements.</w:t>
      </w:r>
    </w:p>
    <w:p w14:paraId="1DC99914" w14:textId="77777777" w:rsidR="0081107E" w:rsidRPr="00AD683C" w:rsidRDefault="00000000">
      <w:pPr>
        <w:rPr>
          <w:rFonts w:ascii="Times New Roman" w:hAnsi="Times New Roman" w:cs="Times New Roman"/>
          <w:b/>
          <w:bCs/>
          <w:sz w:val="28"/>
          <w:szCs w:val="28"/>
        </w:rPr>
      </w:pPr>
      <w:r w:rsidRPr="00AD683C">
        <w:rPr>
          <w:rFonts w:ascii="Times New Roman" w:hAnsi="Times New Roman" w:cs="Times New Roman"/>
          <w:b/>
          <w:bCs/>
          <w:sz w:val="28"/>
          <w:szCs w:val="28"/>
        </w:rPr>
        <w:t>Visualization and Table Interpretations</w:t>
      </w:r>
    </w:p>
    <w:p w14:paraId="5A0268D2" w14:textId="77777777" w:rsidR="0081107E" w:rsidRPr="00AD683C" w:rsidRDefault="00000000">
      <w:pPr>
        <w:rPr>
          <w:rFonts w:ascii="Times New Roman" w:hAnsi="Times New Roman" w:cs="Times New Roman"/>
          <w:b/>
          <w:bCs/>
          <w:sz w:val="24"/>
          <w:szCs w:val="24"/>
        </w:rPr>
      </w:pPr>
      <w:r w:rsidRPr="00AD683C">
        <w:rPr>
          <w:rFonts w:ascii="Times New Roman" w:hAnsi="Times New Roman" w:cs="Times New Roman"/>
          <w:b/>
          <w:bCs/>
          <w:sz w:val="24"/>
          <w:szCs w:val="24"/>
        </w:rPr>
        <w:t>Correlation Matrix Visualization</w:t>
      </w:r>
    </w:p>
    <w:p w14:paraId="297C2C9A" w14:textId="77777777" w:rsidR="0081107E" w:rsidRPr="00AD683C" w:rsidRDefault="00000000">
      <w:pPr>
        <w:rPr>
          <w:rFonts w:ascii="Times New Roman" w:hAnsi="Times New Roman" w:cs="Times New Roman"/>
        </w:rPr>
      </w:pPr>
      <w:r w:rsidRPr="00AD683C">
        <w:rPr>
          <w:rFonts w:ascii="Times New Roman" w:hAnsi="Times New Roman" w:cs="Times New Roman"/>
        </w:rPr>
        <w:t>The correlation heatmap reveals the strength and direction of relationships through its color intensity. The deep red colors between Daily_Churn_Rate and Retention_Rate (-0.92) visually emphasize their strong negative relationship, while the blue shades between Response_Accuracy and User_Return_Frequency (0.73) highlight their positive association. This visual representation makes it easy to identify patterns that might be less apparent in numerical data alone.</w:t>
      </w:r>
    </w:p>
    <w:p w14:paraId="1BC7C5D2" w14:textId="77777777" w:rsidR="0081107E" w:rsidRPr="00AD683C" w:rsidRDefault="00000000">
      <w:pPr>
        <w:rPr>
          <w:rFonts w:ascii="Times New Roman" w:hAnsi="Times New Roman" w:cs="Times New Roman"/>
          <w:b/>
          <w:bCs/>
          <w:sz w:val="24"/>
          <w:szCs w:val="24"/>
        </w:rPr>
      </w:pPr>
      <w:r w:rsidRPr="00AD683C">
        <w:rPr>
          <w:rFonts w:ascii="Times New Roman" w:hAnsi="Times New Roman" w:cs="Times New Roman"/>
          <w:b/>
          <w:bCs/>
          <w:sz w:val="24"/>
          <w:szCs w:val="24"/>
        </w:rPr>
        <w:t>Regression Table Analysis</w:t>
      </w:r>
    </w:p>
    <w:tbl>
      <w:tblPr>
        <w:tblW w:w="10142" w:type="dxa"/>
        <w:tblInd w:w="-384" w:type="dxa"/>
        <w:tblCellMar>
          <w:top w:w="15" w:type="dxa"/>
          <w:left w:w="15" w:type="dxa"/>
          <w:bottom w:w="15" w:type="dxa"/>
          <w:right w:w="15" w:type="dxa"/>
        </w:tblCellMar>
        <w:tblLook w:val="04A0" w:firstRow="1" w:lastRow="0" w:firstColumn="1" w:lastColumn="0" w:noHBand="0" w:noVBand="1"/>
      </w:tblPr>
      <w:tblGrid>
        <w:gridCol w:w="3591"/>
        <w:gridCol w:w="2277"/>
        <w:gridCol w:w="1719"/>
        <w:gridCol w:w="1264"/>
        <w:gridCol w:w="1291"/>
      </w:tblGrid>
      <w:tr w:rsidR="007C21B3" w:rsidRPr="00F27B0B" w14:paraId="73B6CDA8" w14:textId="77777777" w:rsidTr="001E6111">
        <w:trPr>
          <w:trHeight w:val="466"/>
          <w:tblHeader/>
        </w:trPr>
        <w:tc>
          <w:tcPr>
            <w:tcW w:w="0" w:type="auto"/>
            <w:tcBorders>
              <w:top w:val="nil"/>
              <w:bottom w:val="single" w:sz="12" w:space="0" w:color="DDDDDD"/>
            </w:tcBorders>
            <w:shd w:val="clear" w:color="auto" w:fill="auto"/>
            <w:tcMar>
              <w:top w:w="75" w:type="dxa"/>
              <w:left w:w="75" w:type="dxa"/>
              <w:bottom w:w="75" w:type="dxa"/>
              <w:right w:w="75" w:type="dxa"/>
            </w:tcMar>
            <w:vAlign w:val="bottom"/>
            <w:hideMark/>
          </w:tcPr>
          <w:p w14:paraId="7104FE00" w14:textId="77777777" w:rsidR="007C21B3" w:rsidRPr="00F27B0B" w:rsidRDefault="007C21B3" w:rsidP="001E6111">
            <w:pPr>
              <w:spacing w:after="300" w:line="240" w:lineRule="auto"/>
              <w:jc w:val="center"/>
              <w:rPr>
                <w:rFonts w:ascii="Times New Roman" w:eastAsia="Times New Roman" w:hAnsi="Times New Roman" w:cs="Times New Roman"/>
                <w:b/>
                <w:bCs/>
              </w:rPr>
            </w:pPr>
            <w:r w:rsidRPr="00F27B0B">
              <w:rPr>
                <w:rFonts w:ascii="Times New Roman" w:eastAsia="Times New Roman" w:hAnsi="Times New Roman" w:cs="Times New Roman"/>
                <w:b/>
                <w:bCs/>
              </w:rPr>
              <w:t>Predictor Variable</w:t>
            </w:r>
          </w:p>
        </w:tc>
        <w:tc>
          <w:tcPr>
            <w:tcW w:w="0" w:type="auto"/>
            <w:tcBorders>
              <w:top w:val="nil"/>
              <w:bottom w:val="single" w:sz="12" w:space="0" w:color="DDDDDD"/>
            </w:tcBorders>
            <w:shd w:val="clear" w:color="auto" w:fill="auto"/>
            <w:tcMar>
              <w:top w:w="75" w:type="dxa"/>
              <w:left w:w="75" w:type="dxa"/>
              <w:bottom w:w="75" w:type="dxa"/>
              <w:right w:w="75" w:type="dxa"/>
            </w:tcMar>
            <w:vAlign w:val="bottom"/>
            <w:hideMark/>
          </w:tcPr>
          <w:p w14:paraId="6791296E" w14:textId="77777777" w:rsidR="007C21B3" w:rsidRPr="00F27B0B" w:rsidRDefault="007C21B3" w:rsidP="001E6111">
            <w:pPr>
              <w:spacing w:after="300" w:line="240" w:lineRule="auto"/>
              <w:jc w:val="center"/>
              <w:rPr>
                <w:rFonts w:ascii="Times New Roman" w:eastAsia="Times New Roman" w:hAnsi="Times New Roman" w:cs="Times New Roman"/>
                <w:b/>
                <w:bCs/>
              </w:rPr>
            </w:pPr>
            <w:r w:rsidRPr="00F27B0B">
              <w:rPr>
                <w:rFonts w:ascii="Times New Roman" w:eastAsia="Times New Roman" w:hAnsi="Times New Roman" w:cs="Times New Roman"/>
                <w:b/>
                <w:bCs/>
              </w:rPr>
              <w:t>Coefficient (β)</w:t>
            </w:r>
          </w:p>
        </w:tc>
        <w:tc>
          <w:tcPr>
            <w:tcW w:w="0" w:type="auto"/>
            <w:tcBorders>
              <w:top w:val="nil"/>
              <w:bottom w:val="single" w:sz="12" w:space="0" w:color="DDDDDD"/>
            </w:tcBorders>
            <w:shd w:val="clear" w:color="auto" w:fill="auto"/>
            <w:tcMar>
              <w:top w:w="75" w:type="dxa"/>
              <w:left w:w="75" w:type="dxa"/>
              <w:bottom w:w="75" w:type="dxa"/>
              <w:right w:w="75" w:type="dxa"/>
            </w:tcMar>
            <w:vAlign w:val="bottom"/>
            <w:hideMark/>
          </w:tcPr>
          <w:p w14:paraId="46EF3C4C" w14:textId="77777777" w:rsidR="007C21B3" w:rsidRPr="00F27B0B" w:rsidRDefault="007C21B3" w:rsidP="001E6111">
            <w:pPr>
              <w:spacing w:after="300" w:line="240" w:lineRule="auto"/>
              <w:jc w:val="center"/>
              <w:rPr>
                <w:rFonts w:ascii="Times New Roman" w:eastAsia="Times New Roman" w:hAnsi="Times New Roman" w:cs="Times New Roman"/>
                <w:b/>
                <w:bCs/>
              </w:rPr>
            </w:pPr>
            <w:r w:rsidRPr="00F27B0B">
              <w:rPr>
                <w:rFonts w:ascii="Times New Roman" w:eastAsia="Times New Roman" w:hAnsi="Times New Roman" w:cs="Times New Roman"/>
                <w:b/>
                <w:bCs/>
              </w:rPr>
              <w:t>Std. Error</w:t>
            </w:r>
          </w:p>
        </w:tc>
        <w:tc>
          <w:tcPr>
            <w:tcW w:w="0" w:type="auto"/>
            <w:tcBorders>
              <w:top w:val="nil"/>
              <w:bottom w:val="single" w:sz="12" w:space="0" w:color="DDDDDD"/>
            </w:tcBorders>
            <w:shd w:val="clear" w:color="auto" w:fill="auto"/>
            <w:tcMar>
              <w:top w:w="75" w:type="dxa"/>
              <w:left w:w="75" w:type="dxa"/>
              <w:bottom w:w="75" w:type="dxa"/>
              <w:right w:w="75" w:type="dxa"/>
            </w:tcMar>
            <w:vAlign w:val="bottom"/>
            <w:hideMark/>
          </w:tcPr>
          <w:p w14:paraId="62E9198E" w14:textId="77777777" w:rsidR="007C21B3" w:rsidRPr="00F27B0B" w:rsidRDefault="007C21B3" w:rsidP="001E6111">
            <w:pPr>
              <w:spacing w:after="300" w:line="240" w:lineRule="auto"/>
              <w:jc w:val="center"/>
              <w:rPr>
                <w:rFonts w:ascii="Times New Roman" w:eastAsia="Times New Roman" w:hAnsi="Times New Roman" w:cs="Times New Roman"/>
                <w:b/>
                <w:bCs/>
              </w:rPr>
            </w:pPr>
            <w:r w:rsidRPr="00F27B0B">
              <w:rPr>
                <w:rFonts w:ascii="Times New Roman" w:eastAsia="Times New Roman" w:hAnsi="Times New Roman" w:cs="Times New Roman"/>
                <w:b/>
                <w:bCs/>
              </w:rPr>
              <w:t>t-value</w:t>
            </w:r>
          </w:p>
        </w:tc>
        <w:tc>
          <w:tcPr>
            <w:tcW w:w="0" w:type="auto"/>
            <w:tcBorders>
              <w:top w:val="nil"/>
              <w:bottom w:val="single" w:sz="12" w:space="0" w:color="DDDDDD"/>
            </w:tcBorders>
            <w:shd w:val="clear" w:color="auto" w:fill="auto"/>
            <w:tcMar>
              <w:top w:w="75" w:type="dxa"/>
              <w:left w:w="75" w:type="dxa"/>
              <w:bottom w:w="75" w:type="dxa"/>
              <w:right w:w="75" w:type="dxa"/>
            </w:tcMar>
            <w:vAlign w:val="bottom"/>
            <w:hideMark/>
          </w:tcPr>
          <w:p w14:paraId="238656A5" w14:textId="77777777" w:rsidR="007C21B3" w:rsidRPr="00F27B0B" w:rsidRDefault="007C21B3" w:rsidP="001E6111">
            <w:pPr>
              <w:spacing w:after="300" w:line="240" w:lineRule="auto"/>
              <w:jc w:val="center"/>
              <w:rPr>
                <w:rFonts w:ascii="Times New Roman" w:eastAsia="Times New Roman" w:hAnsi="Times New Roman" w:cs="Times New Roman"/>
                <w:b/>
                <w:bCs/>
              </w:rPr>
            </w:pPr>
            <w:r w:rsidRPr="00F27B0B">
              <w:rPr>
                <w:rFonts w:ascii="Times New Roman" w:eastAsia="Times New Roman" w:hAnsi="Times New Roman" w:cs="Times New Roman"/>
                <w:b/>
                <w:bCs/>
              </w:rPr>
              <w:t>p-value</w:t>
            </w:r>
          </w:p>
        </w:tc>
      </w:tr>
      <w:tr w:rsidR="007C21B3" w:rsidRPr="00F27B0B" w14:paraId="75367385" w14:textId="77777777" w:rsidTr="001E6111">
        <w:trPr>
          <w:trHeight w:val="466"/>
        </w:trPr>
        <w:tc>
          <w:tcPr>
            <w:tcW w:w="0" w:type="auto"/>
            <w:tcBorders>
              <w:top w:val="single" w:sz="6" w:space="0" w:color="DDDDDD"/>
            </w:tcBorders>
            <w:shd w:val="clear" w:color="auto" w:fill="auto"/>
            <w:tcMar>
              <w:top w:w="75" w:type="dxa"/>
              <w:left w:w="75" w:type="dxa"/>
              <w:bottom w:w="75" w:type="dxa"/>
              <w:right w:w="75" w:type="dxa"/>
            </w:tcMar>
            <w:hideMark/>
          </w:tcPr>
          <w:p w14:paraId="46FC9E71" w14:textId="77777777" w:rsidR="007C21B3" w:rsidRPr="00F27B0B" w:rsidRDefault="007C21B3" w:rsidP="001E6111">
            <w:pPr>
              <w:spacing w:after="300" w:line="240" w:lineRule="auto"/>
              <w:rPr>
                <w:rFonts w:ascii="Times New Roman" w:eastAsia="Times New Roman" w:hAnsi="Times New Roman" w:cs="Times New Roman"/>
              </w:rPr>
            </w:pPr>
            <w:r w:rsidRPr="00F27B0B">
              <w:rPr>
                <w:rFonts w:ascii="Times New Roman" w:eastAsia="Times New Roman" w:hAnsi="Times New Roman" w:cs="Times New Roman"/>
              </w:rPr>
              <w:t>(Intercept)</w:t>
            </w:r>
          </w:p>
        </w:tc>
        <w:tc>
          <w:tcPr>
            <w:tcW w:w="0" w:type="auto"/>
            <w:tcBorders>
              <w:top w:val="single" w:sz="6" w:space="0" w:color="DDDDDD"/>
            </w:tcBorders>
            <w:shd w:val="clear" w:color="auto" w:fill="auto"/>
            <w:tcMar>
              <w:top w:w="75" w:type="dxa"/>
              <w:left w:w="75" w:type="dxa"/>
              <w:bottom w:w="75" w:type="dxa"/>
              <w:right w:w="75" w:type="dxa"/>
            </w:tcMar>
            <w:hideMark/>
          </w:tcPr>
          <w:p w14:paraId="64572AFE" w14:textId="77777777" w:rsidR="007C21B3" w:rsidRPr="00F27B0B" w:rsidRDefault="007C21B3" w:rsidP="001E6111">
            <w:pPr>
              <w:spacing w:after="300" w:line="240" w:lineRule="auto"/>
              <w:rPr>
                <w:rFonts w:ascii="Times New Roman" w:eastAsia="Times New Roman" w:hAnsi="Times New Roman" w:cs="Times New Roman"/>
              </w:rPr>
            </w:pPr>
            <w:r w:rsidRPr="00F27B0B">
              <w:rPr>
                <w:rFonts w:ascii="Times New Roman" w:eastAsia="Times New Roman" w:hAnsi="Times New Roman" w:cs="Times New Roman"/>
              </w:rPr>
              <w:t>0.324</w:t>
            </w:r>
          </w:p>
        </w:tc>
        <w:tc>
          <w:tcPr>
            <w:tcW w:w="0" w:type="auto"/>
            <w:tcBorders>
              <w:top w:val="single" w:sz="6" w:space="0" w:color="DDDDDD"/>
            </w:tcBorders>
            <w:shd w:val="clear" w:color="auto" w:fill="auto"/>
            <w:tcMar>
              <w:top w:w="75" w:type="dxa"/>
              <w:left w:w="75" w:type="dxa"/>
              <w:bottom w:w="75" w:type="dxa"/>
              <w:right w:w="75" w:type="dxa"/>
            </w:tcMar>
            <w:hideMark/>
          </w:tcPr>
          <w:p w14:paraId="7F193939" w14:textId="77777777" w:rsidR="007C21B3" w:rsidRPr="00F27B0B" w:rsidRDefault="007C21B3" w:rsidP="001E6111">
            <w:pPr>
              <w:spacing w:after="300" w:line="240" w:lineRule="auto"/>
              <w:rPr>
                <w:rFonts w:ascii="Times New Roman" w:eastAsia="Times New Roman" w:hAnsi="Times New Roman" w:cs="Times New Roman"/>
              </w:rPr>
            </w:pPr>
            <w:r w:rsidRPr="00F27B0B">
              <w:rPr>
                <w:rFonts w:ascii="Times New Roman" w:eastAsia="Times New Roman" w:hAnsi="Times New Roman" w:cs="Times New Roman"/>
              </w:rPr>
              <w:t>0.028</w:t>
            </w:r>
          </w:p>
        </w:tc>
        <w:tc>
          <w:tcPr>
            <w:tcW w:w="0" w:type="auto"/>
            <w:tcBorders>
              <w:top w:val="single" w:sz="6" w:space="0" w:color="DDDDDD"/>
            </w:tcBorders>
            <w:shd w:val="clear" w:color="auto" w:fill="auto"/>
            <w:tcMar>
              <w:top w:w="75" w:type="dxa"/>
              <w:left w:w="75" w:type="dxa"/>
              <w:bottom w:w="75" w:type="dxa"/>
              <w:right w:w="75" w:type="dxa"/>
            </w:tcMar>
            <w:hideMark/>
          </w:tcPr>
          <w:p w14:paraId="05B52F94" w14:textId="77777777" w:rsidR="007C21B3" w:rsidRPr="00F27B0B" w:rsidRDefault="007C21B3" w:rsidP="001E6111">
            <w:pPr>
              <w:spacing w:after="300" w:line="240" w:lineRule="auto"/>
              <w:rPr>
                <w:rFonts w:ascii="Times New Roman" w:eastAsia="Times New Roman" w:hAnsi="Times New Roman" w:cs="Times New Roman"/>
              </w:rPr>
            </w:pPr>
            <w:r w:rsidRPr="00F27B0B">
              <w:rPr>
                <w:rFonts w:ascii="Times New Roman" w:eastAsia="Times New Roman" w:hAnsi="Times New Roman" w:cs="Times New Roman"/>
              </w:rPr>
              <w:t>11.571</w:t>
            </w:r>
          </w:p>
        </w:tc>
        <w:tc>
          <w:tcPr>
            <w:tcW w:w="0" w:type="auto"/>
            <w:tcBorders>
              <w:top w:val="single" w:sz="6" w:space="0" w:color="DDDDDD"/>
            </w:tcBorders>
            <w:shd w:val="clear" w:color="auto" w:fill="auto"/>
            <w:tcMar>
              <w:top w:w="75" w:type="dxa"/>
              <w:left w:w="75" w:type="dxa"/>
              <w:bottom w:w="75" w:type="dxa"/>
              <w:right w:w="75" w:type="dxa"/>
            </w:tcMar>
            <w:hideMark/>
          </w:tcPr>
          <w:p w14:paraId="12EEFB96" w14:textId="77777777" w:rsidR="007C21B3" w:rsidRPr="00F27B0B" w:rsidRDefault="007C21B3" w:rsidP="001E6111">
            <w:pPr>
              <w:spacing w:after="300" w:line="240" w:lineRule="auto"/>
              <w:rPr>
                <w:rFonts w:ascii="Times New Roman" w:eastAsia="Times New Roman" w:hAnsi="Times New Roman" w:cs="Times New Roman"/>
              </w:rPr>
            </w:pPr>
            <w:r w:rsidRPr="00F27B0B">
              <w:rPr>
                <w:rFonts w:ascii="Times New Roman" w:eastAsia="Times New Roman" w:hAnsi="Times New Roman" w:cs="Times New Roman"/>
              </w:rPr>
              <w:t>&lt;0.001</w:t>
            </w:r>
          </w:p>
        </w:tc>
      </w:tr>
      <w:tr w:rsidR="007C21B3" w:rsidRPr="00F27B0B" w14:paraId="748A6252" w14:textId="77777777" w:rsidTr="001E6111">
        <w:trPr>
          <w:trHeight w:val="466"/>
        </w:trPr>
        <w:tc>
          <w:tcPr>
            <w:tcW w:w="0" w:type="auto"/>
            <w:tcBorders>
              <w:top w:val="single" w:sz="6" w:space="0" w:color="DDDDDD"/>
            </w:tcBorders>
            <w:shd w:val="clear" w:color="auto" w:fill="auto"/>
            <w:tcMar>
              <w:top w:w="75" w:type="dxa"/>
              <w:left w:w="75" w:type="dxa"/>
              <w:bottom w:w="75" w:type="dxa"/>
              <w:right w:w="75" w:type="dxa"/>
            </w:tcMar>
            <w:hideMark/>
          </w:tcPr>
          <w:p w14:paraId="44FAA0D7" w14:textId="77777777" w:rsidR="007C21B3" w:rsidRPr="00F27B0B" w:rsidRDefault="007C21B3" w:rsidP="001E6111">
            <w:pPr>
              <w:spacing w:after="300" w:line="240" w:lineRule="auto"/>
              <w:rPr>
                <w:rFonts w:ascii="Times New Roman" w:eastAsia="Times New Roman" w:hAnsi="Times New Roman" w:cs="Times New Roman"/>
              </w:rPr>
            </w:pPr>
            <w:proofErr w:type="spellStart"/>
            <w:r w:rsidRPr="00F27B0B">
              <w:rPr>
                <w:rFonts w:ascii="Times New Roman" w:eastAsia="Times New Roman" w:hAnsi="Times New Roman" w:cs="Times New Roman"/>
              </w:rPr>
              <w:t>Response_Accuracy</w:t>
            </w:r>
            <w:proofErr w:type="spellEnd"/>
          </w:p>
        </w:tc>
        <w:tc>
          <w:tcPr>
            <w:tcW w:w="0" w:type="auto"/>
            <w:tcBorders>
              <w:top w:val="single" w:sz="6" w:space="0" w:color="DDDDDD"/>
            </w:tcBorders>
            <w:shd w:val="clear" w:color="auto" w:fill="auto"/>
            <w:tcMar>
              <w:top w:w="75" w:type="dxa"/>
              <w:left w:w="75" w:type="dxa"/>
              <w:bottom w:w="75" w:type="dxa"/>
              <w:right w:w="75" w:type="dxa"/>
            </w:tcMar>
            <w:hideMark/>
          </w:tcPr>
          <w:p w14:paraId="5DF924C1" w14:textId="77777777" w:rsidR="007C21B3" w:rsidRPr="00F27B0B" w:rsidRDefault="007C21B3" w:rsidP="001E6111">
            <w:pPr>
              <w:spacing w:after="300" w:line="240" w:lineRule="auto"/>
              <w:rPr>
                <w:rFonts w:ascii="Times New Roman" w:eastAsia="Times New Roman" w:hAnsi="Times New Roman" w:cs="Times New Roman"/>
              </w:rPr>
            </w:pPr>
            <w:r w:rsidRPr="00F27B0B">
              <w:rPr>
                <w:rFonts w:ascii="Times New Roman" w:eastAsia="Times New Roman" w:hAnsi="Times New Roman" w:cs="Times New Roman"/>
              </w:rPr>
              <w:t>0.450</w:t>
            </w:r>
          </w:p>
        </w:tc>
        <w:tc>
          <w:tcPr>
            <w:tcW w:w="0" w:type="auto"/>
            <w:tcBorders>
              <w:top w:val="single" w:sz="6" w:space="0" w:color="DDDDDD"/>
            </w:tcBorders>
            <w:shd w:val="clear" w:color="auto" w:fill="auto"/>
            <w:tcMar>
              <w:top w:w="75" w:type="dxa"/>
              <w:left w:w="75" w:type="dxa"/>
              <w:bottom w:w="75" w:type="dxa"/>
              <w:right w:w="75" w:type="dxa"/>
            </w:tcMar>
            <w:hideMark/>
          </w:tcPr>
          <w:p w14:paraId="3A03F959" w14:textId="77777777" w:rsidR="007C21B3" w:rsidRPr="00F27B0B" w:rsidRDefault="007C21B3" w:rsidP="001E6111">
            <w:pPr>
              <w:spacing w:after="300" w:line="240" w:lineRule="auto"/>
              <w:rPr>
                <w:rFonts w:ascii="Times New Roman" w:eastAsia="Times New Roman" w:hAnsi="Times New Roman" w:cs="Times New Roman"/>
              </w:rPr>
            </w:pPr>
            <w:r w:rsidRPr="00F27B0B">
              <w:rPr>
                <w:rFonts w:ascii="Times New Roman" w:eastAsia="Times New Roman" w:hAnsi="Times New Roman" w:cs="Times New Roman"/>
              </w:rPr>
              <w:t>0.042</w:t>
            </w:r>
          </w:p>
        </w:tc>
        <w:tc>
          <w:tcPr>
            <w:tcW w:w="0" w:type="auto"/>
            <w:tcBorders>
              <w:top w:val="single" w:sz="6" w:space="0" w:color="DDDDDD"/>
            </w:tcBorders>
            <w:shd w:val="clear" w:color="auto" w:fill="auto"/>
            <w:tcMar>
              <w:top w:w="75" w:type="dxa"/>
              <w:left w:w="75" w:type="dxa"/>
              <w:bottom w:w="75" w:type="dxa"/>
              <w:right w:w="75" w:type="dxa"/>
            </w:tcMar>
            <w:hideMark/>
          </w:tcPr>
          <w:p w14:paraId="4581A120" w14:textId="77777777" w:rsidR="007C21B3" w:rsidRPr="00F27B0B" w:rsidRDefault="007C21B3" w:rsidP="001E6111">
            <w:pPr>
              <w:spacing w:after="300" w:line="240" w:lineRule="auto"/>
              <w:rPr>
                <w:rFonts w:ascii="Times New Roman" w:eastAsia="Times New Roman" w:hAnsi="Times New Roman" w:cs="Times New Roman"/>
              </w:rPr>
            </w:pPr>
            <w:r w:rsidRPr="00F27B0B">
              <w:rPr>
                <w:rFonts w:ascii="Times New Roman" w:eastAsia="Times New Roman" w:hAnsi="Times New Roman" w:cs="Times New Roman"/>
              </w:rPr>
              <w:t>10.714</w:t>
            </w:r>
          </w:p>
        </w:tc>
        <w:tc>
          <w:tcPr>
            <w:tcW w:w="0" w:type="auto"/>
            <w:tcBorders>
              <w:top w:val="single" w:sz="6" w:space="0" w:color="DDDDDD"/>
            </w:tcBorders>
            <w:shd w:val="clear" w:color="auto" w:fill="auto"/>
            <w:tcMar>
              <w:top w:w="75" w:type="dxa"/>
              <w:left w:w="75" w:type="dxa"/>
              <w:bottom w:w="75" w:type="dxa"/>
              <w:right w:w="75" w:type="dxa"/>
            </w:tcMar>
            <w:hideMark/>
          </w:tcPr>
          <w:p w14:paraId="190F21A4" w14:textId="77777777" w:rsidR="007C21B3" w:rsidRPr="00F27B0B" w:rsidRDefault="007C21B3" w:rsidP="001E6111">
            <w:pPr>
              <w:spacing w:after="300" w:line="240" w:lineRule="auto"/>
              <w:rPr>
                <w:rFonts w:ascii="Times New Roman" w:eastAsia="Times New Roman" w:hAnsi="Times New Roman" w:cs="Times New Roman"/>
              </w:rPr>
            </w:pPr>
            <w:r w:rsidRPr="00F27B0B">
              <w:rPr>
                <w:rFonts w:ascii="Times New Roman" w:eastAsia="Times New Roman" w:hAnsi="Times New Roman" w:cs="Times New Roman"/>
              </w:rPr>
              <w:t>&lt;0.001</w:t>
            </w:r>
          </w:p>
        </w:tc>
      </w:tr>
      <w:tr w:rsidR="007C21B3" w:rsidRPr="00F27B0B" w14:paraId="1637061C" w14:textId="77777777" w:rsidTr="001E6111">
        <w:trPr>
          <w:trHeight w:val="466"/>
        </w:trPr>
        <w:tc>
          <w:tcPr>
            <w:tcW w:w="0" w:type="auto"/>
            <w:tcBorders>
              <w:top w:val="single" w:sz="6" w:space="0" w:color="DDDDDD"/>
            </w:tcBorders>
            <w:shd w:val="clear" w:color="auto" w:fill="auto"/>
            <w:tcMar>
              <w:top w:w="75" w:type="dxa"/>
              <w:left w:w="75" w:type="dxa"/>
              <w:bottom w:w="75" w:type="dxa"/>
              <w:right w:w="75" w:type="dxa"/>
            </w:tcMar>
            <w:hideMark/>
          </w:tcPr>
          <w:p w14:paraId="7BEAEA82" w14:textId="77777777" w:rsidR="007C21B3" w:rsidRPr="00F27B0B" w:rsidRDefault="007C21B3" w:rsidP="001E6111">
            <w:pPr>
              <w:spacing w:after="300" w:line="240" w:lineRule="auto"/>
              <w:rPr>
                <w:rFonts w:ascii="Times New Roman" w:eastAsia="Times New Roman" w:hAnsi="Times New Roman" w:cs="Times New Roman"/>
              </w:rPr>
            </w:pPr>
            <w:proofErr w:type="spellStart"/>
            <w:r w:rsidRPr="00F27B0B">
              <w:rPr>
                <w:rFonts w:ascii="Times New Roman" w:eastAsia="Times New Roman" w:hAnsi="Times New Roman" w:cs="Times New Roman"/>
              </w:rPr>
              <w:t>User_Return_Frequency</w:t>
            </w:r>
            <w:proofErr w:type="spellEnd"/>
          </w:p>
        </w:tc>
        <w:tc>
          <w:tcPr>
            <w:tcW w:w="0" w:type="auto"/>
            <w:tcBorders>
              <w:top w:val="single" w:sz="6" w:space="0" w:color="DDDDDD"/>
            </w:tcBorders>
            <w:shd w:val="clear" w:color="auto" w:fill="auto"/>
            <w:tcMar>
              <w:top w:w="75" w:type="dxa"/>
              <w:left w:w="75" w:type="dxa"/>
              <w:bottom w:w="75" w:type="dxa"/>
              <w:right w:w="75" w:type="dxa"/>
            </w:tcMar>
            <w:hideMark/>
          </w:tcPr>
          <w:p w14:paraId="7E336DB1" w14:textId="77777777" w:rsidR="007C21B3" w:rsidRPr="00F27B0B" w:rsidRDefault="007C21B3" w:rsidP="001E6111">
            <w:pPr>
              <w:spacing w:after="300" w:line="240" w:lineRule="auto"/>
              <w:rPr>
                <w:rFonts w:ascii="Times New Roman" w:eastAsia="Times New Roman" w:hAnsi="Times New Roman" w:cs="Times New Roman"/>
              </w:rPr>
            </w:pPr>
            <w:r w:rsidRPr="00F27B0B">
              <w:rPr>
                <w:rFonts w:ascii="Times New Roman" w:eastAsia="Times New Roman" w:hAnsi="Times New Roman" w:cs="Times New Roman"/>
              </w:rPr>
              <w:t>0.380</w:t>
            </w:r>
          </w:p>
        </w:tc>
        <w:tc>
          <w:tcPr>
            <w:tcW w:w="0" w:type="auto"/>
            <w:tcBorders>
              <w:top w:val="single" w:sz="6" w:space="0" w:color="DDDDDD"/>
            </w:tcBorders>
            <w:shd w:val="clear" w:color="auto" w:fill="auto"/>
            <w:tcMar>
              <w:top w:w="75" w:type="dxa"/>
              <w:left w:w="75" w:type="dxa"/>
              <w:bottom w:w="75" w:type="dxa"/>
              <w:right w:w="75" w:type="dxa"/>
            </w:tcMar>
            <w:hideMark/>
          </w:tcPr>
          <w:p w14:paraId="160411DE" w14:textId="77777777" w:rsidR="007C21B3" w:rsidRPr="00F27B0B" w:rsidRDefault="007C21B3" w:rsidP="001E6111">
            <w:pPr>
              <w:spacing w:after="300" w:line="240" w:lineRule="auto"/>
              <w:rPr>
                <w:rFonts w:ascii="Times New Roman" w:eastAsia="Times New Roman" w:hAnsi="Times New Roman" w:cs="Times New Roman"/>
              </w:rPr>
            </w:pPr>
            <w:r w:rsidRPr="00F27B0B">
              <w:rPr>
                <w:rFonts w:ascii="Times New Roman" w:eastAsia="Times New Roman" w:hAnsi="Times New Roman" w:cs="Times New Roman"/>
              </w:rPr>
              <w:t>0.035</w:t>
            </w:r>
          </w:p>
        </w:tc>
        <w:tc>
          <w:tcPr>
            <w:tcW w:w="0" w:type="auto"/>
            <w:tcBorders>
              <w:top w:val="single" w:sz="6" w:space="0" w:color="DDDDDD"/>
            </w:tcBorders>
            <w:shd w:val="clear" w:color="auto" w:fill="auto"/>
            <w:tcMar>
              <w:top w:w="75" w:type="dxa"/>
              <w:left w:w="75" w:type="dxa"/>
              <w:bottom w:w="75" w:type="dxa"/>
              <w:right w:w="75" w:type="dxa"/>
            </w:tcMar>
            <w:hideMark/>
          </w:tcPr>
          <w:p w14:paraId="352E4126" w14:textId="77777777" w:rsidR="007C21B3" w:rsidRPr="00F27B0B" w:rsidRDefault="007C21B3" w:rsidP="001E6111">
            <w:pPr>
              <w:spacing w:after="300" w:line="240" w:lineRule="auto"/>
              <w:rPr>
                <w:rFonts w:ascii="Times New Roman" w:eastAsia="Times New Roman" w:hAnsi="Times New Roman" w:cs="Times New Roman"/>
              </w:rPr>
            </w:pPr>
            <w:r w:rsidRPr="00F27B0B">
              <w:rPr>
                <w:rFonts w:ascii="Times New Roman" w:eastAsia="Times New Roman" w:hAnsi="Times New Roman" w:cs="Times New Roman"/>
              </w:rPr>
              <w:t>10.857</w:t>
            </w:r>
          </w:p>
        </w:tc>
        <w:tc>
          <w:tcPr>
            <w:tcW w:w="0" w:type="auto"/>
            <w:tcBorders>
              <w:top w:val="single" w:sz="6" w:space="0" w:color="DDDDDD"/>
            </w:tcBorders>
            <w:shd w:val="clear" w:color="auto" w:fill="auto"/>
            <w:tcMar>
              <w:top w:w="75" w:type="dxa"/>
              <w:left w:w="75" w:type="dxa"/>
              <w:bottom w:w="75" w:type="dxa"/>
              <w:right w:w="75" w:type="dxa"/>
            </w:tcMar>
            <w:hideMark/>
          </w:tcPr>
          <w:p w14:paraId="4A861DEE" w14:textId="77777777" w:rsidR="007C21B3" w:rsidRPr="00F27B0B" w:rsidRDefault="007C21B3" w:rsidP="001E6111">
            <w:pPr>
              <w:spacing w:after="300" w:line="240" w:lineRule="auto"/>
              <w:rPr>
                <w:rFonts w:ascii="Times New Roman" w:eastAsia="Times New Roman" w:hAnsi="Times New Roman" w:cs="Times New Roman"/>
              </w:rPr>
            </w:pPr>
            <w:r w:rsidRPr="00F27B0B">
              <w:rPr>
                <w:rFonts w:ascii="Times New Roman" w:eastAsia="Times New Roman" w:hAnsi="Times New Roman" w:cs="Times New Roman"/>
              </w:rPr>
              <w:t>&lt;0.001</w:t>
            </w:r>
          </w:p>
        </w:tc>
      </w:tr>
      <w:tr w:rsidR="007C21B3" w:rsidRPr="00F27B0B" w14:paraId="2F3AD5F0" w14:textId="77777777" w:rsidTr="001E6111">
        <w:trPr>
          <w:trHeight w:val="466"/>
        </w:trPr>
        <w:tc>
          <w:tcPr>
            <w:tcW w:w="0" w:type="auto"/>
            <w:tcBorders>
              <w:top w:val="single" w:sz="6" w:space="0" w:color="DDDDDD"/>
            </w:tcBorders>
            <w:shd w:val="clear" w:color="auto" w:fill="auto"/>
            <w:tcMar>
              <w:top w:w="75" w:type="dxa"/>
              <w:left w:w="75" w:type="dxa"/>
              <w:bottom w:w="75" w:type="dxa"/>
              <w:right w:w="75" w:type="dxa"/>
            </w:tcMar>
            <w:hideMark/>
          </w:tcPr>
          <w:p w14:paraId="57F2210F" w14:textId="77777777" w:rsidR="007C21B3" w:rsidRPr="00F27B0B" w:rsidRDefault="007C21B3" w:rsidP="001E6111">
            <w:pPr>
              <w:spacing w:after="300" w:line="240" w:lineRule="auto"/>
              <w:rPr>
                <w:rFonts w:ascii="Times New Roman" w:eastAsia="Times New Roman" w:hAnsi="Times New Roman" w:cs="Times New Roman"/>
              </w:rPr>
            </w:pPr>
            <w:proofErr w:type="spellStart"/>
            <w:r w:rsidRPr="00F27B0B">
              <w:rPr>
                <w:rFonts w:ascii="Times New Roman" w:eastAsia="Times New Roman" w:hAnsi="Times New Roman" w:cs="Times New Roman"/>
              </w:rPr>
              <w:lastRenderedPageBreak/>
              <w:t>Daily_Churn_Rate</w:t>
            </w:r>
            <w:proofErr w:type="spellEnd"/>
          </w:p>
        </w:tc>
        <w:tc>
          <w:tcPr>
            <w:tcW w:w="0" w:type="auto"/>
            <w:tcBorders>
              <w:top w:val="single" w:sz="6" w:space="0" w:color="DDDDDD"/>
            </w:tcBorders>
            <w:shd w:val="clear" w:color="auto" w:fill="auto"/>
            <w:tcMar>
              <w:top w:w="75" w:type="dxa"/>
              <w:left w:w="75" w:type="dxa"/>
              <w:bottom w:w="75" w:type="dxa"/>
              <w:right w:w="75" w:type="dxa"/>
            </w:tcMar>
            <w:hideMark/>
          </w:tcPr>
          <w:p w14:paraId="7EEB21D3" w14:textId="77777777" w:rsidR="007C21B3" w:rsidRPr="00F27B0B" w:rsidRDefault="007C21B3" w:rsidP="001E6111">
            <w:pPr>
              <w:spacing w:after="300" w:line="240" w:lineRule="auto"/>
              <w:rPr>
                <w:rFonts w:ascii="Times New Roman" w:eastAsia="Times New Roman" w:hAnsi="Times New Roman" w:cs="Times New Roman"/>
              </w:rPr>
            </w:pPr>
            <w:r w:rsidRPr="00F27B0B">
              <w:rPr>
                <w:rFonts w:ascii="Times New Roman" w:eastAsia="Times New Roman" w:hAnsi="Times New Roman" w:cs="Times New Roman"/>
              </w:rPr>
              <w:t>-0.830</w:t>
            </w:r>
          </w:p>
        </w:tc>
        <w:tc>
          <w:tcPr>
            <w:tcW w:w="0" w:type="auto"/>
            <w:tcBorders>
              <w:top w:val="single" w:sz="6" w:space="0" w:color="DDDDDD"/>
            </w:tcBorders>
            <w:shd w:val="clear" w:color="auto" w:fill="auto"/>
            <w:tcMar>
              <w:top w:w="75" w:type="dxa"/>
              <w:left w:w="75" w:type="dxa"/>
              <w:bottom w:w="75" w:type="dxa"/>
              <w:right w:w="75" w:type="dxa"/>
            </w:tcMar>
            <w:hideMark/>
          </w:tcPr>
          <w:p w14:paraId="1D7D92A4" w14:textId="77777777" w:rsidR="007C21B3" w:rsidRPr="00F27B0B" w:rsidRDefault="007C21B3" w:rsidP="001E6111">
            <w:pPr>
              <w:spacing w:after="300" w:line="240" w:lineRule="auto"/>
              <w:rPr>
                <w:rFonts w:ascii="Times New Roman" w:eastAsia="Times New Roman" w:hAnsi="Times New Roman" w:cs="Times New Roman"/>
              </w:rPr>
            </w:pPr>
            <w:r w:rsidRPr="00F27B0B">
              <w:rPr>
                <w:rFonts w:ascii="Times New Roman" w:eastAsia="Times New Roman" w:hAnsi="Times New Roman" w:cs="Times New Roman"/>
              </w:rPr>
              <w:t>0.056</w:t>
            </w:r>
          </w:p>
        </w:tc>
        <w:tc>
          <w:tcPr>
            <w:tcW w:w="0" w:type="auto"/>
            <w:tcBorders>
              <w:top w:val="single" w:sz="6" w:space="0" w:color="DDDDDD"/>
            </w:tcBorders>
            <w:shd w:val="clear" w:color="auto" w:fill="auto"/>
            <w:tcMar>
              <w:top w:w="75" w:type="dxa"/>
              <w:left w:w="75" w:type="dxa"/>
              <w:bottom w:w="75" w:type="dxa"/>
              <w:right w:w="75" w:type="dxa"/>
            </w:tcMar>
            <w:hideMark/>
          </w:tcPr>
          <w:p w14:paraId="756F6222" w14:textId="77777777" w:rsidR="007C21B3" w:rsidRPr="00F27B0B" w:rsidRDefault="007C21B3" w:rsidP="001E6111">
            <w:pPr>
              <w:spacing w:after="300" w:line="240" w:lineRule="auto"/>
              <w:rPr>
                <w:rFonts w:ascii="Times New Roman" w:eastAsia="Times New Roman" w:hAnsi="Times New Roman" w:cs="Times New Roman"/>
              </w:rPr>
            </w:pPr>
            <w:r w:rsidRPr="00F27B0B">
              <w:rPr>
                <w:rFonts w:ascii="Times New Roman" w:eastAsia="Times New Roman" w:hAnsi="Times New Roman" w:cs="Times New Roman"/>
              </w:rPr>
              <w:t>-14.821</w:t>
            </w:r>
          </w:p>
        </w:tc>
        <w:tc>
          <w:tcPr>
            <w:tcW w:w="0" w:type="auto"/>
            <w:tcBorders>
              <w:top w:val="single" w:sz="6" w:space="0" w:color="DDDDDD"/>
            </w:tcBorders>
            <w:shd w:val="clear" w:color="auto" w:fill="auto"/>
            <w:tcMar>
              <w:top w:w="75" w:type="dxa"/>
              <w:left w:w="75" w:type="dxa"/>
              <w:bottom w:w="75" w:type="dxa"/>
              <w:right w:w="75" w:type="dxa"/>
            </w:tcMar>
            <w:hideMark/>
          </w:tcPr>
          <w:p w14:paraId="4D14BA45" w14:textId="77777777" w:rsidR="007C21B3" w:rsidRPr="00F27B0B" w:rsidRDefault="007C21B3" w:rsidP="001E6111">
            <w:pPr>
              <w:spacing w:after="300" w:line="240" w:lineRule="auto"/>
              <w:rPr>
                <w:rFonts w:ascii="Times New Roman" w:eastAsia="Times New Roman" w:hAnsi="Times New Roman" w:cs="Times New Roman"/>
              </w:rPr>
            </w:pPr>
            <w:r w:rsidRPr="00F27B0B">
              <w:rPr>
                <w:rFonts w:ascii="Times New Roman" w:eastAsia="Times New Roman" w:hAnsi="Times New Roman" w:cs="Times New Roman"/>
              </w:rPr>
              <w:t>&lt;0.001</w:t>
            </w:r>
          </w:p>
        </w:tc>
      </w:tr>
      <w:tr w:rsidR="007C21B3" w:rsidRPr="00F27B0B" w14:paraId="4B578869" w14:textId="77777777" w:rsidTr="001E6111">
        <w:trPr>
          <w:trHeight w:val="466"/>
        </w:trPr>
        <w:tc>
          <w:tcPr>
            <w:tcW w:w="0" w:type="auto"/>
            <w:tcBorders>
              <w:top w:val="single" w:sz="6" w:space="0" w:color="DDDDDD"/>
            </w:tcBorders>
            <w:shd w:val="clear" w:color="auto" w:fill="auto"/>
            <w:tcMar>
              <w:top w:w="75" w:type="dxa"/>
              <w:left w:w="75" w:type="dxa"/>
              <w:bottom w:w="75" w:type="dxa"/>
              <w:right w:w="75" w:type="dxa"/>
            </w:tcMar>
            <w:hideMark/>
          </w:tcPr>
          <w:p w14:paraId="7F2E2F1A" w14:textId="77777777" w:rsidR="007C21B3" w:rsidRPr="00F27B0B" w:rsidRDefault="007C21B3" w:rsidP="001E6111">
            <w:pPr>
              <w:spacing w:after="300" w:line="240" w:lineRule="auto"/>
              <w:rPr>
                <w:rFonts w:ascii="Times New Roman" w:eastAsia="Times New Roman" w:hAnsi="Times New Roman" w:cs="Times New Roman"/>
              </w:rPr>
            </w:pPr>
            <w:proofErr w:type="spellStart"/>
            <w:r w:rsidRPr="00F27B0B">
              <w:rPr>
                <w:rFonts w:ascii="Times New Roman" w:eastAsia="Times New Roman" w:hAnsi="Times New Roman" w:cs="Times New Roman"/>
              </w:rPr>
              <w:t>AI_Platform</w:t>
            </w:r>
            <w:proofErr w:type="spellEnd"/>
            <w:r w:rsidRPr="00F27B0B">
              <w:rPr>
                <w:rFonts w:ascii="Times New Roman" w:eastAsia="Times New Roman" w:hAnsi="Times New Roman" w:cs="Times New Roman"/>
              </w:rPr>
              <w:t xml:space="preserve"> (</w:t>
            </w:r>
            <w:proofErr w:type="spellStart"/>
            <w:r w:rsidRPr="00F27B0B">
              <w:rPr>
                <w:rFonts w:ascii="Times New Roman" w:eastAsia="Times New Roman" w:hAnsi="Times New Roman" w:cs="Times New Roman"/>
              </w:rPr>
              <w:t>DeepSeek</w:t>
            </w:r>
            <w:proofErr w:type="spellEnd"/>
            <w:r w:rsidRPr="00F27B0B">
              <w:rPr>
                <w:rFonts w:ascii="Times New Roman" w:eastAsia="Times New Roman" w:hAnsi="Times New Roman" w:cs="Times New Roman"/>
              </w:rPr>
              <w:t>)</w:t>
            </w:r>
          </w:p>
        </w:tc>
        <w:tc>
          <w:tcPr>
            <w:tcW w:w="0" w:type="auto"/>
            <w:tcBorders>
              <w:top w:val="single" w:sz="6" w:space="0" w:color="DDDDDD"/>
            </w:tcBorders>
            <w:shd w:val="clear" w:color="auto" w:fill="auto"/>
            <w:tcMar>
              <w:top w:w="75" w:type="dxa"/>
              <w:left w:w="75" w:type="dxa"/>
              <w:bottom w:w="75" w:type="dxa"/>
              <w:right w:w="75" w:type="dxa"/>
            </w:tcMar>
            <w:hideMark/>
          </w:tcPr>
          <w:p w14:paraId="29D1ED43" w14:textId="77777777" w:rsidR="007C21B3" w:rsidRPr="00F27B0B" w:rsidRDefault="007C21B3" w:rsidP="001E6111">
            <w:pPr>
              <w:spacing w:after="300" w:line="240" w:lineRule="auto"/>
              <w:rPr>
                <w:rFonts w:ascii="Times New Roman" w:eastAsia="Times New Roman" w:hAnsi="Times New Roman" w:cs="Times New Roman"/>
              </w:rPr>
            </w:pPr>
            <w:r w:rsidRPr="00F27B0B">
              <w:rPr>
                <w:rFonts w:ascii="Times New Roman" w:eastAsia="Times New Roman" w:hAnsi="Times New Roman" w:cs="Times New Roman"/>
              </w:rPr>
              <w:t>0.156</w:t>
            </w:r>
          </w:p>
        </w:tc>
        <w:tc>
          <w:tcPr>
            <w:tcW w:w="0" w:type="auto"/>
            <w:tcBorders>
              <w:top w:val="single" w:sz="6" w:space="0" w:color="DDDDDD"/>
            </w:tcBorders>
            <w:shd w:val="clear" w:color="auto" w:fill="auto"/>
            <w:tcMar>
              <w:top w:w="75" w:type="dxa"/>
              <w:left w:w="75" w:type="dxa"/>
              <w:bottom w:w="75" w:type="dxa"/>
              <w:right w:w="75" w:type="dxa"/>
            </w:tcMar>
            <w:hideMark/>
          </w:tcPr>
          <w:p w14:paraId="7587DDB5" w14:textId="77777777" w:rsidR="007C21B3" w:rsidRPr="00F27B0B" w:rsidRDefault="007C21B3" w:rsidP="001E6111">
            <w:pPr>
              <w:spacing w:after="300" w:line="240" w:lineRule="auto"/>
              <w:rPr>
                <w:rFonts w:ascii="Times New Roman" w:eastAsia="Times New Roman" w:hAnsi="Times New Roman" w:cs="Times New Roman"/>
              </w:rPr>
            </w:pPr>
            <w:r w:rsidRPr="00F27B0B">
              <w:rPr>
                <w:rFonts w:ascii="Times New Roman" w:eastAsia="Times New Roman" w:hAnsi="Times New Roman" w:cs="Times New Roman"/>
              </w:rPr>
              <w:t>0.024</w:t>
            </w:r>
          </w:p>
        </w:tc>
        <w:tc>
          <w:tcPr>
            <w:tcW w:w="0" w:type="auto"/>
            <w:tcBorders>
              <w:top w:val="single" w:sz="6" w:space="0" w:color="DDDDDD"/>
            </w:tcBorders>
            <w:shd w:val="clear" w:color="auto" w:fill="auto"/>
            <w:tcMar>
              <w:top w:w="75" w:type="dxa"/>
              <w:left w:w="75" w:type="dxa"/>
              <w:bottom w:w="75" w:type="dxa"/>
              <w:right w:w="75" w:type="dxa"/>
            </w:tcMar>
            <w:hideMark/>
          </w:tcPr>
          <w:p w14:paraId="785155B2" w14:textId="77777777" w:rsidR="007C21B3" w:rsidRPr="00F27B0B" w:rsidRDefault="007C21B3" w:rsidP="001E6111">
            <w:pPr>
              <w:spacing w:after="300" w:line="240" w:lineRule="auto"/>
              <w:rPr>
                <w:rFonts w:ascii="Times New Roman" w:eastAsia="Times New Roman" w:hAnsi="Times New Roman" w:cs="Times New Roman"/>
              </w:rPr>
            </w:pPr>
            <w:r w:rsidRPr="00F27B0B">
              <w:rPr>
                <w:rFonts w:ascii="Times New Roman" w:eastAsia="Times New Roman" w:hAnsi="Times New Roman" w:cs="Times New Roman"/>
              </w:rPr>
              <w:t>6.500</w:t>
            </w:r>
          </w:p>
        </w:tc>
        <w:tc>
          <w:tcPr>
            <w:tcW w:w="0" w:type="auto"/>
            <w:tcBorders>
              <w:top w:val="single" w:sz="6" w:space="0" w:color="DDDDDD"/>
            </w:tcBorders>
            <w:shd w:val="clear" w:color="auto" w:fill="auto"/>
            <w:tcMar>
              <w:top w:w="75" w:type="dxa"/>
              <w:left w:w="75" w:type="dxa"/>
              <w:bottom w:w="75" w:type="dxa"/>
              <w:right w:w="75" w:type="dxa"/>
            </w:tcMar>
            <w:hideMark/>
          </w:tcPr>
          <w:p w14:paraId="635191E9" w14:textId="77777777" w:rsidR="007C21B3" w:rsidRPr="00F27B0B" w:rsidRDefault="007C21B3" w:rsidP="001E6111">
            <w:pPr>
              <w:spacing w:after="300" w:line="240" w:lineRule="auto"/>
              <w:rPr>
                <w:rFonts w:ascii="Times New Roman" w:eastAsia="Times New Roman" w:hAnsi="Times New Roman" w:cs="Times New Roman"/>
              </w:rPr>
            </w:pPr>
            <w:r w:rsidRPr="00F27B0B">
              <w:rPr>
                <w:rFonts w:ascii="Times New Roman" w:eastAsia="Times New Roman" w:hAnsi="Times New Roman" w:cs="Times New Roman"/>
              </w:rPr>
              <w:t>&lt;0.001</w:t>
            </w:r>
          </w:p>
        </w:tc>
      </w:tr>
    </w:tbl>
    <w:p w14:paraId="1E8F0D7C" w14:textId="77777777" w:rsidR="007C21B3" w:rsidRPr="00AD683C" w:rsidRDefault="007C21B3">
      <w:pPr>
        <w:rPr>
          <w:rFonts w:ascii="Times New Roman" w:hAnsi="Times New Roman" w:cs="Times New Roman"/>
        </w:rPr>
      </w:pPr>
    </w:p>
    <w:p w14:paraId="59FCD3C4" w14:textId="77777777" w:rsidR="0081107E" w:rsidRPr="00AD683C" w:rsidRDefault="00000000">
      <w:pPr>
        <w:rPr>
          <w:rFonts w:ascii="Times New Roman" w:hAnsi="Times New Roman" w:cs="Times New Roman"/>
        </w:rPr>
      </w:pPr>
      <w:r w:rsidRPr="00AD683C">
        <w:rPr>
          <w:rFonts w:ascii="Times New Roman" w:hAnsi="Times New Roman" w:cs="Times New Roman"/>
        </w:rPr>
        <w:t>The regression table quantifies the precise impact of each predictor variable. Most notably: - Daily_Churn_Rate’s large negative coefficient (-0.830) demonstrates its dominant influence on retention - Response_Accuracy and User_Return_Frequency show similar positive impacts (0.450 and 0.380 respectively) - The AI_Platform coefficient (0.156) confirms DeepSeek’s inherent advantage in retention All coefficients show high statistical significance (p &lt; 0.001), validating their reliability as predictors.</w:t>
      </w:r>
    </w:p>
    <w:p w14:paraId="5354F52C" w14:textId="77777777" w:rsidR="0081107E" w:rsidRPr="00AD683C" w:rsidRDefault="00000000">
      <w:pPr>
        <w:rPr>
          <w:rFonts w:ascii="Times New Roman" w:hAnsi="Times New Roman" w:cs="Times New Roman"/>
          <w:b/>
          <w:bCs/>
          <w:sz w:val="24"/>
          <w:szCs w:val="24"/>
        </w:rPr>
      </w:pPr>
      <w:r w:rsidRPr="00AD683C">
        <w:rPr>
          <w:rFonts w:ascii="Times New Roman" w:hAnsi="Times New Roman" w:cs="Times New Roman"/>
          <w:b/>
          <w:bCs/>
          <w:sz w:val="24"/>
          <w:szCs w:val="24"/>
        </w:rPr>
        <w:t>Retention Rate vs Response Accuracy Plot</w:t>
      </w:r>
    </w:p>
    <w:p w14:paraId="5CC14E4A" w14:textId="7A6052CB" w:rsidR="007C21B3" w:rsidRPr="00AD683C" w:rsidRDefault="007C21B3">
      <w:pPr>
        <w:rPr>
          <w:rFonts w:ascii="Times New Roman" w:hAnsi="Times New Roman" w:cs="Times New Roman"/>
        </w:rPr>
      </w:pPr>
      <w:r w:rsidRPr="00AD683C">
        <w:rPr>
          <w:rFonts w:ascii="Times New Roman" w:eastAsia="Times New Roman" w:hAnsi="Times New Roman" w:cs="Times New Roman"/>
          <w:noProof/>
          <w:color w:val="333333"/>
          <w:sz w:val="21"/>
          <w:szCs w:val="21"/>
        </w:rPr>
        <w:drawing>
          <wp:inline distT="0" distB="0" distL="0" distR="0" wp14:anchorId="5C552E87" wp14:editId="641A9239">
            <wp:extent cx="5486400" cy="3080825"/>
            <wp:effectExtent l="0" t="0" r="0" b="0"/>
            <wp:docPr id="1491273805" name="Picture 2" descr="Retention Rate vs Response Accuracy by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tention Rate vs Response Accuracy by Platfor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6400" cy="3080825"/>
                    </a:xfrm>
                    <a:prstGeom prst="rect">
                      <a:avLst/>
                    </a:prstGeom>
                    <a:noFill/>
                    <a:ln>
                      <a:noFill/>
                    </a:ln>
                  </pic:spPr>
                </pic:pic>
              </a:graphicData>
            </a:graphic>
          </wp:inline>
        </w:drawing>
      </w:r>
    </w:p>
    <w:p w14:paraId="7D4E7332" w14:textId="77777777" w:rsidR="0081107E" w:rsidRPr="00AD683C" w:rsidRDefault="00000000">
      <w:pPr>
        <w:rPr>
          <w:rFonts w:ascii="Times New Roman" w:hAnsi="Times New Roman" w:cs="Times New Roman"/>
        </w:rPr>
      </w:pPr>
      <w:r w:rsidRPr="00AD683C">
        <w:rPr>
          <w:rFonts w:ascii="Times New Roman" w:hAnsi="Times New Roman" w:cs="Times New Roman"/>
        </w:rPr>
        <w:t>The scatter plot with regression lines shows: - A clear positive relationship between Response_Accuracy and Retention_Rate - Distinct clustering patterns for each AI platform - DeepSeek consistently maintaining higher retention rates across accuracy levels - The parallel regression lines suggest similar accuracy-retention relationships across platforms</w:t>
      </w:r>
    </w:p>
    <w:p w14:paraId="45A639AD" w14:textId="77777777" w:rsidR="0081107E" w:rsidRPr="00AD683C" w:rsidRDefault="00000000">
      <w:pPr>
        <w:rPr>
          <w:rFonts w:ascii="Times New Roman" w:hAnsi="Times New Roman" w:cs="Times New Roman"/>
          <w:b/>
          <w:bCs/>
          <w:sz w:val="24"/>
          <w:szCs w:val="24"/>
        </w:rPr>
      </w:pPr>
      <w:r w:rsidRPr="00AD683C">
        <w:rPr>
          <w:rFonts w:ascii="Times New Roman" w:hAnsi="Times New Roman" w:cs="Times New Roman"/>
          <w:b/>
          <w:bCs/>
          <w:sz w:val="24"/>
          <w:szCs w:val="24"/>
        </w:rPr>
        <w:t>Regression Diagnostics</w:t>
      </w:r>
    </w:p>
    <w:p w14:paraId="14FF8D13" w14:textId="5443C509" w:rsidR="0081107E" w:rsidRPr="00AD683C" w:rsidRDefault="00000000">
      <w:pPr>
        <w:rPr>
          <w:rFonts w:ascii="Times New Roman" w:hAnsi="Times New Roman" w:cs="Times New Roman"/>
        </w:rPr>
      </w:pPr>
      <w:r w:rsidRPr="00AD683C">
        <w:rPr>
          <w:rFonts w:ascii="Times New Roman" w:hAnsi="Times New Roman" w:cs="Times New Roman"/>
        </w:rPr>
        <w:t xml:space="preserve">The diagnostic plots validate </w:t>
      </w:r>
      <w:r w:rsidR="00C30533">
        <w:rPr>
          <w:rFonts w:ascii="Times New Roman" w:hAnsi="Times New Roman" w:cs="Times New Roman"/>
        </w:rPr>
        <w:t>the</w:t>
      </w:r>
      <w:r w:rsidRPr="00AD683C">
        <w:rPr>
          <w:rFonts w:ascii="Times New Roman" w:hAnsi="Times New Roman" w:cs="Times New Roman"/>
        </w:rPr>
        <w:t xml:space="preserve"> model’s reliability: - The residuals vs fitted plot shows no clear patterns, confirming linearity - The normal Q-Q plot indicates well-behaved residuals - The scale-</w:t>
      </w:r>
      <w:r w:rsidRPr="00AD683C">
        <w:rPr>
          <w:rFonts w:ascii="Times New Roman" w:hAnsi="Times New Roman" w:cs="Times New Roman"/>
        </w:rPr>
        <w:lastRenderedPageBreak/>
        <w:t xml:space="preserve">location plot suggests consistent variance - No influential outliers are detected in the </w:t>
      </w:r>
      <w:proofErr w:type="gramStart"/>
      <w:r w:rsidRPr="00AD683C">
        <w:rPr>
          <w:rFonts w:ascii="Times New Roman" w:hAnsi="Times New Roman" w:cs="Times New Roman"/>
        </w:rPr>
        <w:t>residuals</w:t>
      </w:r>
      <w:proofErr w:type="gramEnd"/>
      <w:r w:rsidRPr="00AD683C">
        <w:rPr>
          <w:rFonts w:ascii="Times New Roman" w:hAnsi="Times New Roman" w:cs="Times New Roman"/>
        </w:rPr>
        <w:t xml:space="preserve"> vs leverage plot</w:t>
      </w:r>
    </w:p>
    <w:p w14:paraId="2AD3C29B" w14:textId="77777777" w:rsidR="0081107E" w:rsidRPr="00AD683C" w:rsidRDefault="00000000">
      <w:pPr>
        <w:rPr>
          <w:rFonts w:ascii="Times New Roman" w:hAnsi="Times New Roman" w:cs="Times New Roman"/>
        </w:rPr>
      </w:pPr>
      <w:r w:rsidRPr="00AD683C">
        <w:rPr>
          <w:rFonts w:ascii="Times New Roman" w:hAnsi="Times New Roman" w:cs="Times New Roman"/>
        </w:rPr>
        <w:t>Regression Analysis Results: Predicting Retention Rate</w:t>
      </w:r>
    </w:p>
    <w:p w14:paraId="5A834044" w14:textId="749D7312" w:rsidR="0081107E" w:rsidRPr="00AD683C" w:rsidRDefault="00000000">
      <w:pPr>
        <w:rPr>
          <w:rFonts w:ascii="Times New Roman" w:hAnsi="Times New Roman" w:cs="Times New Roman"/>
        </w:rPr>
      </w:pPr>
      <w:r w:rsidRPr="00AD683C">
        <w:rPr>
          <w:rFonts w:ascii="Times New Roman" w:hAnsi="Times New Roman" w:cs="Times New Roman"/>
        </w:rPr>
        <w:t>R-squared: 0.89 F-statistic: 198.4 (p &lt; 0.001)</w:t>
      </w:r>
    </w:p>
    <w:p w14:paraId="6B5C1C43" w14:textId="47B51D4B" w:rsidR="007C21B3" w:rsidRPr="00AD683C" w:rsidRDefault="007C21B3">
      <w:pPr>
        <w:rPr>
          <w:rFonts w:ascii="Times New Roman" w:hAnsi="Times New Roman" w:cs="Times New Roman"/>
        </w:rPr>
      </w:pPr>
      <w:r w:rsidRPr="00AD683C">
        <w:rPr>
          <w:rFonts w:ascii="Times New Roman" w:eastAsia="Times New Roman" w:hAnsi="Times New Roman" w:cs="Times New Roman"/>
          <w:noProof/>
          <w:color w:val="333333"/>
          <w:sz w:val="21"/>
          <w:szCs w:val="21"/>
        </w:rPr>
        <w:drawing>
          <wp:inline distT="0" distB="0" distL="0" distR="0" wp14:anchorId="0A318FC1" wp14:editId="1C76592D">
            <wp:extent cx="5486400" cy="3660531"/>
            <wp:effectExtent l="0" t="0" r="0" b="0"/>
            <wp:docPr id="1873284360" name="Picture 1" descr="Regression Diagno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gression Diagnostic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660531"/>
                    </a:xfrm>
                    <a:prstGeom prst="rect">
                      <a:avLst/>
                    </a:prstGeom>
                    <a:noFill/>
                    <a:ln>
                      <a:noFill/>
                    </a:ln>
                  </pic:spPr>
                </pic:pic>
              </a:graphicData>
            </a:graphic>
          </wp:inline>
        </w:drawing>
      </w:r>
    </w:p>
    <w:p w14:paraId="78455900" w14:textId="04966FC3" w:rsidR="0081107E" w:rsidRPr="00AD683C" w:rsidRDefault="00000000">
      <w:pPr>
        <w:rPr>
          <w:rFonts w:ascii="Times New Roman" w:hAnsi="Times New Roman" w:cs="Times New Roman"/>
        </w:rPr>
      </w:pPr>
      <w:r w:rsidRPr="00AD683C">
        <w:rPr>
          <w:rFonts w:ascii="Times New Roman" w:hAnsi="Times New Roman" w:cs="Times New Roman"/>
        </w:rPr>
        <w:t xml:space="preserve">While correlation analysis reveals the strength and direction of relationships between variables, regression analysis provides a more sophisticated understanding of causality and prediction. </w:t>
      </w:r>
      <w:r w:rsidR="00C30533">
        <w:rPr>
          <w:rFonts w:ascii="Times New Roman" w:hAnsi="Times New Roman" w:cs="Times New Roman"/>
        </w:rPr>
        <w:t>The</w:t>
      </w:r>
      <w:r w:rsidRPr="00AD683C">
        <w:rPr>
          <w:rFonts w:ascii="Times New Roman" w:hAnsi="Times New Roman" w:cs="Times New Roman"/>
        </w:rPr>
        <w:t xml:space="preserve"> correlation analysis showed the existence of relationships, but regression analysis quantifies how changes in predictor variables (Response_Accuracy, User_Return_Frequency, </w:t>
      </w:r>
      <w:proofErr w:type="gramStart"/>
      <w:r w:rsidRPr="00AD683C">
        <w:rPr>
          <w:rFonts w:ascii="Times New Roman" w:hAnsi="Times New Roman" w:cs="Times New Roman"/>
        </w:rPr>
        <w:t>Daily</w:t>
      </w:r>
      <w:proofErr w:type="gramEnd"/>
      <w:r w:rsidRPr="00AD683C">
        <w:rPr>
          <w:rFonts w:ascii="Times New Roman" w:hAnsi="Times New Roman" w:cs="Times New Roman"/>
        </w:rPr>
        <w:t xml:space="preserve">_Churn_Rate, and AI_Platform) specifically impact the outcome variable (Retention_Rate). This distinction is crucial: correlation tells us that Response_Accuracy and Retention_Rate are positively related (0.73), but regression reveals that a one-unit increase in Response_Accuracy leads to a 0.45-unit increase in Retention_Rate, controlling for other factors. The regression diagnostics further validate </w:t>
      </w:r>
      <w:r w:rsidR="00C30533">
        <w:rPr>
          <w:rFonts w:ascii="Times New Roman" w:hAnsi="Times New Roman" w:cs="Times New Roman"/>
        </w:rPr>
        <w:t>the</w:t>
      </w:r>
      <w:r w:rsidRPr="00AD683C">
        <w:rPr>
          <w:rFonts w:ascii="Times New Roman" w:hAnsi="Times New Roman" w:cs="Times New Roman"/>
        </w:rPr>
        <w:t xml:space="preserve"> model’s assumptions, showing well-behaved residuals and confirming the reliability of </w:t>
      </w:r>
      <w:r w:rsidR="00C30533">
        <w:rPr>
          <w:rFonts w:ascii="Times New Roman" w:hAnsi="Times New Roman" w:cs="Times New Roman"/>
        </w:rPr>
        <w:t>the</w:t>
      </w:r>
      <w:r w:rsidRPr="00AD683C">
        <w:rPr>
          <w:rFonts w:ascii="Times New Roman" w:hAnsi="Times New Roman" w:cs="Times New Roman"/>
        </w:rPr>
        <w:t xml:space="preserve"> predictions.</w:t>
      </w:r>
    </w:p>
    <w:p w14:paraId="17744F36" w14:textId="77777777" w:rsidR="0081107E" w:rsidRPr="00AD683C" w:rsidRDefault="00000000">
      <w:pPr>
        <w:rPr>
          <w:rFonts w:ascii="Times New Roman" w:hAnsi="Times New Roman" w:cs="Times New Roman"/>
          <w:b/>
          <w:bCs/>
          <w:sz w:val="28"/>
          <w:szCs w:val="28"/>
        </w:rPr>
      </w:pPr>
      <w:r w:rsidRPr="00AD683C">
        <w:rPr>
          <w:rFonts w:ascii="Times New Roman" w:hAnsi="Times New Roman" w:cs="Times New Roman"/>
          <w:b/>
          <w:bCs/>
          <w:sz w:val="28"/>
          <w:szCs w:val="28"/>
        </w:rPr>
        <w:t>Platform Performance Comparison</w:t>
      </w:r>
    </w:p>
    <w:p w14:paraId="640F87FB" w14:textId="77777777" w:rsidR="0081107E" w:rsidRPr="00AD683C" w:rsidRDefault="00000000">
      <w:pPr>
        <w:rPr>
          <w:rFonts w:ascii="Times New Roman" w:hAnsi="Times New Roman" w:cs="Times New Roman"/>
        </w:rPr>
      </w:pPr>
      <w:r w:rsidRPr="00AD683C">
        <w:rPr>
          <w:rFonts w:ascii="Times New Roman" w:hAnsi="Times New Roman" w:cs="Times New Roman"/>
        </w:rPr>
        <w:t>DeepSeek demonstrates superior technical query handling with a 91% accuracy rate compared to ChatGPT’s 78%, representing a significant 13-point advantage in specialized interactions. This performance gap is particularly meaningful given the increasing importance of technical queries in AI platform usage.</w:t>
      </w:r>
    </w:p>
    <w:p w14:paraId="42E09F52" w14:textId="77777777" w:rsidR="0081107E" w:rsidRDefault="00000000">
      <w:pPr>
        <w:rPr>
          <w:rFonts w:ascii="Times New Roman" w:hAnsi="Times New Roman" w:cs="Times New Roman"/>
        </w:rPr>
      </w:pPr>
      <w:r w:rsidRPr="00AD683C">
        <w:rPr>
          <w:rFonts w:ascii="Times New Roman" w:hAnsi="Times New Roman" w:cs="Times New Roman"/>
        </w:rPr>
        <w:lastRenderedPageBreak/>
        <w:t>The platform comparison reveals DeepSeek’s comprehensive performance advantage, with higher metrics across all key indicators. Its average user return frequency of 5.8 visits compared to ChatGPT’s 4.2 suggests stronger user engagement, while its 95% retention rate (versus ChatGPT’s 92%) indicates more successful long-term user relationships. These differences, while seemingly modest in percentage terms, represent substantial advantages in platform stability and growth potential.</w:t>
      </w:r>
    </w:p>
    <w:p w14:paraId="68793A45" w14:textId="1C33C9AB" w:rsidR="00C30533" w:rsidRPr="00C30533" w:rsidRDefault="00C30533" w:rsidP="00C30533">
      <w:pPr>
        <w:rPr>
          <w:rFonts w:ascii="Times New Roman" w:hAnsi="Times New Roman" w:cs="Times New Roman"/>
          <w:b/>
          <w:bCs/>
          <w:sz w:val="24"/>
          <w:szCs w:val="24"/>
        </w:rPr>
      </w:pPr>
      <w:r w:rsidRPr="00C30533">
        <w:rPr>
          <w:rFonts w:ascii="Times New Roman" w:hAnsi="Times New Roman" w:cs="Times New Roman"/>
          <w:b/>
          <w:bCs/>
          <w:sz w:val="24"/>
          <w:szCs w:val="24"/>
        </w:rPr>
        <w:t>Distinguishing Regression from Correlation Analysis</w:t>
      </w:r>
    </w:p>
    <w:p w14:paraId="310A2C76" w14:textId="626D2FB7" w:rsidR="00C30533" w:rsidRPr="00C30533" w:rsidRDefault="00C30533" w:rsidP="00C30533">
      <w:pPr>
        <w:rPr>
          <w:rFonts w:ascii="Times New Roman" w:hAnsi="Times New Roman" w:cs="Times New Roman"/>
        </w:rPr>
      </w:pPr>
      <w:r w:rsidRPr="00C30533">
        <w:rPr>
          <w:rFonts w:ascii="Times New Roman" w:hAnsi="Times New Roman" w:cs="Times New Roman"/>
        </w:rPr>
        <w:t xml:space="preserve">While correlation analysis measures the strength and direction of relationships between variables, regression analysis goes several steps further by quantifying causal relationships and enabling predictions. Our correlation findings revealed strong associations, such as the -0.92 correlation between </w:t>
      </w:r>
      <w:proofErr w:type="spellStart"/>
      <w:r w:rsidRPr="00C30533">
        <w:rPr>
          <w:rFonts w:ascii="Times New Roman" w:hAnsi="Times New Roman" w:cs="Times New Roman"/>
        </w:rPr>
        <w:t>Daily_Churn_Rate</w:t>
      </w:r>
      <w:proofErr w:type="spellEnd"/>
      <w:r w:rsidRPr="00C30533">
        <w:rPr>
          <w:rFonts w:ascii="Times New Roman" w:hAnsi="Times New Roman" w:cs="Times New Roman"/>
        </w:rPr>
        <w:t xml:space="preserve"> and </w:t>
      </w:r>
      <w:proofErr w:type="spellStart"/>
      <w:r w:rsidRPr="00C30533">
        <w:rPr>
          <w:rFonts w:ascii="Times New Roman" w:hAnsi="Times New Roman" w:cs="Times New Roman"/>
        </w:rPr>
        <w:t>Retention_Rate</w:t>
      </w:r>
      <w:proofErr w:type="spellEnd"/>
      <w:r w:rsidRPr="00C30533">
        <w:rPr>
          <w:rFonts w:ascii="Times New Roman" w:hAnsi="Times New Roman" w:cs="Times New Roman"/>
        </w:rPr>
        <w:t xml:space="preserve">, but regression analysis provides actionable insights about the magnitude of these relationships. For instance, our regression model demonstrates that for every unit increase in </w:t>
      </w:r>
      <w:proofErr w:type="spellStart"/>
      <w:r w:rsidRPr="00C30533">
        <w:rPr>
          <w:rFonts w:ascii="Times New Roman" w:hAnsi="Times New Roman" w:cs="Times New Roman"/>
        </w:rPr>
        <w:t>Daily_Churn_Rate</w:t>
      </w:r>
      <w:proofErr w:type="spellEnd"/>
      <w:r w:rsidRPr="00C30533">
        <w:rPr>
          <w:rFonts w:ascii="Times New Roman" w:hAnsi="Times New Roman" w:cs="Times New Roman"/>
        </w:rPr>
        <w:t xml:space="preserve">, there is a precise 0.83 unit decrease in </w:t>
      </w:r>
      <w:proofErr w:type="spellStart"/>
      <w:r w:rsidRPr="00C30533">
        <w:rPr>
          <w:rFonts w:ascii="Times New Roman" w:hAnsi="Times New Roman" w:cs="Times New Roman"/>
        </w:rPr>
        <w:t>Retention_Rate</w:t>
      </w:r>
      <w:proofErr w:type="spellEnd"/>
      <w:r w:rsidRPr="00C30533">
        <w:rPr>
          <w:rFonts w:ascii="Times New Roman" w:hAnsi="Times New Roman" w:cs="Times New Roman"/>
        </w:rPr>
        <w:t>, controlling for other factors.</w:t>
      </w:r>
    </w:p>
    <w:p w14:paraId="2E578D7F" w14:textId="6CB121DE" w:rsidR="00C30533" w:rsidRPr="00AD683C" w:rsidRDefault="00C30533" w:rsidP="00C30533">
      <w:pPr>
        <w:rPr>
          <w:rFonts w:ascii="Times New Roman" w:hAnsi="Times New Roman" w:cs="Times New Roman"/>
        </w:rPr>
      </w:pPr>
      <w:r w:rsidRPr="00C30533">
        <w:rPr>
          <w:rFonts w:ascii="Times New Roman" w:hAnsi="Times New Roman" w:cs="Times New Roman"/>
        </w:rPr>
        <w:t xml:space="preserve">The regression model's high R-squared value of 0.89 indicates that our selected predictors explain 89% of the variance in retention rates, providing much richer insights than correlation alone. Furthermore, while correlation only examines pairwise relationships, our regression model simultaneously considers multiple variables' effects, revealing that </w:t>
      </w:r>
      <w:proofErr w:type="spellStart"/>
      <w:r w:rsidRPr="00C30533">
        <w:rPr>
          <w:rFonts w:ascii="Times New Roman" w:hAnsi="Times New Roman" w:cs="Times New Roman"/>
        </w:rPr>
        <w:t>Response_Accuracy</w:t>
      </w:r>
      <w:proofErr w:type="spellEnd"/>
      <w:r w:rsidRPr="00C30533">
        <w:rPr>
          <w:rFonts w:ascii="Times New Roman" w:hAnsi="Times New Roman" w:cs="Times New Roman"/>
        </w:rPr>
        <w:t xml:space="preserve"> (β = 0.45) and </w:t>
      </w:r>
      <w:proofErr w:type="spellStart"/>
      <w:r w:rsidRPr="00C30533">
        <w:rPr>
          <w:rFonts w:ascii="Times New Roman" w:hAnsi="Times New Roman" w:cs="Times New Roman"/>
        </w:rPr>
        <w:t>User_Return_Frequency</w:t>
      </w:r>
      <w:proofErr w:type="spellEnd"/>
      <w:r w:rsidRPr="00C30533">
        <w:rPr>
          <w:rFonts w:ascii="Times New Roman" w:hAnsi="Times New Roman" w:cs="Times New Roman"/>
        </w:rPr>
        <w:t xml:space="preserve"> (β = 0.38) both independently contribute to retention rates when controlling for other factors. This multivariate approach provides a more comprehensive understanding of the complex dynamics driving platform performance.</w:t>
      </w:r>
    </w:p>
    <w:p w14:paraId="6F341739" w14:textId="77777777" w:rsidR="0081107E" w:rsidRPr="00AD683C" w:rsidRDefault="0081107E">
      <w:pPr>
        <w:rPr>
          <w:rFonts w:ascii="Times New Roman" w:hAnsi="Times New Roman" w:cs="Times New Roman"/>
        </w:rPr>
      </w:pPr>
    </w:p>
    <w:sectPr w:rsidR="0081107E" w:rsidRPr="00AD68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7935334">
    <w:abstractNumId w:val="8"/>
  </w:num>
  <w:num w:numId="2" w16cid:durableId="1739938388">
    <w:abstractNumId w:val="6"/>
  </w:num>
  <w:num w:numId="3" w16cid:durableId="1411079987">
    <w:abstractNumId w:val="5"/>
  </w:num>
  <w:num w:numId="4" w16cid:durableId="2038003073">
    <w:abstractNumId w:val="4"/>
  </w:num>
  <w:num w:numId="5" w16cid:durableId="1717774817">
    <w:abstractNumId w:val="7"/>
  </w:num>
  <w:num w:numId="6" w16cid:durableId="232013557">
    <w:abstractNumId w:val="3"/>
  </w:num>
  <w:num w:numId="7" w16cid:durableId="1026753962">
    <w:abstractNumId w:val="2"/>
  </w:num>
  <w:num w:numId="8" w16cid:durableId="2055033346">
    <w:abstractNumId w:val="1"/>
  </w:num>
  <w:num w:numId="9" w16cid:durableId="2073890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DF8"/>
    <w:rsid w:val="0015074B"/>
    <w:rsid w:val="0029639D"/>
    <w:rsid w:val="00326F90"/>
    <w:rsid w:val="007C21B3"/>
    <w:rsid w:val="0081107E"/>
    <w:rsid w:val="0082068B"/>
    <w:rsid w:val="00AA1D8D"/>
    <w:rsid w:val="00AD683C"/>
    <w:rsid w:val="00B47730"/>
    <w:rsid w:val="00C30533"/>
    <w:rsid w:val="00CA459F"/>
    <w:rsid w:val="00CB0664"/>
    <w:rsid w:val="00CB19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9FBDC5"/>
  <w14:defaultImageDpi w14:val="300"/>
  <w15:docId w15:val="{FBEE0BFD-109D-0941-B8DD-7DD034A21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D683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77940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mailto:panchal.devb@northeastern.edu"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6</Pages>
  <Words>1320</Words>
  <Characters>7528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 Bhadreshkumar Panchal</cp:lastModifiedBy>
  <cp:revision>7</cp:revision>
  <dcterms:created xsi:type="dcterms:W3CDTF">2013-12-23T23:15:00Z</dcterms:created>
  <dcterms:modified xsi:type="dcterms:W3CDTF">2025-03-21T20:29:00Z</dcterms:modified>
  <cp:category/>
</cp:coreProperties>
</file>