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mperature-sweep-summary"/>
    <w:p>
      <w:pPr>
        <w:pStyle w:val="Heading1"/>
      </w:pPr>
      <w:r>
        <w:t xml:space="preserve">1. Temperature Sweep Summary</w:t>
      </w:r>
    </w:p>
    <w:bookmarkStart w:id="20" w:name="m1a-supcon"/>
    <w:p>
      <w:pPr>
        <w:pStyle w:val="Heading2"/>
      </w:pPr>
      <w:r>
        <w:t xml:space="preserve">M1A (SupCon)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EER ↓</w:t>
            </w:r>
          </w:p>
        </w:tc>
        <w:tc>
          <w:tcPr/>
          <w:p>
            <w:pPr>
              <w:pStyle w:val="Compact"/>
            </w:pPr>
            <w:r>
              <w:t xml:space="preserve">Rank-1 ↑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0.85%</w:t>
            </w:r>
          </w:p>
        </w:tc>
        <w:tc>
          <w:tcPr/>
          <w:p>
            <w:pPr>
              <w:pStyle w:val="Compact"/>
            </w:pPr>
            <w:r>
              <w:t xml:space="preserve">77.13%</w:t>
            </w:r>
          </w:p>
        </w:tc>
        <w:tc>
          <w:tcPr/>
          <w:p>
            <w:pPr>
              <w:pStyle w:val="Compact"/>
            </w:pPr>
            <w:r>
              <w:t xml:space="preserve">⭐ Selected (Best 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0.91%</w:t>
            </w:r>
          </w:p>
        </w:tc>
        <w:tc>
          <w:tcPr/>
          <w:p>
            <w:pPr>
              <w:pStyle w:val="Compact"/>
            </w:pPr>
            <w:r>
              <w:t xml:space="preserve">78.03%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0.90%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78.48%</w:t>
            </w:r>
          </w:p>
        </w:tc>
        <w:tc>
          <w:tcPr/>
          <w:p>
            <w:pPr>
              <w:pStyle w:val="Compact"/>
            </w:pPr>
            <w:r>
              <w:t xml:space="preserve">Best Rank-1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  <w:tc>
          <w:tcPr/>
          <w:p>
            <w:pPr>
              <w:pStyle w:val="Compact"/>
            </w:pPr>
            <w:r>
              <w:t xml:space="preserve">59.19%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0.96%</w:t>
            </w:r>
          </w:p>
        </w:tc>
        <w:tc>
          <w:tcPr/>
          <w:p>
            <w:pPr>
              <w:pStyle w:val="Compact"/>
            </w:pPr>
            <w:r>
              <w:t xml:space="preserve">68.16%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1.29%</w:t>
            </w:r>
          </w:p>
        </w:tc>
        <w:tc>
          <w:tcPr/>
          <w:p>
            <w:pPr>
              <w:pStyle w:val="Compact"/>
            </w:pPr>
            <w:r>
              <w:t xml:space="preserve">62.33%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0.94%</w:t>
            </w:r>
          </w:p>
        </w:tc>
        <w:tc>
          <w:tcPr/>
          <w:p>
            <w:pPr>
              <w:pStyle w:val="Compact"/>
            </w:pPr>
            <w:r>
              <w:t xml:space="preserve">71.30%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Selected Temperature:</w:t>
      </w:r>
      <w:r>
        <w:t xml:space="preserve"> </w:t>
      </w:r>
      <w:r>
        <w:rPr>
          <w:b/>
          <w:bCs/>
        </w:rPr>
        <w:t xml:space="preserve">T = 0.03</w:t>
      </w:r>
    </w:p>
    <w:p>
      <w:r>
        <w:pict>
          <v:rect style="width:0;height:1.5pt" o:hralign="center" o:hrstd="t" o:hr="t"/>
        </w:pict>
      </w:r>
    </w:p>
    <w:bookmarkEnd w:id="20"/>
    <w:bookmarkStart w:id="21" w:name="g2a-supcon"/>
    <w:p>
      <w:pPr>
        <w:pStyle w:val="Heading2"/>
      </w:pPr>
      <w:r>
        <w:t xml:space="preserve">G2A (SupCon)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EER ↓</w:t>
            </w:r>
          </w:p>
        </w:tc>
        <w:tc>
          <w:tcPr/>
          <w:p>
            <w:pPr>
              <w:pStyle w:val="Compact"/>
            </w:pPr>
            <w:r>
              <w:t xml:space="preserve">Rank-1 ↑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0.90%</w:t>
            </w:r>
          </w:p>
        </w:tc>
        <w:tc>
          <w:tcPr/>
          <w:p>
            <w:pPr>
              <w:pStyle w:val="Compact"/>
            </w:pPr>
            <w:r>
              <w:t xml:space="preserve">82.51%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85.65%</w:t>
            </w:r>
          </w:p>
        </w:tc>
        <w:tc>
          <w:tcPr/>
          <w:p>
            <w:pPr>
              <w:pStyle w:val="Compact"/>
            </w:pPr>
            <w:r>
              <w:t xml:space="preserve">⭐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0.94%</w:t>
            </w:r>
          </w:p>
        </w:tc>
        <w:tc>
          <w:tcPr/>
          <w:p>
            <w:pPr>
              <w:pStyle w:val="Compact"/>
            </w:pPr>
            <w:r>
              <w:t xml:space="preserve">79.82%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0.90%</w:t>
            </w:r>
          </w:p>
        </w:tc>
        <w:tc>
          <w:tcPr/>
          <w:p>
            <w:pPr>
              <w:pStyle w:val="Compact"/>
            </w:pPr>
            <w:r>
              <w:t xml:space="preserve">79.37%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0.94%</w:t>
            </w:r>
          </w:p>
        </w:tc>
        <w:tc>
          <w:tcPr/>
          <w:p>
            <w:pPr>
              <w:pStyle w:val="Compact"/>
            </w:pPr>
            <w:r>
              <w:t xml:space="preserve">80.72%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0.89%</w:t>
            </w:r>
          </w:p>
        </w:tc>
        <w:tc>
          <w:tcPr/>
          <w:p>
            <w:pPr>
              <w:pStyle w:val="Compact"/>
            </w:pPr>
            <w:r>
              <w:t xml:space="preserve">80.72%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0.93%</w:t>
            </w:r>
          </w:p>
        </w:tc>
        <w:tc>
          <w:tcPr/>
          <w:p>
            <w:pPr>
              <w:pStyle w:val="Compact"/>
            </w:pPr>
            <w:r>
              <w:t xml:space="preserve">77.58%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Selected Temperature:</w:t>
      </w:r>
      <w:r>
        <w:t xml:space="preserve"> </w:t>
      </w:r>
      <w:r>
        <w:rPr>
          <w:b/>
          <w:bCs/>
        </w:rPr>
        <w:t xml:space="preserve">T = 0.05</w:t>
      </w:r>
    </w:p>
    <w:p>
      <w:r>
        <w:pict>
          <v:rect style="width:0;height:1.5pt" o:hralign="center" o:hrstd="t" o:hr="t"/>
        </w:pict>
      </w:r>
    </w:p>
    <w:bookmarkEnd w:id="21"/>
    <w:bookmarkStart w:id="22" w:name="m2a-supcon"/>
    <w:p>
      <w:pPr>
        <w:pStyle w:val="Heading2"/>
      </w:pPr>
      <w:r>
        <w:t xml:space="preserve">M2A (SupCon)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EER ↓</w:t>
            </w:r>
          </w:p>
        </w:tc>
        <w:tc>
          <w:tcPr/>
          <w:p>
            <w:pPr>
              <w:pStyle w:val="Compact"/>
            </w:pPr>
            <w:r>
              <w:t xml:space="preserve">Rank-1 ↑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1.81%</w:t>
            </w:r>
          </w:p>
        </w:tc>
        <w:tc>
          <w:tcPr/>
          <w:p>
            <w:pPr>
              <w:pStyle w:val="Compact"/>
            </w:pPr>
            <w:r>
              <w:t xml:space="preserve">47.09%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1.37%</w:t>
            </w:r>
          </w:p>
        </w:tc>
        <w:tc>
          <w:tcPr/>
          <w:p>
            <w:pPr>
              <w:pStyle w:val="Compact"/>
            </w:pPr>
            <w:r>
              <w:t xml:space="preserve">60.54%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1.29%</w:t>
            </w:r>
          </w:p>
        </w:tc>
        <w:tc>
          <w:tcPr/>
          <w:p>
            <w:pPr>
              <w:pStyle w:val="Compact"/>
            </w:pPr>
            <w:r>
              <w:t xml:space="preserve">65.47%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1.25%</w:t>
            </w:r>
          </w:p>
        </w:tc>
        <w:tc>
          <w:tcPr/>
          <w:p>
            <w:pPr>
              <w:pStyle w:val="Compact"/>
            </w:pPr>
            <w:r>
              <w:t xml:space="preserve">65.92%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0.90%</w:t>
            </w:r>
          </w:p>
        </w:tc>
        <w:tc>
          <w:tcPr/>
          <w:p>
            <w:pPr>
              <w:pStyle w:val="Compact"/>
            </w:pPr>
            <w:r>
              <w:t xml:space="preserve">74.89%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0.90%</w:t>
            </w:r>
          </w:p>
        </w:tc>
        <w:tc>
          <w:tcPr/>
          <w:p>
            <w:pPr>
              <w:pStyle w:val="Compact"/>
            </w:pPr>
            <w:r>
              <w:t xml:space="preserve">76.68%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77.58%</w:t>
            </w:r>
          </w:p>
        </w:tc>
        <w:tc>
          <w:tcPr/>
          <w:p>
            <w:pPr>
              <w:pStyle w:val="Compact"/>
            </w:pPr>
            <w:r>
              <w:t xml:space="preserve">⭐ Selected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Selected Temperature:</w:t>
      </w:r>
      <w:r>
        <w:t xml:space="preserve"> </w:t>
      </w:r>
      <w:r>
        <w:rPr>
          <w:b/>
          <w:bCs/>
        </w:rPr>
        <w:t xml:space="preserve">T = 0.15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inal-model-comparison"/>
    <w:p>
      <w:pPr>
        <w:pStyle w:val="Heading1"/>
      </w:pPr>
      <w:r>
        <w:t xml:space="preserve">2. Final Model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Best Temp</w:t>
            </w:r>
          </w:p>
        </w:tc>
        <w:tc>
          <w:tcPr/>
          <w:p>
            <w:pPr>
              <w:pStyle w:val="Compact"/>
            </w:pPr>
            <w:r>
              <w:t xml:space="preserve">EER ↓</w:t>
            </w:r>
          </w:p>
        </w:tc>
        <w:tc>
          <w:tcPr/>
          <w:p>
            <w:pPr>
              <w:pStyle w:val="Compact"/>
            </w:pPr>
            <w:r>
              <w:t xml:space="preserve">Rank-1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SupCon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1.44%</w:t>
            </w:r>
          </w:p>
        </w:tc>
        <w:tc>
          <w:tcPr/>
          <w:p>
            <w:pPr>
              <w:pStyle w:val="Compact"/>
            </w:pPr>
            <w:r>
              <w:t xml:space="preserve">57.40%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SupCon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1.38%</w:t>
            </w:r>
          </w:p>
        </w:tc>
        <w:tc>
          <w:tcPr/>
          <w:p>
            <w:pPr>
              <w:pStyle w:val="Compact"/>
            </w:pPr>
            <w:r>
              <w:t xml:space="preserve">63.68%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M1A</w:t>
            </w:r>
          </w:p>
        </w:tc>
        <w:tc>
          <w:tcPr/>
          <w:p>
            <w:pPr>
              <w:pStyle w:val="Compact"/>
            </w:pPr>
            <w:r>
              <w:t xml:space="preserve">SupCon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0.85%</w:t>
            </w:r>
          </w:p>
        </w:tc>
        <w:tc>
          <w:tcPr/>
          <w:p>
            <w:pPr>
              <w:pStyle w:val="Compact"/>
            </w:pPr>
            <w:r>
              <w:t xml:space="preserve">77.13%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M2A</w:t>
            </w:r>
          </w:p>
        </w:tc>
        <w:tc>
          <w:tcPr/>
          <w:p>
            <w:pPr>
              <w:pStyle w:val="Compact"/>
            </w:pPr>
            <w:r>
              <w:t xml:space="preserve">SupCon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0.85%</w:t>
            </w:r>
          </w:p>
        </w:tc>
        <w:tc>
          <w:tcPr/>
          <w:p>
            <w:pPr>
              <w:pStyle w:val="Compact"/>
            </w:pPr>
            <w:r>
              <w:t xml:space="preserve">77.58%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G2A</w:t>
            </w:r>
          </w:p>
        </w:tc>
        <w:tc>
          <w:tcPr/>
          <w:p>
            <w:pPr>
              <w:pStyle w:val="Compact"/>
            </w:pPr>
            <w:r>
              <w:t xml:space="preserve">SupCon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M1B</w:t>
            </w:r>
          </w:p>
        </w:tc>
        <w:tc>
          <w:tcPr/>
          <w:p>
            <w:pPr>
              <w:pStyle w:val="Compact"/>
            </w:pPr>
            <w:r>
              <w:t xml:space="preserve">AdaCos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3.62%</w:t>
            </w:r>
          </w:p>
        </w:tc>
        <w:tc>
          <w:tcPr/>
          <w:p>
            <w:pPr>
              <w:pStyle w:val="Compact"/>
            </w:pPr>
            <w:r>
              <w:t xml:space="preserve">73.09%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M2B</w:t>
            </w:r>
          </w:p>
        </w:tc>
        <w:tc>
          <w:tcPr/>
          <w:p>
            <w:pPr>
              <w:pStyle w:val="Compact"/>
            </w:pPr>
            <w:r>
              <w:t xml:space="preserve">AdaCos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1.42%</w:t>
            </w:r>
          </w:p>
        </w:tc>
        <w:tc>
          <w:tcPr/>
          <w:p>
            <w:pPr>
              <w:pStyle w:val="Compact"/>
            </w:pPr>
            <w:r>
              <w:t xml:space="preserve">85.20%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G2B</w:t>
            </w:r>
          </w:p>
        </w:tc>
        <w:tc>
          <w:tcPr/>
          <w:p>
            <w:pPr>
              <w:pStyle w:val="Compact"/>
            </w:pPr>
            <w:r>
              <w:t xml:space="preserve">AdaCos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5.02%</w:t>
            </w:r>
          </w:p>
        </w:tc>
        <w:tc>
          <w:tcPr/>
          <w:p>
            <w:pPr>
              <w:pStyle w:val="Compact"/>
            </w:pPr>
            <w:r>
              <w:t xml:space="preserve">79.37%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a1b0593405d126d9db2f8c1bdd34146adf5786c"/>
    <w:p>
      <w:pPr>
        <w:pStyle w:val="Heading1"/>
      </w:pPr>
      <w:r>
        <w:t xml:space="preserve">3. Ranking by Verification Performance (Lowest EER)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EER</w:t>
            </w:r>
          </w:p>
        </w:tc>
        <w:tc>
          <w:tcPr/>
          <w:p>
            <w:pPr>
              <w:pStyle w:val="Compact"/>
            </w:pPr>
            <w:r>
              <w:t xml:space="preserve">Rank-1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G2A (T = 0.05)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M2A (T = 0.15)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0.85%</w:t>
            </w:r>
          </w:p>
        </w:tc>
        <w:tc>
          <w:tcPr/>
          <w:p>
            <w:pPr>
              <w:pStyle w:val="Compact"/>
            </w:pPr>
            <w:r>
              <w:t xml:space="preserve">77.58%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M1A (T = 0.03)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0.85%</w:t>
            </w:r>
          </w:p>
        </w:tc>
        <w:tc>
          <w:tcPr/>
          <w:p>
            <w:pPr>
              <w:pStyle w:val="Compact"/>
            </w:pPr>
            <w:r>
              <w:t xml:space="preserve">77.13%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1.38%</w:t>
            </w:r>
          </w:p>
        </w:tc>
        <w:tc>
          <w:tcPr/>
          <w:p>
            <w:pPr>
              <w:pStyle w:val="Compact"/>
            </w:pPr>
            <w:r>
              <w:t xml:space="preserve">63.68%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M2B</w:t>
            </w:r>
          </w:p>
        </w:tc>
        <w:tc>
          <w:tcPr/>
          <w:p>
            <w:pPr>
              <w:pStyle w:val="Compact"/>
            </w:pPr>
            <w:r>
              <w:t xml:space="preserve">1.42%</w:t>
            </w:r>
          </w:p>
        </w:tc>
        <w:tc>
          <w:tcPr/>
          <w:p>
            <w:pPr>
              <w:pStyle w:val="Compact"/>
            </w:pPr>
            <w:r>
              <w:t xml:space="preserve">85.20%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1.44%</w:t>
            </w:r>
          </w:p>
        </w:tc>
        <w:tc>
          <w:tcPr/>
          <w:p>
            <w:pPr>
              <w:pStyle w:val="Compact"/>
            </w:pPr>
            <w:r>
              <w:t xml:space="preserve">57.40%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M1B</w:t>
            </w:r>
          </w:p>
        </w:tc>
        <w:tc>
          <w:tcPr/>
          <w:p>
            <w:pPr>
              <w:pStyle w:val="Compact"/>
            </w:pPr>
            <w:r>
              <w:t xml:space="preserve">3.62%</w:t>
            </w:r>
          </w:p>
        </w:tc>
        <w:tc>
          <w:tcPr/>
          <w:p>
            <w:pPr>
              <w:pStyle w:val="Compact"/>
            </w:pPr>
            <w:r>
              <w:t xml:space="preserve">73.09%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G2B</w:t>
            </w:r>
          </w:p>
        </w:tc>
        <w:tc>
          <w:tcPr/>
          <w:p>
            <w:pPr>
              <w:pStyle w:val="Compact"/>
            </w:pPr>
            <w:r>
              <w:t xml:space="preserve">5.02%</w:t>
            </w:r>
          </w:p>
        </w:tc>
        <w:tc>
          <w:tcPr/>
          <w:p>
            <w:pPr>
              <w:pStyle w:val="Compact"/>
            </w:pPr>
            <w:r>
              <w:t xml:space="preserve">79.37%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5feeaad74f52150d16886bdaef11c96e8a7d083"/>
    <w:p>
      <w:pPr>
        <w:pStyle w:val="Heading1"/>
      </w:pPr>
      <w:r>
        <w:t xml:space="preserve">4. Ranking by Identification Performance (Highest Rank-1)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Rank-1</w:t>
            </w:r>
          </w:p>
        </w:tc>
        <w:tc>
          <w:tcPr/>
          <w:p>
            <w:pPr>
              <w:pStyle w:val="Compact"/>
            </w:pPr>
            <w:r>
              <w:t xml:space="preserve">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G2A (T = 0.05)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85.65%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M2B</w:t>
            </w:r>
          </w:p>
        </w:tc>
        <w:tc>
          <w:tcPr/>
          <w:p>
            <w:pPr>
              <w:pStyle w:val="Compact"/>
            </w:pPr>
            <w:r>
              <w:t xml:space="preserve">85.20%</w:t>
            </w:r>
          </w:p>
        </w:tc>
        <w:tc>
          <w:tcPr/>
          <w:p>
            <w:pPr>
              <w:pStyle w:val="Compact"/>
            </w:pPr>
            <w:r>
              <w:t xml:space="preserve">1.42%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G2B</w:t>
            </w:r>
          </w:p>
        </w:tc>
        <w:tc>
          <w:tcPr/>
          <w:p>
            <w:pPr>
              <w:pStyle w:val="Compact"/>
            </w:pPr>
            <w:r>
              <w:t xml:space="preserve">79.37%</w:t>
            </w:r>
          </w:p>
        </w:tc>
        <w:tc>
          <w:tcPr/>
          <w:p>
            <w:pPr>
              <w:pStyle w:val="Compact"/>
            </w:pPr>
            <w:r>
              <w:t xml:space="preserve">5.02%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M2A</w:t>
            </w:r>
          </w:p>
        </w:tc>
        <w:tc>
          <w:tcPr/>
          <w:p>
            <w:pPr>
              <w:pStyle w:val="Compact"/>
            </w:pPr>
            <w:r>
              <w:t xml:space="preserve">77.58%</w:t>
            </w:r>
          </w:p>
        </w:tc>
        <w:tc>
          <w:tcPr/>
          <w:p>
            <w:pPr>
              <w:pStyle w:val="Compact"/>
            </w:pPr>
            <w:r>
              <w:t xml:space="preserve">0.85%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M1A</w:t>
            </w:r>
          </w:p>
        </w:tc>
        <w:tc>
          <w:tcPr/>
          <w:p>
            <w:pPr>
              <w:pStyle w:val="Compact"/>
            </w:pPr>
            <w:r>
              <w:t xml:space="preserve">77.13%</w:t>
            </w:r>
          </w:p>
        </w:tc>
        <w:tc>
          <w:tcPr/>
          <w:p>
            <w:pPr>
              <w:pStyle w:val="Compact"/>
            </w:pPr>
            <w:r>
              <w:t xml:space="preserve">0.85%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M1B</w:t>
            </w:r>
          </w:p>
        </w:tc>
        <w:tc>
          <w:tcPr/>
          <w:p>
            <w:pPr>
              <w:pStyle w:val="Compact"/>
            </w:pPr>
            <w:r>
              <w:t xml:space="preserve">73.09%</w:t>
            </w:r>
          </w:p>
        </w:tc>
        <w:tc>
          <w:tcPr/>
          <w:p>
            <w:pPr>
              <w:pStyle w:val="Compact"/>
            </w:pPr>
            <w:r>
              <w:t xml:space="preserve">3.62%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63.68%</w:t>
            </w:r>
          </w:p>
        </w:tc>
        <w:tc>
          <w:tcPr/>
          <w:p>
            <w:pPr>
              <w:pStyle w:val="Compact"/>
            </w:pPr>
            <w:r>
              <w:t xml:space="preserve">1.38%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57.40%</w:t>
            </w:r>
          </w:p>
        </w:tc>
        <w:tc>
          <w:tcPr/>
          <w:p>
            <w:pPr>
              <w:pStyle w:val="Compact"/>
            </w:pPr>
            <w:r>
              <w:t xml:space="preserve">1.44%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ain-findings"/>
    <w:p>
      <w:pPr>
        <w:pStyle w:val="Heading1"/>
      </w:pPr>
      <w:r>
        <w:t xml:space="preserve">5. Main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overall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G2A (SupCon, T = 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Highest Rank-1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AdaCos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SupCon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temperature for M1A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temperature for M2A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temperature for G2A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</w:tr>
    </w:tbl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2026-07-01T03:28:14Z</dcterms:created>
  <dcterms:modified xsi:type="dcterms:W3CDTF">2026-07-01T03:28:14Z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