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sz w:val="40"/>
        </w:rPr>
        <w:t>Washington Smiles (Integrity Dental Group) — First Video</w:t>
      </w:r>
    </w:p>
    <w:p>
      <w:pPr>
        <w:spacing w:after="40" w:before="0"/>
      </w:pPr>
      <w:r>
        <w:rPr>
          <w:rFonts w:ascii="Arial" w:hAnsi="Arial"/>
          <w:b w:val="0"/>
          <w:i w:val="0"/>
          <w:color w:val="555555"/>
          <w:sz w:val="24"/>
        </w:rPr>
        <w:t>Dev8X First-Touch Script — 2–3 Minute Recording</w:t>
      </w:r>
    </w:p>
    <w:p>
      <w:pPr>
        <w:spacing w:after="280" w:before="0"/>
      </w:pPr>
      <w:r>
        <w:rPr>
          <w:rFonts w:ascii="Arial" w:hAnsi="Arial"/>
          <w:b w:val="0"/>
          <w:i w:val="0"/>
          <w:color w:val="555555"/>
          <w:sz w:val="24"/>
        </w:rPr>
        <w:t>Abdul | July 2026</w:t>
      </w:r>
    </w:p>
    <w:p>
      <w:pPr>
        <w:spacing w:after="40" w:before="80"/>
        <w:shd w:val="clear" w:color="auto" w:fill="e8f7ec"/>
      </w:pPr>
      <w:r>
        <w:rPr>
          <w:rFonts w:ascii="Arial" w:hAnsi="Arial"/>
          <w:b/>
          <w:i w:val="0"/>
          <w:color w:val="1F7A3D"/>
          <w:sz w:val="26"/>
        </w:rPr>
        <w:t>PRE-FLIGHT QA GATE: PASS</w:t>
      </w:r>
    </w:p>
    <w:p>
      <w:pPr>
        <w:spacing w:after="280" w:before="0"/>
        <w:shd w:val="clear" w:color="auto" w:fill="e8f7ec"/>
      </w:pPr>
      <w:r>
        <w:rPr>
          <w:rFonts w:ascii="Arial" w:hAnsi="Arial"/>
          <w:b w:val="0"/>
          <w:i/>
          <w:sz w:val="22"/>
        </w:rPr>
        <w:t>4 current problems are traceable to Dr. Smith's own named public LinkedIn posts and the Washington Smiles website — not inferred or generic. The primary bottleneck is backed by multiple explicit owner statements. No L1/L2 dollar figure exists for the stakes number (the ROI Integrity Ladder shows only structural L1 facts — location count, tenure, donation total; all operational metrics are L4/excluded), so Beat 4 uses a directional volume statement instead of a fabricated cost estimate, per the Hold-Back Rules. Version guard confirmed: p3a_New_Output_Report.html is the TRIMMED hold-back version — no solution cards, no ROI dashboard, no build timeline, and the CTA is a reply ask, not a demo link.</w:t>
      </w:r>
    </w:p>
    <w:p>
      <w:pPr>
        <w:spacing w:after="200" w:before="80"/>
        <w:jc w:val="center"/>
      </w:pPr>
      <w:r>
        <w:rPr>
          <w:rFonts w:ascii="Arial" w:hAnsi="Arial"/>
          <w:b w:val="0"/>
          <w:i w:val="0"/>
          <w:color w:val="555555"/>
          <w:sz w:val="20"/>
        </w:rPr>
        <w:t>——————————————————————————————</w:t>
      </w:r>
    </w:p>
    <w:p>
      <w:pPr>
        <w:spacing w:after="200" w:before="360"/>
      </w:pPr>
      <w:r>
        <w:rPr>
          <w:rFonts w:ascii="Arial" w:hAnsi="Arial"/>
          <w:b/>
          <w:i w:val="0"/>
          <w:color w:val="1A5C8A"/>
          <w:sz w:val="44"/>
        </w:rPr>
        <w:t>PART 0 — THE DM WRAPPER &amp; DELIVERY</w:t>
      </w:r>
    </w:p>
    <w:p>
      <w:pPr>
        <w:spacing w:after="160" w:before="0"/>
      </w:pPr>
      <w:r>
        <w:rPr>
          <w:rFonts w:ascii="Arial" w:hAnsi="Arial"/>
          <w:b w:val="0"/>
          <w:i/>
          <w:sz w:val="22"/>
        </w:rPr>
        <w:t>Produced alongside the script: the wrapper DM, the caption transcript, the mobile-recording note, and the LinkedIn connection request.</w:t>
      </w:r>
    </w:p>
    <w:p>
      <w:pPr>
        <w:spacing w:after="80" w:before="280"/>
      </w:pPr>
      <w:r>
        <w:rPr>
          <w:rFonts w:ascii="Arial" w:hAnsi="Arial"/>
          <w:b/>
          <w:i w:val="0"/>
          <w:color w:val="2A7AAA"/>
          <w:sz w:val="30"/>
        </w:rPr>
        <w:t>0.1 — The Wrapper Message (sent with the video)</w:t>
      </w:r>
    </w:p>
    <w:p>
      <w:pPr>
        <w:spacing w:after="200" w:before="0"/>
        <w:shd w:val="clear" w:color="auto" w:fill="f5f5f5"/>
      </w:pPr>
      <w:r>
        <w:rPr>
          <w:rFonts w:ascii="Arial" w:hAnsi="Arial"/>
          <w:b w:val="0"/>
          <w:i w:val="0"/>
          <w:sz w:val="24"/>
        </w:rPr>
        <w:t>“We’ve never spoken, so this is completely cold — I run a small dev studio, Dev8X, and spent an hour going through what you’ve posted publicly about scaling Integrity Dental Group. I recorded a 3-minute read on where I think the playbook you’re building by hand is about to hit a wall as you keep opening locations. No pitch here — just tell me if I’m wrong.”</w:t>
      </w:r>
    </w:p>
    <w:p>
      <w:pPr>
        <w:spacing w:after="80" w:before="280"/>
      </w:pPr>
      <w:r>
        <w:rPr>
          <w:rFonts w:ascii="Arial" w:hAnsi="Arial"/>
          <w:b/>
          <w:i w:val="0"/>
          <w:color w:val="2A7AAA"/>
          <w:sz w:val="30"/>
        </w:rPr>
        <w:t>0.2 — Captions (burned-in transcript, mandatory)</w:t>
      </w:r>
    </w:p>
    <w:p>
      <w:pPr>
        <w:spacing w:after="160" w:before="0"/>
      </w:pPr>
      <w:r>
        <w:rPr>
          <w:rFonts w:ascii="Arial" w:hAnsi="Arial"/>
          <w:b w:val="0"/>
          <w:i/>
          <w:sz w:val="22"/>
        </w:rPr>
        <w:t>Clean caption block — every 🎙 SPEAK line from Part A, in order, for burned-in captions:</w:t>
      </w:r>
    </w:p>
    <w:p>
      <w:pPr>
        <w:spacing w:after="120" w:before="0"/>
      </w:pPr>
      <w:r>
        <w:rPr>
          <w:rFonts w:ascii="Courier New" w:hAnsi="Courier New"/>
          <w:b w:val="0"/>
          <w:i w:val="0"/>
          <w:sz w:val="20"/>
        </w:rPr>
        <w:t>You've grown Integrity Dental Group to five locations now, and every one of them still runs on the same manual Office Manager Playbook — scheduling, collections, and daily ops tracked by hand. I noticed it in the exact words you used describing that playbook, pillar by pillar.</w:t>
      </w:r>
    </w:p>
    <w:p>
      <w:pPr>
        <w:spacing w:after="120" w:before="0"/>
      </w:pPr>
      <w:r>
        <w:rPr>
          <w:rFonts w:ascii="Courier New" w:hAnsi="Courier New"/>
          <w:b w:val="0"/>
          <w:i w:val="0"/>
          <w:sz w:val="20"/>
        </w:rPr>
        <w:t>Everything here came from what you've already made public — your own LinkedIn posts and your website, nothing private. You've said scheduling is busy, not productive, with no real system for gap-fill or provider utilization. You've said collections tracking — targets, aging reports, insurance follow-up — is still done by hand at every location. And you've said leadership can't see all five offices in one place; KPIs are still compiled office by office. None of this is a guess.</w:t>
      </w:r>
    </w:p>
    <w:p>
      <w:pPr>
        <w:spacing w:after="120" w:before="0"/>
      </w:pPr>
      <w:r>
        <w:rPr>
          <w:rFonts w:ascii="Courier New" w:hAnsi="Courier New"/>
          <w:b w:val="0"/>
          <w:i w:val="0"/>
          <w:sz w:val="20"/>
        </w:rPr>
        <w:t>Here's the honest boundary of what I can see from outside: your location count, how long you've operated, and what you've written about your own playbook. What I can't see is how many hours each manager spends on scheduling and collections weekly, your actual no-show and cancellation rate, or how quickly a drifting location actually gets noticed. Those numbers are exactly where the real cost is sitting — and they're the first thing worth mapping out together.</w:t>
      </w:r>
    </w:p>
    <w:p>
      <w:pPr>
        <w:spacing w:after="120" w:before="0"/>
      </w:pPr>
      <w:r>
        <w:rPr>
          <w:rFonts w:ascii="Courier New" w:hAnsi="Courier New"/>
          <w:b w:val="0"/>
          <w:i w:val="0"/>
          <w:sz w:val="20"/>
        </w:rPr>
        <w:t>Right now, that same manual system runs independently five separate times, once per office — and that's before office number six. You've said your goal is to build 'the best dang dental group on the planet,' where every office runs the same way whether you're in the building or not. This gap stands between you and that goal — and it doesn't stay the same size as you grow, it multiplies with every new location.</w:t>
      </w:r>
    </w:p>
    <w:p>
      <w:pPr>
        <w:spacing w:after="120" w:before="0"/>
      </w:pPr>
      <w:r>
        <w:rPr>
          <w:rFonts w:ascii="Courier New" w:hAnsi="Courier New"/>
          <w:b w:val="0"/>
          <w:i w:val="0"/>
          <w:sz w:val="20"/>
        </w:rPr>
        <w:t>This is exactly the kind of operational gap we build systems to close — replacing a paper playbook with something that runs itself across every location.</w:t>
      </w:r>
    </w:p>
    <w:p>
      <w:pPr>
        <w:spacing w:after="120" w:before="0"/>
      </w:pPr>
      <w:r>
        <w:rPr>
          <w:rFonts w:ascii="Courier New" w:hAnsi="Courier New"/>
          <w:b w:val="0"/>
          <w:i w:val="0"/>
          <w:sz w:val="20"/>
        </w:rPr>
        <w:t>I'd genuinely rather be corrected than flattered here — the one problem you push back on hardest is usually the one that matters most inside your operation. You know the inside; I only see the outside, so tell me which of these I read right, and which one I've overweighted.</w:t>
      </w:r>
    </w:p>
    <w:p>
      <w:pPr>
        <w:spacing w:after="80" w:before="280"/>
      </w:pPr>
      <w:r>
        <w:rPr>
          <w:rFonts w:ascii="Arial" w:hAnsi="Arial"/>
          <w:b/>
          <w:i w:val="0"/>
          <w:color w:val="2A7AAA"/>
          <w:sz w:val="30"/>
        </w:rPr>
        <w:t>0.3 — Recording for Mobile (legibility)</w:t>
      </w:r>
    </w:p>
    <w:p>
      <w:pPr>
        <w:spacing w:after="120" w:before="0"/>
        <w:shd w:val="clear" w:color="auto" w:fill="FFF3CC"/>
      </w:pPr>
      <w:r>
        <w:rPr>
          <w:rFonts w:ascii="Arial" w:hAnsi="Arial"/>
          <w:b/>
          <w:i w:val="0"/>
          <w:color w:val="1A3A5C"/>
          <w:sz w:val="22"/>
        </w:rPr>
        <w:t xml:space="preserve">📌 NOTE  </w:t>
      </w:r>
      <w:r>
        <w:rPr>
          <w:rFonts w:ascii="Arial" w:hAnsi="Arial"/>
          <w:b w:val="0"/>
          <w:i/>
          <w:sz w:val="22"/>
        </w:rPr>
        <w:t>Do not film a continuous scroll of the brief. Zoom into one element at a time — the hero headline, one problem row, the transparency table — matched to the beat being spoken. Record at 1280×720 or higher, and confirm the smallest on-screen text (the Research Transparency table body copy) is legible at phone size before finalizing.</w:t>
      </w:r>
    </w:p>
    <w:p>
      <w:pPr>
        <w:spacing w:after="80" w:before="280"/>
      </w:pPr>
      <w:r>
        <w:rPr>
          <w:rFonts w:ascii="Arial" w:hAnsi="Arial"/>
          <w:b/>
          <w:i w:val="0"/>
          <w:color w:val="2A7AAA"/>
          <w:sz w:val="30"/>
        </w:rPr>
        <w:t>0.4 — The LinkedIn Connection Request (sent before the video)</w:t>
      </w:r>
    </w:p>
    <w:p>
      <w:pPr>
        <w:spacing w:after="120" w:before="0"/>
        <w:shd w:val="clear" w:color="auto" w:fill="f5f5f5"/>
      </w:pPr>
      <w:r>
        <w:rPr>
          <w:rFonts w:ascii="Arial" w:hAnsi="Arial"/>
          <w:b w:val="0"/>
          <w:i w:val="0"/>
          <w:sz w:val="24"/>
        </w:rPr>
        <w:t>“Hi Dr. Smith — I've been following your recent posts on building out the Office Manager Playbook across your locations, sharp thinking on scaling something that hands-on. Would love to connect.”</w:t>
      </w:r>
    </w:p>
    <w:p>
      <w:pPr>
        <w:spacing w:after="120" w:before="0"/>
        <w:shd w:val="clear" w:color="auto" w:fill="FFF3CC"/>
      </w:pPr>
      <w:r>
        <w:rPr>
          <w:rFonts w:ascii="Arial" w:hAnsi="Arial"/>
          <w:b/>
          <w:i w:val="0"/>
          <w:color w:val="1A3A5C"/>
          <w:sz w:val="22"/>
        </w:rPr>
        <w:t xml:space="preserve">📌 NOTE  </w:t>
      </w:r>
      <w:r>
        <w:rPr>
          <w:rFonts w:ascii="Arial" w:hAnsi="Arial"/>
          <w:b w:val="0"/>
          <w:i/>
          <w:sz w:val="22"/>
        </w:rPr>
        <w:t>Send only after a warming comment has drawn a like, reply, or profile view. No pitch. Wait 24–48 hours after acceptance before sending the wrapper + video (0.1).</w:t>
      </w:r>
    </w:p>
    <w:p>
      <w:r>
        <w:br w:type="page"/>
      </w:r>
    </w:p>
    <w:p>
      <w:pPr>
        <w:spacing w:after="200" w:before="360"/>
      </w:pPr>
      <w:r>
        <w:rPr>
          <w:rFonts w:ascii="Arial" w:hAnsi="Arial"/>
          <w:b/>
          <w:i w:val="0"/>
          <w:color w:val="1A5C8A"/>
          <w:sz w:val="44"/>
        </w:rPr>
        <w:t>PART A — THE FIRST VIDEO SCRIPT</w:t>
      </w:r>
    </w:p>
    <w:p>
      <w:pPr>
        <w:spacing w:after="80" w:before="280"/>
      </w:pPr>
      <w:r>
        <w:rPr>
          <w:rFonts w:ascii="Arial" w:hAnsi="Arial"/>
          <w:b/>
          <w:i w:val="0"/>
          <w:color w:val="2A7AAA"/>
          <w:sz w:val="30"/>
        </w:rPr>
        <w:t>BEAT 1 — Cold Open: name his exact bottleneck (Recognition)</w:t>
      </w:r>
    </w:p>
    <w:p>
      <w:pPr>
        <w:spacing w:after="80" w:before="0"/>
      </w:pPr>
      <w:r>
        <w:rPr>
          <w:rFonts w:ascii="Arial" w:hAnsi="Arial"/>
          <w:b w:val="0"/>
          <w:i/>
          <w:color w:val="555555"/>
          <w:sz w:val="22"/>
        </w:rPr>
        <w:t>Purpose: first 20 seconds — trigger RECOGNITION</w:t>
      </w:r>
    </w:p>
    <w:p>
      <w:pPr>
        <w:spacing w:after="160" w:before="0"/>
      </w:pPr>
      <w:r>
        <w:rPr>
          <w:rFonts w:ascii="Courier New" w:hAnsi="Courier New"/>
          <w:b w:val="0"/>
          <w:i w:val="0"/>
          <w:color w:val="888888"/>
          <w:sz w:val="20"/>
        </w:rPr>
        <w:t>⏱ TIMING: 0:00</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The hero of the brief — the bottleneck headline, “Five locations are scaling faster than the systems that run them.”</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"You've grown Integrity Dental Group to five locations now, and every one of them still runs on the same manual Office Manager Playbook — scheduling, collections, and daily ops tracked by hand. I noticed it in the exact words you used describing that playbook, pillar by pillar."</w:t>
      </w:r>
    </w:p>
    <w:p>
      <w:pPr>
        <w:spacing w:after="120" w:before="0"/>
        <w:shd w:val="clear" w:color="auto" w:fill="FFF3CC"/>
      </w:pPr>
      <w:r>
        <w:rPr>
          <w:rFonts w:ascii="Arial" w:hAnsi="Arial"/>
          <w:b/>
          <w:i w:val="0"/>
          <w:color w:val="1A3A5C"/>
          <w:sz w:val="22"/>
        </w:rPr>
        <w:t xml:space="preserve">📌 NOTE  </w:t>
      </w:r>
      <w:r>
        <w:rPr>
          <w:rFonts w:ascii="Arial" w:hAnsi="Arial"/>
          <w:b w:val="0"/>
          <w:i/>
          <w:sz w:val="22"/>
        </w:rPr>
        <w:t>The disarming “who I am / why this is cold” context lives in the wrapper message (0.1), not here — the open stays a pure problem-first hook.</w:t>
      </w:r>
    </w:p>
    <w:p>
      <w:pPr>
        <w:spacing w:after="80" w:before="280"/>
      </w:pPr>
      <w:r>
        <w:rPr>
          <w:rFonts w:ascii="Arial" w:hAnsi="Arial"/>
          <w:b/>
          <w:i w:val="0"/>
          <w:color w:val="2A7AAA"/>
          <w:sz w:val="30"/>
        </w:rPr>
        <w:t>BEAT 2 — The Homework: his real problems, in his words (Recognition deepens)</w:t>
      </w:r>
    </w:p>
    <w:p>
      <w:pPr>
        <w:spacing w:after="80" w:before="0"/>
      </w:pPr>
      <w:r>
        <w:rPr>
          <w:rFonts w:ascii="Arial" w:hAnsi="Arial"/>
          <w:b w:val="0"/>
          <w:i/>
          <w:color w:val="555555"/>
          <w:sz w:val="22"/>
        </w:rPr>
        <w:t>Purpose: prove this is not a template</w:t>
      </w:r>
    </w:p>
    <w:p>
      <w:pPr>
        <w:spacing w:after="160" w:before="0"/>
      </w:pPr>
      <w:r>
        <w:rPr>
          <w:rFonts w:ascii="Courier New" w:hAnsi="Courier New"/>
          <w:b w:val="0"/>
          <w:i w:val="0"/>
          <w:color w:val="888888"/>
          <w:sz w:val="20"/>
        </w:rPr>
        <w:t>⏱ TIMING: ~0:20</w:t>
      </w:r>
    </w:p>
    <w:p>
      <w:pPr>
        <w:spacing w:after="120" w:before="0"/>
        <w:shd w:val="clear" w:color="auto" w:fill="d4f4e3"/>
      </w:pPr>
      <w:r>
        <w:rPr>
          <w:rFonts w:ascii="Arial" w:hAnsi="Arial"/>
          <w:b/>
          <w:i w:val="0"/>
          <w:color w:val="1A3A5C"/>
          <w:sz w:val="22"/>
        </w:rPr>
        <w:t xml:space="preserve">👆 ACTION  </w:t>
      </w:r>
      <w:r>
        <w:rPr>
          <w:rFonts w:ascii="Arial" w:hAnsi="Arial"/>
          <w:b w:val="0"/>
          <w:i w:val="0"/>
          <w:sz w:val="22"/>
        </w:rPr>
        <w:t>Scroll slowly down the Current Problem Register table — “The problems behind the bottleneck.”</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The problem table — Current Challenge / Business Impact / Pressure columns.</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"Everything here came from what you've already made public — your own LinkedIn posts and your website, nothing private. You've said scheduling is busy, not productive, with no real system for gap-fill or provider utilization. You've said collections tracking — targets, aging reports, insurance follow-up — is still done by hand at every location. And you've said leadership can't see all five offices in one place; KPIs are still compiled office by office. None of this is a guess."</w:t>
      </w:r>
    </w:p>
    <w:p>
      <w:pPr>
        <w:spacing w:after="120" w:before="0"/>
        <w:shd w:val="clear" w:color="auto" w:fill="FFF3CC"/>
      </w:pPr>
      <w:r>
        <w:rPr>
          <w:rFonts w:ascii="Arial" w:hAnsi="Arial"/>
          <w:b/>
          <w:i w:val="0"/>
          <w:color w:val="1A3A5C"/>
          <w:sz w:val="22"/>
        </w:rPr>
        <w:t xml:space="preserve">📌 NOTE  </w:t>
      </w:r>
      <w:r>
        <w:rPr>
          <w:rFonts w:ascii="Arial" w:hAnsi="Arial"/>
          <w:b w:val="0"/>
          <w:i/>
          <w:sz w:val="22"/>
        </w:rPr>
        <w:t>Surveillance calibration: cite public sources by name (LinkedIn posts, website) and avoid implying private systems were studied. Specificity should feel like diligence, not intrusion.</w:t>
      </w:r>
    </w:p>
    <w:p>
      <w:pPr>
        <w:spacing w:after="80" w:before="280"/>
      </w:pPr>
      <w:r>
        <w:rPr>
          <w:rFonts w:ascii="Arial" w:hAnsi="Arial"/>
          <w:b/>
          <w:i w:val="0"/>
          <w:color w:val="2A7AAA"/>
          <w:sz w:val="30"/>
        </w:rPr>
        <w:t>BEAT 3 — The Honest Limit: the Trust beat AND the bridge to paid</w:t>
      </w:r>
    </w:p>
    <w:p>
      <w:pPr>
        <w:spacing w:after="80" w:before="0"/>
      </w:pPr>
      <w:r>
        <w:rPr>
          <w:rFonts w:ascii="Arial" w:hAnsi="Arial"/>
          <w:b w:val="0"/>
          <w:i/>
          <w:color w:val="555555"/>
          <w:sz w:val="22"/>
        </w:rPr>
        <w:t>Purpose: the most important beat — TRUST + the reason the session exists</w:t>
      </w:r>
    </w:p>
    <w:p>
      <w:pPr>
        <w:spacing w:after="160" w:before="0"/>
      </w:pPr>
      <w:r>
        <w:rPr>
          <w:rFonts w:ascii="Courier New" w:hAnsi="Courier New"/>
          <w:b w:val="0"/>
          <w:i w:val="0"/>
          <w:color w:val="888888"/>
          <w:sz w:val="20"/>
        </w:rPr>
        <w:t>⏱ TIMING: ~1:00</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The Research Transparency table — “What we know and where we'd like your confirmation.”</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"Here's the honest boundary of what I can see from outside: your location count, how long you've operated, and what you've written about your own playbook. What I can't see is how many hours each manager spends on scheduling and collections weekly, your actual no-show and cancellation rate, or how quickly a drifting location actually gets noticed. Those numbers are exactly where the real cost is sitting — and they're the first thing worth mapping out together."</w:t>
      </w:r>
    </w:p>
    <w:p>
      <w:pPr>
        <w:spacing w:after="120" w:before="0"/>
        <w:shd w:val="clear" w:color="auto" w:fill="FFF3CC"/>
      </w:pPr>
      <w:r>
        <w:rPr>
          <w:rFonts w:ascii="Arial" w:hAnsi="Arial"/>
          <w:b/>
          <w:i w:val="0"/>
          <w:color w:val="1A3A5C"/>
          <w:sz w:val="22"/>
        </w:rPr>
        <w:t xml:space="preserve">📌 NOTE  </w:t>
      </w:r>
      <w:r>
        <w:rPr>
          <w:rFonts w:ascii="Arial" w:hAnsi="Arial"/>
          <w:b w:val="0"/>
          <w:i/>
          <w:sz w:val="22"/>
        </w:rPr>
        <w:t>No price or session named here — this beat is the bridge, not the pitch.</w:t>
      </w:r>
    </w:p>
    <w:p>
      <w:pPr>
        <w:spacing w:after="80" w:before="280"/>
      </w:pPr>
      <w:r>
        <w:rPr>
          <w:rFonts w:ascii="Arial" w:hAnsi="Arial"/>
          <w:b/>
          <w:i w:val="0"/>
          <w:color w:val="2A7AAA"/>
          <w:sz w:val="30"/>
        </w:rPr>
        <w:t>BEAT 4 — The Stakes Number + the Regret Gap (Fear of Inaction)</w:t>
      </w:r>
    </w:p>
    <w:p>
      <w:pPr>
        <w:spacing w:after="80" w:before="0"/>
      </w:pPr>
      <w:r>
        <w:rPr>
          <w:rFonts w:ascii="Arial" w:hAnsi="Arial"/>
          <w:b w:val="0"/>
          <w:i/>
          <w:color w:val="555555"/>
          <w:sz w:val="22"/>
        </w:rPr>
        <w:t>Purpose: make the cost real, then point it at their own ambition</w:t>
      </w:r>
    </w:p>
    <w:p>
      <w:pPr>
        <w:spacing w:after="160" w:before="0"/>
      </w:pPr>
      <w:r>
        <w:rPr>
          <w:rFonts w:ascii="Courier New" w:hAnsi="Courier New"/>
          <w:b w:val="0"/>
          <w:i w:val="0"/>
          <w:color w:val="888888"/>
          <w:sz w:val="20"/>
        </w:rPr>
        <w:t>⏱ TIMING: ~1:40</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The future-risk card — “Management burden scales linearly with each new office.”</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"Right now, that same manual system runs independently five separate times, once per office — and that's before office number six. You've said your goal is to build 'the best dang dental group on the planet,' where every office runs the same way whether you're in the building or not. This gap stands between you and that goal — and it doesn't stay the same size as you grow, it multiplies with every new location."</w:t>
      </w:r>
    </w:p>
    <w:p>
      <w:pPr>
        <w:spacing w:after="120" w:before="0"/>
        <w:shd w:val="clear" w:color="auto" w:fill="FFF3CC"/>
      </w:pPr>
      <w:r>
        <w:rPr>
          <w:rFonts w:ascii="Arial" w:hAnsi="Arial"/>
          <w:b/>
          <w:i w:val="0"/>
          <w:color w:val="1A3A5C"/>
          <w:sz w:val="22"/>
        </w:rPr>
        <w:t xml:space="preserve">📌 NOTE  </w:t>
      </w:r>
      <w:r>
        <w:rPr>
          <w:rFonts w:ascii="Arial" w:hAnsi="Arial"/>
          <w:b w:val="0"/>
          <w:i/>
          <w:sz w:val="22"/>
        </w:rPr>
        <w:t>No dollar figure used — the ROI Integrity Ladder has no defensible L1/L2 cost number, so this is a directional volume statement built from observable facts (location count, confirmed absence of a digital platform), not from the unknowns confessed in Beat 3. Tone stays aimed at the goal, never the person.</w:t>
      </w:r>
    </w:p>
    <w:p>
      <w:pPr>
        <w:spacing w:after="80" w:before="280"/>
      </w:pPr>
      <w:r>
        <w:rPr>
          <w:rFonts w:ascii="Arial" w:hAnsi="Arial"/>
          <w:b/>
          <w:i w:val="0"/>
          <w:color w:val="2A7AAA"/>
          <w:sz w:val="30"/>
        </w:rPr>
        <w:t>BEAT 5 — The Reply Ask (Momentum) — no money, no price</w:t>
      </w:r>
    </w:p>
    <w:p>
      <w:pPr>
        <w:spacing w:after="80" w:before="0"/>
      </w:pPr>
      <w:r>
        <w:rPr>
          <w:rFonts w:ascii="Arial" w:hAnsi="Arial"/>
          <w:b w:val="0"/>
          <w:i/>
          <w:color w:val="555555"/>
          <w:sz w:val="22"/>
        </w:rPr>
        <w:t>Purpose: one low-friction next step — a reply, not a payment</w:t>
      </w:r>
    </w:p>
    <w:p>
      <w:pPr>
        <w:spacing w:after="160" w:before="0"/>
      </w:pPr>
      <w:r>
        <w:rPr>
          <w:rFonts w:ascii="Courier New" w:hAnsi="Courier New"/>
          <w:b w:val="0"/>
          <w:i w:val="0"/>
          <w:color w:val="888888"/>
          <w:sz w:val="20"/>
        </w:rPr>
        <w:t>⏱ TIMING: ~2:20</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Clean closing screen — “Tell me where I got it right — and where I didn't.”</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"This is exactly the kind of operational gap we build systems to close — replacing a paper playbook with something that runs itself across every location."</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"I'd genuinely rather be corrected than flattered here — the one problem you push back on hardest is usually the one that matters most inside your operation. You know the inside; I only see the outside, so tell me which of these I read right, and which one I've overweighted."</w:t>
      </w:r>
    </w:p>
    <w:p>
      <w:pPr>
        <w:spacing w:after="120" w:before="0"/>
        <w:shd w:val="clear" w:color="auto" w:fill="FFF3CC"/>
      </w:pPr>
      <w:r>
        <w:rPr>
          <w:rFonts w:ascii="Arial" w:hAnsi="Arial"/>
          <w:b/>
          <w:i w:val="0"/>
          <w:color w:val="1A3A5C"/>
          <w:sz w:val="22"/>
        </w:rPr>
        <w:t xml:space="preserve">📌 NOTE  </w:t>
      </w:r>
      <w:r>
        <w:rPr>
          <w:rFonts w:ascii="Arial" w:hAnsi="Arial"/>
          <w:b w:val="0"/>
          <w:i/>
          <w:sz w:val="22"/>
        </w:rPr>
        <w:t>The video ends here. The paid consultation is NOT mentioned. Once the prospect replies, hand off to p3c_Messaging_Playbook.md — attach this script so the messages quote the exact problems, the exact stakes framing, and the exact proof-of-competence line used here.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