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i w:val="0"/>
          <w:sz w:val="48"/>
        </w:rPr>
        <w:t>UPstander International — Messaging &amp; Objection-Handling Playbook</w:t>
      </w:r>
    </w:p>
    <w:p>
      <w:pPr>
        <w:spacing w:after="40"/>
      </w:pPr>
      <w:r>
        <w:rPr>
          <w:rFonts w:ascii="Arial" w:hAnsi="Arial" w:eastAsia="Arial"/>
          <w:b w:val="0"/>
          <w:i w:val="0"/>
          <w:color w:val="475569"/>
          <w:sz w:val="24"/>
        </w:rPr>
        <w:t>Dev8X · Stage 2 (Messaging) · Decision-Led Proof Framework v2</w:t>
      </w:r>
    </w:p>
    <w:p>
      <w:pPr>
        <w:spacing w:after="200"/>
      </w:pPr>
      <w:r>
        <w:rPr>
          <w:rFonts w:ascii="Arial" w:hAnsi="Arial" w:eastAsia="Arial"/>
          <w:b w:val="0"/>
          <w:i w:val="0"/>
          <w:color w:val="475569"/>
          <w:sz w:val="24"/>
        </w:rPr>
        <w:t>Abdul | July 2026</w:t>
      </w:r>
    </w:p>
    <w:p>
      <w:pPr>
        <w:spacing w:after="40"/>
        <w:shd w:val="clear" w:color="auto" w:fill="FFF3CC"/>
      </w:pPr>
      <w:r>
        <w:rPr>
          <w:rFonts w:ascii="Arial" w:hAnsi="Arial" w:eastAsia="Arial"/>
          <w:b/>
          <w:i w:val="0"/>
          <w:sz w:val="24"/>
        </w:rPr>
        <w:t>PROSPECT:  Dr. Omékongo Dibinga, CSP — Founding Executive Director, UPstander International</w:t>
      </w:r>
    </w:p>
    <w:p>
      <w:pPr>
        <w:spacing w:after="200"/>
        <w:shd w:val="clear" w:color="auto" w:fill="FFF3CC"/>
      </w:pPr>
      <w:r>
        <w:rPr>
          <w:rFonts w:ascii="Arial" w:hAnsi="Arial" w:eastAsia="Arial"/>
          <w:b/>
          <w:i w:val="0"/>
          <w:sz w:val="24"/>
        </w:rPr>
        <w:t>PRONOUNS:  he / him / his.    ADDRESS AS:  “Dr. Dibinga.”    Never “Omékongo,” never “she/her.”</w:t>
      </w:r>
    </w:p>
    <w:p>
      <w:pPr>
        <w:spacing w:after="60"/>
        <w:shd w:val="clear" w:color="auto" w:fill="FDE2E2"/>
      </w:pPr>
      <w:r>
        <w:rPr>
          <w:rFonts w:ascii="Arial" w:hAnsi="Arial" w:eastAsia="Arial"/>
          <w:b/>
          <w:i w:val="0"/>
          <w:sz w:val="26"/>
        </w:rPr>
        <w:t>⛔  DELIVERABLE STATUS: NOT SENDABLE — the consultation fee has not been set.</w:t>
      </w:r>
    </w:p>
    <w:p>
      <w:pPr>
        <w:spacing w:after="200"/>
      </w:pPr>
      <w:r>
        <w:rPr>
          <w:rFonts w:ascii="Arial" w:hAnsi="Arial" w:eastAsia="Arial"/>
          <w:b w:val="0"/>
          <w:i w:val="0"/>
          <w:sz w:val="21"/>
        </w:rPr>
        <w:t>Per the Pre-Flight Check, [CONSULTATION_FEE] remains a placeholder throughout this document and Message 2 cannot go out until §B.1a Step 6 is completed and the number is written into the tracking row. Branch F (“What’s this going to cost me?”) cannot fire — and per §B.1a, if the fee is not set you are not ready to send the video either. The derivation worksheet is at §B.1a below; every input is filled in, only the final number is missing.</w:t>
      </w:r>
    </w:p>
    <w:p>
      <w:pPr>
        <w:pStyle w:val="Heading2"/>
        <w:spacing w:before="260" w:after="100"/>
      </w:pPr>
      <w:r>
        <w:rPr>
          <w:rFonts w:ascii="Arial" w:hAnsi="Arial"/>
          <w:b/>
          <w:color w:val="0F1C2E"/>
          <w:sz w:val="34"/>
        </w:rPr>
        <w:t>Alignment Rule — extraction from the finalized p3b video script</w:t>
      </w:r>
    </w:p>
    <w:p>
      <w:pPr>
        <w:spacing w:after="120"/>
      </w:pPr>
      <w:r>
        <w:rPr>
          <w:rFonts w:ascii="Arial" w:hAnsi="Arial" w:eastAsia="Arial"/>
          <w:b w:val="0"/>
          <w:i/>
          <w:sz w:val="20"/>
        </w:rPr>
        <w:t>Read from p3b_First_Video_Script_UpstanderInternational.docx. Nothing below is re-derived from the Decision Card.</w:t>
      </w:r>
    </w:p>
    <w:p>
      <w:pPr>
        <w:spacing w:after="40"/>
        <w:shd w:val="clear" w:color="auto" w:fill="FFF3CC"/>
      </w:pPr>
      <w:r>
        <w:rPr>
          <w:rFonts w:ascii="Courier New" w:hAnsi="Courier New" w:eastAsia="Courier New"/>
          <w:b w:val="0"/>
          <w:i w:val="0"/>
          <w:sz w:val="21"/>
        </w:rPr>
        <w:t>STAKES: "Sixteen students, total, across both courses, since June of last year. The one course price published on your site is a hundred and ninety-nine dollars — so, roughly three thousand dollars. That's the lifetime total."</w:t>
      </w:r>
    </w:p>
    <w:p>
      <w:pPr>
        <w:spacing w:after="160"/>
        <w:shd w:val="clear" w:color="auto" w:fill="FFF3CC"/>
      </w:pPr>
      <w:r>
        <w:rPr>
          <w:rFonts w:ascii="Courier New" w:hAnsi="Courier New" w:eastAsia="Courier New"/>
          <w:b w:val="0"/>
          <w:i w:val="0"/>
          <w:sz w:val="21"/>
        </w:rPr>
        <w:t>STAKES UNIT (FROZEN): lifetime / cumulative since June 2025.  NOT per-year, NOT per-month, NOT per-location.</w:t>
      </w:r>
    </w:p>
    <w:p>
      <w:pPr>
        <w:spacing w:after="60"/>
        <w:shd w:val="clear" w:color="auto" w:fill="FDE2E2"/>
      </w:pPr>
      <w:r>
        <w:rPr>
          <w:rFonts w:ascii="Arial" w:hAnsi="Arial" w:eastAsia="Arial"/>
          <w:b/>
          <w:i w:val="0"/>
          <w:sz w:val="22"/>
        </w:rPr>
        <w:t>⚠  TRAP 1 — the frozen unit is a CUMULATIVE TOTAL, not a rate.</w:t>
      </w:r>
    </w:p>
    <w:p>
      <w:pPr>
        <w:spacing w:after="160"/>
      </w:pPr>
      <w:r>
        <w:rPr>
          <w:rFonts w:ascii="Arial" w:hAnsi="Arial" w:eastAsia="Arial"/>
          <w:b w:val="0"/>
          <w:i w:val="0"/>
          <w:sz w:val="21"/>
        </w:rPr>
        <w:t>Every branch template in the source prompt that reads “the [bottleneck] costs you [stakes number, frozen unit] for as long as it stays” (Branches I and K) is INOPERATIVE AS WRITTEN. You cannot say “roughly three thousand dollars for as long as it stays” — the figure is what the course has earned in total, not what it loses per period. Those branches instead carry the video’s own closing line, which is a ceiling, not a rate: “it doesn’t shrink as you grow, it scales with you,” indexed to the three 2026 books. Never convert the lifetime figure into an annual one to make a template fit — that is exactly the invented number the ROI Integrity Ladder exists to prevent.</w:t>
      </w:r>
    </w:p>
    <w:p>
      <w:pPr>
        <w:spacing w:after="60"/>
        <w:shd w:val="clear" w:color="auto" w:fill="FDE2E2"/>
      </w:pPr>
      <w:r>
        <w:rPr>
          <w:rFonts w:ascii="Arial" w:hAnsi="Arial" w:eastAsia="Arial"/>
          <w:b/>
          <w:i w:val="0"/>
          <w:sz w:val="22"/>
        </w:rPr>
        <w:t>⚠  TRAP 2 — PARTIAL. A number exists, but it cannot bear the fee anchor.</w:t>
      </w:r>
    </w:p>
    <w:p>
      <w:pPr>
        <w:spacing w:after="160"/>
      </w:pPr>
      <w:r>
        <w:rPr>
          <w:rFonts w:ascii="Arial" w:hAnsi="Arial" w:eastAsia="Arial"/>
          <w:b w:val="0"/>
          <w:i w:val="0"/>
          <w:sz w:val="21"/>
        </w:rPr>
        <w:t>The standard instruction is to tie the fee to the stakes number “so the fee looks small against what he’s losing.” This number does the opposite: ~$3,000 is the entire lifetime revenue of the courses, so a four-figure fee sits beside it as a large fraction of everything the product has ever earned. The Alignment Rule forbids changing the figure, so it is quoted verbatim — and the FEE IS ANCHORED STRUCTURALLY instead, per Anchoring Without a Number: against 25,000 subscribers, against the three books he announced, and against the unknown itself (“whether it’s worth an hour to find out how much of that gap the site explains”). Do not invent a per-year loss figure to rescue the conventional anchor.</w:t>
      </w:r>
    </w:p>
    <w:p>
      <w:pPr>
        <w:spacing w:after="60"/>
        <w:shd w:val="clear" w:color="auto" w:fill="FDE2E2"/>
      </w:pPr>
      <w:r>
        <w:rPr>
          <w:rFonts w:ascii="Arial" w:hAnsi="Arial" w:eastAsia="Arial"/>
          <w:b/>
          <w:i w:val="0"/>
          <w:sz w:val="22"/>
        </w:rPr>
        <w:t>⚠  TRAP 3 — APPLIES. The video carried NO proof-of-competence line.</w:t>
      </w:r>
    </w:p>
    <w:p>
      <w:pPr>
        <w:spacing w:after="160"/>
      </w:pPr>
      <w:r>
        <w:rPr>
          <w:rFonts w:ascii="Arial" w:hAnsi="Arial" w:eastAsia="Arial"/>
          <w:b w:val="0"/>
          <w:i w:val="0"/>
          <w:sz w:val="21"/>
        </w:rPr>
        <w:t>p4a documents the prospect’s operations, not Dev8X’s; no real, specific, verifiable Dev8X result exists. Message 2 therefore drops element 4 entirely and runs on six elements, leaning on the guarantee and the legitimacy line. Branches L and M carry the honest no-portfolio language. Do NOT manufacture a competence claim here — an unsupported claim appearing for the first time next to a price is the most expensive sentence in this document.</w:t>
      </w:r>
    </w:p>
    <w:p>
      <w:pPr>
        <w:pStyle w:val="Heading2"/>
        <w:spacing w:before="260" w:after="100"/>
      </w:pPr>
      <w:r>
        <w:rPr>
          <w:rFonts w:ascii="Arial" w:hAnsi="Arial"/>
          <w:b/>
          <w:color w:val="0F1C2E"/>
          <w:sz w:val="30"/>
        </w:rPr>
        <w:t>The three problems named on camera (in order) + the reply ask</w:t>
      </w:r>
    </w:p>
    <w:tbl>
      <w:tblPr>
        <w:tblStyle w:val="TableGrid"/>
        <w:tblW w:type="auto" w:w="0"/>
        <w:jc w:val="center"/>
        <w:tblLook w:firstColumn="1" w:firstRow="1" w:lastColumn="0" w:lastRow="0" w:noHBand="0" w:noVBand="1" w:val="04A0"/>
      </w:tblPr>
      <w:tblGrid>
        <w:gridCol w:w="3120"/>
        <w:gridCol w:w="3120"/>
        <w:gridCol w:w="3120"/>
      </w:tblGrid>
      <w:tr>
        <w:tc>
          <w:tcPr>
            <w:tcW w:type="dxa" w:w="504"/>
          </w:tcPr>
          <w:p>
            <w:pPr>
              <w:shd w:val="clear" w:color="auto" w:fill="0f1c2e"/>
            </w:pPr>
            <w:r/>
            <w:r>
              <w:rPr>
                <w:rFonts w:ascii="Arial" w:hAnsi="Arial"/>
                <w:b/>
                <w:color w:val="FFFFFF"/>
                <w:sz w:val="18"/>
              </w:rPr>
              <w:t>#</w:t>
            </w:r>
          </w:p>
        </w:tc>
        <w:tc>
          <w:tcPr>
            <w:tcW w:type="dxa" w:w="7632"/>
          </w:tcPr>
          <w:p>
            <w:pPr>
              <w:shd w:val="clear" w:color="auto" w:fill="0f1c2e"/>
            </w:pPr>
            <w:r/>
            <w:r>
              <w:rPr>
                <w:rFonts w:ascii="Arial" w:hAnsi="Arial"/>
                <w:b/>
                <w:color w:val="FFFFFF"/>
                <w:sz w:val="18"/>
              </w:rPr>
              <w:t>Named in the video as</w:t>
            </w:r>
          </w:p>
        </w:tc>
        <w:tc>
          <w:tcPr>
            <w:tcW w:type="dxa" w:w="864"/>
          </w:tcPr>
          <w:p>
            <w:pPr>
              <w:shd w:val="clear" w:color="auto" w:fill="0f1c2e"/>
            </w:pPr>
            <w:r/>
            <w:r>
              <w:rPr>
                <w:rFonts w:ascii="Arial" w:hAnsi="Arial"/>
                <w:b/>
                <w:color w:val="FFFFFF"/>
                <w:sz w:val="18"/>
              </w:rPr>
              <w:t>Beat</w:t>
            </w:r>
          </w:p>
        </w:tc>
      </w:tr>
      <w:tr>
        <w:tc>
          <w:tcPr>
            <w:tcW w:type="dxa" w:w="504"/>
          </w:tcPr>
          <w:p>
            <w:r/>
            <w:r>
              <w:rPr>
                <w:rFonts w:ascii="Arial" w:hAnsi="Arial"/>
                <w:sz w:val="17"/>
              </w:rPr>
              <w:t>1</w:t>
            </w:r>
          </w:p>
        </w:tc>
        <w:tc>
          <w:tcPr>
            <w:tcW w:type="dxa" w:w="7632"/>
          </w:tcPr>
          <w:p>
            <w:r/>
            <w:r>
              <w:rPr>
                <w:rFonts w:ascii="Arial" w:hAnsi="Arial"/>
                <w:sz w:val="17"/>
              </w:rPr>
              <w:t>Add to Cart on the R.E.A.Ch! course → “Page Not Found”</w:t>
            </w:r>
          </w:p>
        </w:tc>
        <w:tc>
          <w:tcPr>
            <w:tcW w:type="dxa" w:w="864"/>
          </w:tcPr>
          <w:p>
            <w:r/>
            <w:r>
              <w:rPr>
                <w:rFonts w:ascii="Arial" w:hAnsi="Arial"/>
                <w:sz w:val="17"/>
              </w:rPr>
              <w:t>Beat 1</w:t>
            </w:r>
          </w:p>
        </w:tc>
      </w:tr>
      <w:tr>
        <w:tc>
          <w:tcPr>
            <w:tcW w:type="dxa" w:w="504"/>
          </w:tcPr>
          <w:p>
            <w:r/>
            <w:r>
              <w:rPr>
                <w:rFonts w:ascii="Arial" w:hAnsi="Arial"/>
                <w:sz w:val="17"/>
              </w:rPr>
              <w:t>2</w:t>
            </w:r>
          </w:p>
        </w:tc>
        <w:tc>
          <w:tcPr>
            <w:tcW w:type="dxa" w:w="7632"/>
          </w:tcPr>
          <w:p>
            <w:r/>
            <w:r>
              <w:rPr>
                <w:rFonts w:ascii="Arial" w:hAnsi="Arial"/>
                <w:sz w:val="17"/>
              </w:rPr>
              <w:t>“Your contact page returns an error too.”</w:t>
            </w:r>
          </w:p>
        </w:tc>
        <w:tc>
          <w:tcPr>
            <w:tcW w:type="dxa" w:w="864"/>
          </w:tcPr>
          <w:p>
            <w:r/>
            <w:r>
              <w:rPr>
                <w:rFonts w:ascii="Arial" w:hAnsi="Arial"/>
                <w:sz w:val="17"/>
              </w:rPr>
              <w:t>Beat 2</w:t>
            </w:r>
          </w:p>
        </w:tc>
      </w:tr>
      <w:tr>
        <w:tc>
          <w:tcPr>
            <w:tcW w:type="dxa" w:w="504"/>
          </w:tcPr>
          <w:p>
            <w:r/>
            <w:r>
              <w:rPr>
                <w:rFonts w:ascii="Arial" w:hAnsi="Arial"/>
                <w:sz w:val="17"/>
              </w:rPr>
              <w:t>3</w:t>
            </w:r>
          </w:p>
        </w:tc>
        <w:tc>
          <w:tcPr>
            <w:tcW w:type="dxa" w:w="7632"/>
          </w:tcPr>
          <w:p>
            <w:r/>
            <w:r>
              <w:rPr>
                <w:rFonts w:ascii="Arial" w:hAnsi="Arial"/>
                <w:sz w:val="17"/>
              </w:rPr>
              <w:t>“Across the fifty pages of upstanderonline.com, there’s nowhere for a visitor to leave an email address.”</w:t>
            </w:r>
          </w:p>
        </w:tc>
        <w:tc>
          <w:tcPr>
            <w:tcW w:type="dxa" w:w="864"/>
          </w:tcPr>
          <w:p>
            <w:r/>
            <w:r>
              <w:rPr>
                <w:rFonts w:ascii="Arial" w:hAnsi="Arial"/>
                <w:sz w:val="17"/>
              </w:rPr>
              <w:t>Beat 2</w:t>
            </w:r>
          </w:p>
        </w:tc>
      </w:tr>
      <w:tr>
        <w:tc>
          <w:tcPr>
            <w:tcW w:type="dxa" w:w="504"/>
          </w:tcPr>
          <w:p>
            <w:r/>
            <w:r>
              <w:rPr>
                <w:rFonts w:ascii="Arial" w:hAnsi="Arial"/>
                <w:sz w:val="17"/>
              </w:rPr>
              <w:t>—</w:t>
            </w:r>
          </w:p>
        </w:tc>
        <w:tc>
          <w:tcPr>
            <w:tcW w:type="dxa" w:w="7632"/>
          </w:tcPr>
          <w:p>
            <w:r/>
            <w:r>
              <w:rPr>
                <w:rFonts w:ascii="Arial" w:hAnsi="Arial"/>
                <w:sz w:val="17"/>
              </w:rPr>
              <w:t>The join: 25,000 subscribers, posts almost daily, told to “go subscribe” — feeding a receiver that errors.</w:t>
            </w:r>
          </w:p>
        </w:tc>
        <w:tc>
          <w:tcPr>
            <w:tcW w:type="dxa" w:w="864"/>
          </w:tcPr>
          <w:p>
            <w:r/>
            <w:r>
              <w:rPr>
                <w:rFonts w:ascii="Arial" w:hAnsi="Arial"/>
                <w:sz w:val="17"/>
              </w:rPr>
              <w:t>Beat 2</w:t>
            </w:r>
          </w:p>
        </w:tc>
      </w:tr>
    </w:tbl>
    <w:p/>
    <w:p>
      <w:pPr>
        <w:spacing w:after="120"/>
        <w:shd w:val="clear" w:color="auto" w:fill="FFF3CC"/>
      </w:pPr>
      <w:r>
        <w:rPr>
          <w:rFonts w:ascii="Courier New" w:hAnsi="Courier New" w:eastAsia="Courier New"/>
          <w:b w:val="0"/>
          <w:i w:val="0"/>
          <w:sz w:val="20"/>
        </w:rPr>
        <w:t>REPLY ASK (verbatim, Beat 5): "So tell me which one is really the bottleneck — the broken checkout, or the fact that nothing on your channel points to the course. If I've read this wrong, say so and I'll leave it there."</w:t>
      </w:r>
    </w:p>
    <w:p>
      <w:pPr>
        <w:spacing w:after="40"/>
      </w:pPr>
      <w:r>
        <w:rPr>
          <w:rFonts w:ascii="Arial" w:hAnsi="Arial" w:eastAsia="Arial"/>
          <w:b/>
          <w:i w:val="0"/>
          <w:sz w:val="21"/>
        </w:rPr>
        <w:t>THE THREE BEAT-3 UNKNOWNS (reused verbatim in Message 2 and Branch Y):</w:t>
      </w:r>
    </w:p>
    <w:p>
      <w:pPr>
        <w:spacing w:after="40"/>
      </w:pPr>
      <w:r>
        <w:rPr>
          <w:rFonts w:ascii="Arial" w:hAnsi="Arial" w:eastAsia="Arial"/>
          <w:b w:val="0"/>
          <w:i w:val="0"/>
          <w:sz w:val="21"/>
        </w:rPr>
        <w:t xml:space="preserve">    (a) how many people reach that course page in a month</w:t>
      </w:r>
    </w:p>
    <w:p>
      <w:pPr>
        <w:spacing w:after="40"/>
      </w:pPr>
      <w:r>
        <w:rPr>
          <w:rFonts w:ascii="Arial" w:hAnsi="Arial" w:eastAsia="Arial"/>
          <w:b w:val="0"/>
          <w:i w:val="0"/>
          <w:sz w:val="21"/>
        </w:rPr>
        <w:t xml:space="preserve">    (b) whether a single video description has ever pointed at it</w:t>
      </w:r>
    </w:p>
    <w:p>
      <w:pPr>
        <w:spacing w:after="40"/>
      </w:pPr>
      <w:r>
        <w:rPr>
          <w:rFonts w:ascii="Arial" w:hAnsi="Arial" w:eastAsia="Arial"/>
          <w:b w:val="0"/>
          <w:i w:val="0"/>
          <w:sz w:val="21"/>
        </w:rPr>
        <w:t xml:space="preserve">    (c) whether an email list exists anywhere</w:t>
      </w:r>
    </w:p>
    <w:p>
      <w:pPr>
        <w:spacing w:after="120"/>
      </w:pPr>
      <w:r>
        <w:rPr>
          <w:rFonts w:ascii="Arial" w:hAnsi="Arial" w:eastAsia="Arial"/>
          <w:b w:val="0"/>
          <w:i w:val="0"/>
          <w:sz w:val="22"/>
        </w:rPr>
      </w:r>
    </w:p>
    <w:p>
      <w:pPr>
        <w:spacing w:after="80"/>
      </w:pPr>
      <w:r>
        <w:rPr>
          <w:rFonts w:ascii="Arial" w:hAnsi="Arial" w:eastAsia="Arial"/>
          <w:b w:val="0"/>
          <w:i w:val="0"/>
          <w:sz w:val="21"/>
        </w:rPr>
        <w:t>CONFIDENCE SIGNAL: High (4.60, p0a). The diagnosis is asserted plainly. Confidence does not move the fee (§B.1a).</w:t>
      </w:r>
    </w:p>
    <w:p>
      <w:pPr>
        <w:spacing w:after="200"/>
      </w:pPr>
      <w:r>
        <w:rPr>
          <w:rFonts w:ascii="Arial" w:hAnsi="Arial" w:eastAsia="Arial"/>
          <w:b w:val="0"/>
          <w:i w:val="0"/>
          <w:sz w:val="21"/>
        </w:rPr>
        <w:t>SOLE DECISION-MAKER: Yes — p0a §4 and §9, “sole decision-maker and budget holder. No approval chain.” This sets the band and makes Branch P pure pricing feedback.</w:t>
      </w:r>
    </w:p>
    <w:p>
      <w:r>
        <w:br w:type="page"/>
      </w:r>
    </w:p>
    <w:p>
      <w:pPr>
        <w:pStyle w:val="Heading1"/>
        <w:spacing w:before="260" w:after="100"/>
      </w:pPr>
      <w:r>
        <w:rPr>
          <w:rFonts w:ascii="Arial" w:hAnsi="Arial"/>
          <w:b/>
          <w:color w:val="0F1C2E"/>
          <w:sz w:val="48"/>
        </w:rPr>
        <w:t>§B.1a — The Consultation Fee: derivation worksheet (INCOMPLETE)</w:t>
      </w:r>
    </w:p>
    <w:p>
      <w:pPr>
        <w:spacing w:after="160"/>
      </w:pPr>
      <w:r>
        <w:rPr>
          <w:rFonts w:ascii="Arial" w:hAnsi="Arial" w:eastAsia="Arial"/>
          <w:b w:val="0"/>
          <w:i/>
          <w:sz w:val="21"/>
        </w:rPr>
        <w:t>Every input below is resolved from the research. Only Step 5/6 — the number itself — is outstanding. Fill it in, write it into the tracking row, and this document becomes sendable.</w:t>
      </w:r>
    </w:p>
    <w:tbl>
      <w:tblPr>
        <w:tblStyle w:val="TableGrid"/>
        <w:tblW w:type="auto" w:w="0"/>
        <w:jc w:val="center"/>
        <w:tblLook w:firstColumn="1" w:firstRow="1" w:lastColumn="0" w:lastRow="0" w:noHBand="0" w:noVBand="1" w:val="04A0"/>
      </w:tblPr>
      <w:tblGrid>
        <w:gridCol w:w="3120"/>
        <w:gridCol w:w="3120"/>
        <w:gridCol w:w="3120"/>
      </w:tblGrid>
      <w:tr>
        <w:tc>
          <w:tcPr>
            <w:tcW w:type="dxa" w:w="1512"/>
          </w:tcPr>
          <w:p>
            <w:pPr>
              <w:shd w:val="clear" w:color="auto" w:fill="0f1c2e"/>
            </w:pPr>
            <w:r/>
            <w:r>
              <w:rPr>
                <w:rFonts w:ascii="Arial" w:hAnsi="Arial"/>
                <w:b/>
                <w:color w:val="FFFFFF"/>
                <w:sz w:val="18"/>
              </w:rPr>
              <w:t>Step</w:t>
            </w:r>
          </w:p>
        </w:tc>
        <w:tc>
          <w:tcPr>
            <w:tcW w:type="dxa" w:w="6264"/>
          </w:tcPr>
          <w:p>
            <w:pPr>
              <w:shd w:val="clear" w:color="auto" w:fill="0f1c2e"/>
            </w:pPr>
            <w:r/>
            <w:r>
              <w:rPr>
                <w:rFonts w:ascii="Arial" w:hAnsi="Arial"/>
                <w:b/>
                <w:color w:val="FFFFFF"/>
                <w:sz w:val="18"/>
              </w:rPr>
              <w:t>Finding for UPstander International</w:t>
            </w:r>
          </w:p>
        </w:tc>
        <w:tc>
          <w:tcPr>
            <w:tcW w:type="dxa" w:w="1224"/>
          </w:tcPr>
          <w:p>
            <w:pPr>
              <w:shd w:val="clear" w:color="auto" w:fill="0f1c2e"/>
            </w:pPr>
            <w:r/>
            <w:r>
              <w:rPr>
                <w:rFonts w:ascii="Arial" w:hAnsi="Arial"/>
                <w:b/>
                <w:color w:val="FFFFFF"/>
                <w:sz w:val="18"/>
              </w:rPr>
              <w:t>Status</w:t>
            </w:r>
          </w:p>
        </w:tc>
      </w:tr>
      <w:tr>
        <w:tc>
          <w:tcPr>
            <w:tcW w:type="dxa" w:w="1512"/>
          </w:tcPr>
          <w:p>
            <w:r/>
            <w:r>
              <w:rPr>
                <w:rFonts w:ascii="Arial" w:hAnsi="Arial"/>
                <w:sz w:val="17"/>
              </w:rPr>
              <w:t>1 — Reference class</w:t>
            </w:r>
          </w:p>
        </w:tc>
        <w:tc>
          <w:tcPr>
            <w:tcW w:type="dxa" w:w="6264"/>
          </w:tcPr>
          <w:p>
            <w:r/>
            <w:r>
              <w:rPr>
                <w:rFonts w:ascii="Arial" w:hAnsi="Arial"/>
                <w:sz w:val="17"/>
              </w:rPr>
              <w:t>PROBLEM: the research shows NO purchased advisory work. The only paid-services evidence is Upwork — 24 hires, $19,900 lifetime, $11.57/hr average — which is developer time, the one class §B.1a forbids. Best available class: the strategic-planning / professional-development facilitation engagement HE HIMSELF SELLS (Washington Episcopal School, contract Aug 2019–May 2023: “strategic planning sessions with leadership team,” schoolwide resource guide). He cannot dismiss that category as commodity dev time — he prices it. Anchor there, or the category is surrendered.</w:t>
            </w:r>
          </w:p>
        </w:tc>
        <w:tc>
          <w:tcPr>
            <w:tcW w:type="dxa" w:w="1224"/>
          </w:tcPr>
          <w:p>
            <w:r/>
            <w:r>
              <w:rPr>
                <w:rFonts w:ascii="Arial" w:hAnsi="Arial"/>
                <w:sz w:val="17"/>
              </w:rPr>
              <w:t>⚠ thin, but resolved</w:t>
            </w:r>
          </w:p>
        </w:tc>
      </w:tr>
      <w:tr>
        <w:tc>
          <w:tcPr>
            <w:tcW w:type="dxa" w:w="1512"/>
          </w:tcPr>
          <w:p>
            <w:r/>
            <w:r>
              <w:rPr>
                <w:rFonts w:ascii="Arial" w:hAnsi="Arial"/>
                <w:sz w:val="17"/>
              </w:rPr>
              <w:t>2 — Price at/just below one unit</w:t>
            </w:r>
          </w:p>
        </w:tc>
        <w:tc>
          <w:tcPr>
            <w:tcW w:type="dxa" w:w="6264"/>
          </w:tcPr>
          <w:p>
            <w:r/>
            <w:r>
              <w:rPr>
                <w:rFonts w:ascii="Arial" w:hAnsi="Arial"/>
                <w:sz w:val="17"/>
              </w:rPr>
              <w:t>One unit of that class, for him, is a corporate facilitation or keynote engagement. p0b Future Problem 2 puts these at $5,000–$25,000 per event but explicitly marks them L2 (“no quantifiable floor from research”). Use for internal reasoning only; never quote to him.</w:t>
            </w:r>
          </w:p>
        </w:tc>
        <w:tc>
          <w:tcPr>
            <w:tcW w:type="dxa" w:w="1224"/>
          </w:tcPr>
          <w:p>
            <w:r/>
            <w:r>
              <w:rPr>
                <w:rFonts w:ascii="Arial" w:hAnsi="Arial"/>
                <w:sz w:val="17"/>
              </w:rPr>
              <w:t>L2 — internal only</w:t>
            </w:r>
          </w:p>
        </w:tc>
      </w:tr>
      <w:tr>
        <w:tc>
          <w:tcPr>
            <w:tcW w:type="dxa" w:w="1512"/>
          </w:tcPr>
          <w:p>
            <w:r/>
            <w:r>
              <w:rPr>
                <w:rFonts w:ascii="Arial" w:hAnsi="Arial"/>
                <w:sz w:val="17"/>
              </w:rPr>
              <w:t>3 — Band</w:t>
            </w:r>
          </w:p>
        </w:tc>
        <w:tc>
          <w:tcPr>
            <w:tcW w:type="dxa" w:w="6264"/>
          </w:tcPr>
          <w:p>
            <w:r/>
            <w:r>
              <w:rPr>
                <w:rFonts w:ascii="Arial" w:hAnsi="Arial"/>
                <w:sz w:val="17"/>
              </w:rPr>
              <w:t>Genuine judgement call. Band A reading: a one-person organisation, one decision-maker, one system in question (the purchase path). Band B reading: two domains (upstanderonline.com + omekongo.com), Masteriyo LMS, WooCommerce, MailPoet, YouTube, Amazon — and three open architecture questions in p0b (dual domain, book/Amazon, YouTube→course). Both defensible.</w:t>
            </w:r>
          </w:p>
        </w:tc>
        <w:tc>
          <w:tcPr>
            <w:tcW w:type="dxa" w:w="1224"/>
          </w:tcPr>
          <w:p>
            <w:r/>
            <w:r>
              <w:rPr>
                <w:rFonts w:ascii="Arial" w:hAnsi="Arial"/>
                <w:sz w:val="17"/>
              </w:rPr>
              <w:t>⛔ NOT SET</w:t>
            </w:r>
          </w:p>
        </w:tc>
      </w:tr>
      <w:tr>
        <w:tc>
          <w:tcPr>
            <w:tcW w:type="dxa" w:w="1512"/>
          </w:tcPr>
          <w:p>
            <w:r/>
            <w:r>
              <w:rPr>
                <w:rFonts w:ascii="Arial" w:hAnsi="Arial"/>
                <w:sz w:val="17"/>
              </w:rPr>
              <w:t>4 — Floor</w:t>
            </w:r>
          </w:p>
        </w:tc>
        <w:tc>
          <w:tcPr>
            <w:tcW w:type="dxa" w:w="6264"/>
          </w:tcPr>
          <w:p>
            <w:r/>
            <w:r>
              <w:rPr>
                <w:rFonts w:ascii="Arial" w:hAnsi="Arial"/>
                <w:sz w:val="17"/>
              </w:rPr>
              <w:t>MEMORY.md §6: $200–560 in tokens per ACQUIRED consultation, before Abdul’s ~2.5 hours. “Works if ≥$500” is break-even, not a price. Practical floor ≈ $900.</w:t>
            </w:r>
          </w:p>
        </w:tc>
        <w:tc>
          <w:tcPr>
            <w:tcW w:type="dxa" w:w="1224"/>
          </w:tcPr>
          <w:p>
            <w:r/>
            <w:r>
              <w:rPr>
                <w:rFonts w:ascii="Arial" w:hAnsi="Arial"/>
                <w:sz w:val="17"/>
              </w:rPr>
              <w:t>✅ resolved</w:t>
            </w:r>
          </w:p>
        </w:tc>
      </w:tr>
      <w:tr>
        <w:tc>
          <w:tcPr>
            <w:tcW w:type="dxa" w:w="1512"/>
          </w:tcPr>
          <w:p>
            <w:r/>
            <w:r>
              <w:rPr>
                <w:rFonts w:ascii="Arial" w:hAnsi="Arial"/>
                <w:sz w:val="17"/>
              </w:rPr>
              <w:t>4 — Discretionary threshold</w:t>
            </w:r>
          </w:p>
        </w:tc>
        <w:tc>
          <w:tcPr>
            <w:tcW w:type="dxa" w:w="6264"/>
          </w:tcPr>
          <w:p>
            <w:r/>
            <w:r>
              <w:rPr>
                <w:rFonts w:ascii="Arial" w:hAnsi="Arial"/>
                <w:sz w:val="17"/>
              </w:rPr>
              <w:t>He is sole budget holder with no approval chain (p0a §4, §9), so the LEGAL threshold is high. The PSYCHOLOGICAL one is what binds: demonstrated digital spend is $50 fixed on the live job, $11.57/hr average, ~$830 per hire across 24 hires. p0a §4 records “Budget is very tight” as Confirmed. Estimated threshold ≈ $1,000–1,500.</w:t>
            </w:r>
          </w:p>
        </w:tc>
        <w:tc>
          <w:tcPr>
            <w:tcW w:type="dxa" w:w="1224"/>
          </w:tcPr>
          <w:p>
            <w:r/>
            <w:r>
              <w:rPr>
                <w:rFonts w:ascii="Arial" w:hAnsi="Arial"/>
                <w:sz w:val="17"/>
              </w:rPr>
              <w:t>✅ resolved</w:t>
            </w:r>
          </w:p>
        </w:tc>
      </w:tr>
      <w:tr>
        <w:tc>
          <w:tcPr>
            <w:tcW w:type="dxa" w:w="1512"/>
          </w:tcPr>
          <w:p>
            <w:r/>
            <w:r>
              <w:rPr>
                <w:rFonts w:ascii="Arial" w:hAnsi="Arial"/>
                <w:sz w:val="17"/>
              </w:rPr>
              <w:t>5 — Digits</w:t>
            </w:r>
          </w:p>
        </w:tc>
        <w:tc>
          <w:tcPr>
            <w:tcW w:type="dxa" w:w="6264"/>
          </w:tcPr>
          <w:p>
            <w:r/>
            <w:r>
              <w:rPr>
                <w:rFonts w:ascii="Arial" w:hAnsi="Arial"/>
                <w:sz w:val="17"/>
              </w:rPr>
              <w:t>Precise to the hundred (e.g. $1,200), never a round thousand ($2,000 reads arbitrary and invites a counter-offer), never finer than the hundred.</w:t>
            </w:r>
          </w:p>
        </w:tc>
        <w:tc>
          <w:tcPr>
            <w:tcW w:type="dxa" w:w="1224"/>
          </w:tcPr>
          <w:p>
            <w:r/>
            <w:r>
              <w:rPr>
                <w:rFonts w:ascii="Arial" w:hAnsi="Arial"/>
                <w:sz w:val="17"/>
              </w:rPr>
              <w:t>⛔ NOT SET</w:t>
            </w:r>
          </w:p>
        </w:tc>
      </w:tr>
      <w:tr>
        <w:tc>
          <w:tcPr>
            <w:tcW w:type="dxa" w:w="1512"/>
          </w:tcPr>
          <w:p>
            <w:r/>
            <w:r>
              <w:rPr>
                <w:rFonts w:ascii="Arial" w:hAnsi="Arial"/>
                <w:sz w:val="17"/>
              </w:rPr>
              <w:t>6 — Written to tracking row</w:t>
            </w:r>
          </w:p>
        </w:tc>
        <w:tc>
          <w:tcPr>
            <w:tcW w:type="dxa" w:w="6264"/>
          </w:tcPr>
          <w:p>
            <w:r/>
            <w:r>
              <w:rPr>
                <w:rFonts w:ascii="Arial" w:hAnsi="Arial"/>
                <w:sz w:val="17"/>
              </w:rPr>
              <w:t>Not done. Until it is, Message 2 cannot be sent and Branch F cannot be answered.</w:t>
            </w:r>
          </w:p>
        </w:tc>
        <w:tc>
          <w:tcPr>
            <w:tcW w:type="dxa" w:w="1224"/>
          </w:tcPr>
          <w:p>
            <w:r/>
            <w:r>
              <w:rPr>
                <w:rFonts w:ascii="Arial" w:hAnsi="Arial"/>
                <w:sz w:val="17"/>
              </w:rPr>
              <w:t>⛔ NOT SET</w:t>
            </w:r>
          </w:p>
        </w:tc>
      </w:tr>
    </w:tbl>
    <w:p/>
    <w:p>
      <w:pPr>
        <w:spacing w:after="60"/>
        <w:shd w:val="clear" w:color="auto" w:fill="FDE2E2"/>
      </w:pPr>
      <w:r>
        <w:rPr>
          <w:rFonts w:ascii="Arial" w:hAnsi="Arial" w:eastAsia="Arial"/>
          <w:b/>
          <w:i w:val="0"/>
          <w:sz w:val="22"/>
        </w:rPr>
        <w:t>⚠  THE SQUEEZE — read before choosing the number.</w:t>
      </w:r>
    </w:p>
    <w:p>
      <w:pPr>
        <w:spacing w:after="120"/>
      </w:pPr>
      <w:r>
        <w:rPr>
          <w:rFonts w:ascii="Arial" w:hAnsi="Arial" w:eastAsia="Arial"/>
          <w:b w:val="0"/>
          <w:i w:val="0"/>
          <w:sz w:val="21"/>
        </w:rPr>
        <w:t>Floor ≈ $900. Psychological ceiling ≈ $1,000–1,500. That is a narrow band, and it is narrow because of a genuine conflict in the evidence: §B.1a’s method assumes a buyer with a respected advisory reference class, while p0a §4 records a Confirmed tight-budget signal. Per §B.1a rule 10, if the number must move, MOVE SCOPE, NOT RATE — drop a session and drop the band, hold the rate. Never discount, and never price this at $500: that is break-even and it means the entire front end runs at a loss on Abdul’s labour.</w:t>
      </w:r>
    </w:p>
    <w:p>
      <w:pPr>
        <w:spacing w:after="80"/>
        <w:shd w:val="clear" w:color="auto" w:fill="FFF3CC"/>
      </w:pPr>
      <w:r>
        <w:rPr>
          <w:rFonts w:ascii="Arial" w:hAnsi="Arial" w:eastAsia="Arial"/>
          <w:b w:val="0"/>
          <w:i w:val="0"/>
          <w:sz w:val="20"/>
        </w:rPr>
        <w:t>📌 NOTE  A second, subtler risk specific to this prospect: he sees a four-figure fee beside a course that has earned roughly three thousand dollars in its lifetime. Expect the objection “you want that much to fix a course that made three thousand?” It is handled in Branch I — do not improvise it.</w:t>
      </w:r>
    </w:p>
    <w:p>
      <w:pPr>
        <w:spacing w:after="80"/>
        <w:shd w:val="clear" w:color="auto" w:fill="FFF3CC"/>
      </w:pPr>
      <w:r>
        <w:rPr>
          <w:rFonts w:ascii="Arial" w:hAnsi="Arial" w:eastAsia="Arial"/>
          <w:b w:val="0"/>
          <w:i w:val="0"/>
          <w:sz w:val="20"/>
        </w:rPr>
        <w:t>📌 NOTE  Pricing rules that govern every money sentence below: ceiling frame always (“the most it can cost you is X”); price and guarantee in ONE sentence; the number said exactly ONCE; never the last line; never justified; never the words “fee,” “charge,” or “investment”; price the package, never the session; never discount.</w:t>
      </w:r>
    </w:p>
    <w:p>
      <w:r>
        <w:br w:type="page"/>
      </w:r>
    </w:p>
    <w:p>
      <w:pPr>
        <w:pStyle w:val="Heading1"/>
        <w:spacing w:before="260" w:after="100"/>
      </w:pPr>
      <w:r>
        <w:rPr>
          <w:rFonts w:ascii="Arial" w:hAnsi="Arial"/>
          <w:b/>
          <w:color w:val="0F1C2E"/>
          <w:sz w:val="48"/>
        </w:rPr>
        <w:t>B.1 — The Linear Path (Happy Path)</w:t>
      </w:r>
    </w:p>
    <w:p>
      <w:pPr>
        <w:spacing w:after="160"/>
      </w:pPr>
      <w:r>
        <w:rPr>
          <w:rFonts w:ascii="Arial" w:hAnsi="Arial" w:eastAsia="Arial"/>
          <w:b w:val="0"/>
          <w:i/>
          <w:sz w:val="21"/>
        </w:rPr>
        <w:t>Video reply arrives → Message 1 (qualitative question, no pitch) → Message 2 (consultation offer) → schedule → p3d. NO payment is collected at any point here.</w:t>
      </w:r>
    </w:p>
    <w:p>
      <w:pPr>
        <w:pStyle w:val="Heading2"/>
        <w:spacing w:before="260" w:after="100"/>
      </w:pPr>
      <w:r>
        <w:rPr>
          <w:rFonts w:ascii="Arial" w:hAnsi="Arial"/>
          <w:b/>
          <w:color w:val="0F1C2E"/>
          <w:sz w:val="32"/>
        </w:rPr>
        <w:t>MESSAGE 1 — sent immediately when he replies</w:t>
      </w:r>
    </w:p>
    <w:p>
      <w:pPr>
        <w:spacing w:after="80"/>
      </w:pPr>
      <w:r>
        <w:rPr>
          <w:rFonts w:ascii="Arial" w:hAnsi="Arial" w:eastAsia="Arial"/>
          <w:b w:val="0"/>
          <w:i/>
          <w:sz w:val="20"/>
        </w:rPr>
        <w:t>Purpose: reward the reply, deepen rapport, qualify. Do NOT pitch. Do NOT ask for internal numbers — capturing those is exactly what the paid session sells.</w:t>
      </w:r>
    </w:p>
    <w:p>
      <w:pPr>
        <w:spacing w:after="80"/>
        <w:shd w:val="clear" w:color="auto" w:fill="FFF3CC"/>
      </w:pPr>
      <w:r>
        <w:rPr>
          <w:rFonts w:ascii="Arial" w:hAnsi="Arial" w:eastAsia="Arial"/>
          <w:b w:val="0"/>
          <w:i w:val="0"/>
          <w:sz w:val="20"/>
        </w:rPr>
        <w:t>📌 NOTE  Beat 5 asked a forced choice, so his reply will usually SELECT one. Do not re-ask it. Take the next step down: “What have you already tried on it?” — the highest-value question available, because it surfaces the two freelancers already working on the site (Branch H) without you having to raise them.</w:t>
      </w:r>
    </w:p>
    <w:p>
      <w:pPr>
        <w:spacing w:after="60"/>
      </w:pPr>
      <w:r>
        <w:rPr>
          <w:rFonts w:ascii="Arial" w:hAnsi="Arial" w:eastAsia="Arial"/>
          <w:b/>
          <w:i w:val="0"/>
          <w:sz w:val="21"/>
        </w:rPr>
        <w:t>Variant 1 — he picked the broken checkout (the likely case):</w:t>
      </w:r>
    </w:p>
    <w:p>
      <w:pPr>
        <w:spacing w:after="120"/>
        <w:ind w:left="240"/>
        <w:shd w:val="clear" w:color="auto" w:fill="EBF3FB"/>
      </w:pPr>
      <w:r>
        <w:rPr>
          <w:rFonts w:ascii="Arial" w:hAnsi="Arial" w:eastAsia="Arial"/>
          <w:b w:val="0"/>
          <w:i w:val="0"/>
          <w:sz w:val="23"/>
        </w:rPr>
        <w:t>“That tracks — and it’s the one I’d have guessed you’d pick. A broken checkout takes the sale at the exact moment someone had already decided to buy. What have you already tried on it?”</w:t>
      </w:r>
    </w:p>
    <w:p>
      <w:pPr>
        <w:spacing w:after="160"/>
      </w:pPr>
      <w:r>
        <w:rPr>
          <w:rFonts w:ascii="Arial" w:hAnsi="Arial" w:eastAsia="Arial"/>
          <w:b w:val="0"/>
          <w:i/>
          <w:color w:val="475569"/>
          <w:sz w:val="17"/>
        </w:rPr>
        <w:t xml:space="preserve">    [3 sentences · 35 words · caps 3/65] ✅</w:t>
      </w:r>
    </w:p>
    <w:p>
      <w:pPr>
        <w:spacing w:after="60"/>
      </w:pPr>
      <w:r>
        <w:rPr>
          <w:rFonts w:ascii="Arial" w:hAnsi="Arial" w:eastAsia="Arial"/>
          <w:b/>
          <w:i w:val="0"/>
          <w:sz w:val="21"/>
        </w:rPr>
        <w:t>Variant 2 — he picked the channel-to-course gap:</w:t>
      </w:r>
    </w:p>
    <w:p>
      <w:pPr>
        <w:spacing w:after="120"/>
        <w:ind w:left="240"/>
        <w:shd w:val="clear" w:color="auto" w:fill="EBF3FB"/>
      </w:pPr>
      <w:r>
        <w:rPr>
          <w:rFonts w:ascii="Arial" w:hAnsi="Arial" w:eastAsia="Arial"/>
          <w:b w:val="0"/>
          <w:i w:val="0"/>
          <w:sz w:val="23"/>
        </w:rPr>
        <w:t>“That’s the more interesting answer, and the harder one. A checkout is a fix; a channel that doesn’t point anywhere is a habit, and you’ve built that habit around a page that couldn’t receive people anyway. What have you already tried on it?”</w:t>
      </w:r>
    </w:p>
    <w:p>
      <w:pPr>
        <w:spacing w:after="160"/>
      </w:pPr>
      <w:r>
        <w:rPr>
          <w:rFonts w:ascii="Arial" w:hAnsi="Arial" w:eastAsia="Arial"/>
          <w:b w:val="0"/>
          <w:i/>
          <w:color w:val="475569"/>
          <w:sz w:val="17"/>
        </w:rPr>
        <w:t xml:space="preserve">    [3 sentences · 43 words · caps 3/65] ✅</w:t>
      </w:r>
    </w:p>
    <w:p>
      <w:pPr>
        <w:spacing w:after="60"/>
      </w:pPr>
      <w:r>
        <w:rPr>
          <w:rFonts w:ascii="Arial" w:hAnsi="Arial" w:eastAsia="Arial"/>
          <w:b/>
          <w:i w:val="0"/>
          <w:sz w:val="21"/>
        </w:rPr>
        <w:t>Variant 3 — his reply selected nothing (“interesting,” a bare emoji):</w:t>
      </w:r>
    </w:p>
    <w:p>
      <w:pPr>
        <w:spacing w:after="120"/>
        <w:ind w:left="240"/>
        <w:shd w:val="clear" w:color="auto" w:fill="EBF3FB"/>
      </w:pPr>
      <w:r>
        <w:rPr>
          <w:rFonts w:ascii="Arial" w:hAnsi="Arial" w:eastAsia="Arial"/>
          <w:b w:val="0"/>
          <w:i w:val="0"/>
          <w:sz w:val="23"/>
        </w:rPr>
        <w:t>“Appreciate the reply. Of the two I flagged — the broken checkout, or nothing on your channel pointing to the course — which one is actually costing you more day to day?”</w:t>
      </w:r>
    </w:p>
    <w:p>
      <w:pPr>
        <w:spacing w:after="160"/>
      </w:pPr>
      <w:r>
        <w:rPr>
          <w:rFonts w:ascii="Arial" w:hAnsi="Arial" w:eastAsia="Arial"/>
          <w:b w:val="0"/>
          <w:i/>
          <w:color w:val="475569"/>
          <w:sz w:val="17"/>
        </w:rPr>
        <w:t xml:space="preserve">    [2 sentences · 32 words · caps 2/65] ✅</w:t>
      </w:r>
    </w:p>
    <w:p>
      <w:pPr>
        <w:spacing w:after="60"/>
      </w:pPr>
      <w:r>
        <w:rPr>
          <w:rFonts w:ascii="Arial" w:hAnsi="Arial" w:eastAsia="Arial"/>
          <w:b/>
          <w:i w:val="0"/>
          <w:sz w:val="21"/>
        </w:rPr>
        <w:t>Variant 4 — he corrected me:</w:t>
      </w:r>
    </w:p>
    <w:p>
      <w:pPr>
        <w:spacing w:after="160"/>
      </w:pPr>
      <w:r>
        <w:rPr>
          <w:rFonts w:ascii="Arial" w:hAnsi="Arial" w:eastAsia="Arial"/>
          <w:b w:val="0"/>
          <w:i w:val="0"/>
          <w:sz w:val="21"/>
        </w:rPr>
        <w:t>→ Do not use Message 1. Go straight to Branch A. A correction is not an objection; it is him accepting the invitation Beat 5 made.</w:t>
      </w:r>
    </w:p>
    <w:p>
      <w:pPr>
        <w:pStyle w:val="Heading2"/>
        <w:spacing w:before="260" w:after="100"/>
      </w:pPr>
      <w:r>
        <w:rPr>
          <w:rFonts w:ascii="Arial" w:hAnsi="Arial"/>
          <w:b/>
          <w:color w:val="0F1C2E"/>
          <w:sz w:val="32"/>
        </w:rPr>
        <w:t>MESSAGE 2 — the consultation offer (after he answers Message 1)</w:t>
      </w:r>
    </w:p>
    <w:p>
      <w:pPr>
        <w:spacing w:after="80"/>
        <w:shd w:val="clear" w:color="auto" w:fill="FFF3CC"/>
      </w:pPr>
      <w:r>
        <w:rPr>
          <w:rFonts w:ascii="Arial" w:hAnsi="Arial" w:eastAsia="Arial"/>
          <w:b w:val="0"/>
          <w:i w:val="0"/>
          <w:sz w:val="20"/>
        </w:rPr>
        <w:t>📌 NOTE  Six elements, not seven — element 4 (proof of competence) is DROPPED because the video carried none (Trap 3). Hard caps: 6–8 sentences, ≤210 words, 3–4 paragraphs, longest sentence ≤45 words. Counted below.</w:t>
      </w:r>
    </w:p>
    <w:p>
      <w:pPr>
        <w:spacing w:after="80"/>
        <w:shd w:val="clear" w:color="auto" w:fill="FFF3CC"/>
      </w:pPr>
      <w:r>
        <w:rPr>
          <w:rFonts w:ascii="Arial" w:hAnsi="Arial" w:eastAsia="Arial"/>
          <w:b w:val="0"/>
          <w:i w:val="0"/>
          <w:sz w:val="20"/>
        </w:rPr>
        <w:t>📌 NOTE  The stakes tie-back quotes the video verbatim, but the ANCHOR is structural (Trap 2): 25,000 subscribers, three announced books, and the unknown itself. Do not anchor the fee to the ~$3,000 figure — it is a lifetime revenue total and it would make the fee look enormous.</w:t>
      </w:r>
    </w:p>
    <w:p>
      <w:pPr>
        <w:spacing w:after="120"/>
        <w:ind w:left="240"/>
        <w:shd w:val="clear" w:color="auto" w:fill="EBF3FB"/>
      </w:pPr>
      <w:r>
        <w:rPr>
          <w:rFonts w:ascii="Arial" w:hAnsi="Arial" w:eastAsia="Arial"/>
          <w:b w:val="0"/>
          <w:i w:val="0"/>
          <w:sz w:val="23"/>
        </w:rPr>
        <w:t>“What I’d normally do next is a working session — everything I found, put beside the three numbers only you have: monthly traffic to that course page, whether any video description has ever pointed at it, and whether an email list exists anywhere. You’d walk out with a written Operational Diagnosis, yours whatever happens after; if it lands, a working demo and then the build are the natural next steps, but that’s not what you’re deciding today.</w:t>
        <w:br/>
        <w:br/>
        <w:t>Sixteen students across both courses since June of last year — roughly three thousand dollars, lifetime — against twenty-five thousand subscribers and three books you’ve said are coming this year. What you’d be deciding is whether it’s worth an hour to find out how much of that gap the site explains.</w:t>
        <w:br/>
        <w:br/>
        <w:t>The most it can cost you is [CONSULTATION_FEE] — and only if, at the end, you tell me it was worth more than that. Nothing up front, no deposit, you keep the diagnosis either way, and you’re the one who decides; Dev8X is a registered studio, so if there’s something to pay it goes through a proper invoice in USD.</w:t>
        <w:br/>
        <w:br/>
        <w:t>Worth a look? Reply and I’ll send a couple of times.”</w:t>
      </w:r>
    </w:p>
    <w:p>
      <w:pPr>
        <w:spacing w:after="160"/>
      </w:pPr>
      <w:r>
        <w:rPr>
          <w:rFonts w:ascii="Arial" w:hAnsi="Arial" w:eastAsia="Arial"/>
          <w:b w:val="0"/>
          <w:i/>
          <w:color w:val="475569"/>
          <w:sz w:val="17"/>
        </w:rPr>
        <w:t xml:space="preserve">    [8 sentences · 199 words · 4 paragraphs · caps 6–8 / ≤210] ✅   Price stated once ✅ · fused to guarantee ✅ · not the last line ✅ · no proof-of-competence line ✅</w:t>
      </w:r>
    </w:p>
    <w:p>
      <w:pPr>
        <w:pStyle w:val="Heading2"/>
        <w:spacing w:before="260" w:after="100"/>
      </w:pPr>
      <w:r>
        <w:rPr>
          <w:rFonts w:ascii="Arial" w:hAnsi="Arial"/>
          <w:b/>
          <w:color w:val="0F1C2E"/>
          <w:sz w:val="32"/>
        </w:rPr>
        <w:t>MESSAGE 3 — soft follow-up, 3–4 days after Message 2, if no reply</w:t>
      </w:r>
    </w:p>
    <w:p>
      <w:pPr>
        <w:spacing w:after="80"/>
        <w:shd w:val="clear" w:color="auto" w:fill="FFF3CC"/>
      </w:pPr>
      <w:r>
        <w:rPr>
          <w:rFonts w:ascii="Arial" w:hAnsi="Arial" w:eastAsia="Arial"/>
          <w:b w:val="0"/>
          <w:i w:val="0"/>
          <w:sz w:val="20"/>
        </w:rPr>
        <w:t>📌 NOTE  Do NOT restate the number. He has it. Repeating a price is the tell of someone who thinks the price was the problem. Restate the CEILING CONDITION instead, and end on the exit, not the ask.</w:t>
      </w:r>
    </w:p>
    <w:p>
      <w:pPr>
        <w:spacing w:after="120"/>
        <w:ind w:left="240"/>
        <w:shd w:val="clear" w:color="auto" w:fill="EBF3FB"/>
      </w:pPr>
      <w:r>
        <w:rPr>
          <w:rFonts w:ascii="Arial" w:hAnsi="Arial" w:eastAsia="Arial"/>
          <w:b w:val="0"/>
          <w:i w:val="0"/>
          <w:sz w:val="23"/>
        </w:rPr>
        <w:t>“No pressure at all — circling back once. The checkout doesn’t fix itself, and nothing’s owed unless you finish the session and tell me it was worth it. If the timing’s off, say so and I’ll leave it there.”</w:t>
      </w:r>
    </w:p>
    <w:p>
      <w:pPr>
        <w:spacing w:after="160"/>
      </w:pPr>
      <w:r>
        <w:rPr>
          <w:rFonts w:ascii="Arial" w:hAnsi="Arial" w:eastAsia="Arial"/>
          <w:b w:val="0"/>
          <w:i/>
          <w:color w:val="475569"/>
          <w:sz w:val="17"/>
        </w:rPr>
        <w:t xml:space="preserve">    [3 sentences · 39 words · caps 3/60] ✅</w:t>
      </w:r>
    </w:p>
    <w:p>
      <w:pPr>
        <w:spacing w:after="160"/>
      </w:pPr>
      <w:r>
        <w:rPr>
          <w:rFonts w:ascii="Arial" w:hAnsi="Arial" w:eastAsia="Arial"/>
          <w:b w:val="0"/>
          <w:i/>
          <w:sz w:val="21"/>
        </w:rPr>
        <w:t>Maximum ONE Message 3. If no reply, STOP. Re-engage in 90 days with a fresh industry insight — not about him.</w:t>
      </w:r>
    </w:p>
    <w:p>
      <w:r>
        <w:br w:type="page"/>
      </w:r>
    </w:p>
    <w:p>
      <w:pPr>
        <w:pStyle w:val="Heading1"/>
        <w:spacing w:before="260" w:after="100"/>
      </w:pPr>
      <w:r>
        <w:rPr>
          <w:rFonts w:ascii="Arial" w:hAnsi="Arial"/>
          <w:b/>
          <w:color w:val="0F1C2E"/>
          <w:sz w:val="48"/>
        </w:rPr>
        <w:t>B.2 — The War-Game Matrix</w:t>
      </w:r>
    </w:p>
    <w:p>
      <w:pPr>
        <w:spacing w:after="160"/>
      </w:pPr>
      <w:r>
        <w:rPr>
          <w:rFonts w:ascii="Arial" w:hAnsi="Arial" w:eastAsia="Arial"/>
          <w:b w:val="0"/>
          <w:i/>
          <w:sz w:val="21"/>
        </w:rPr>
        <w:t>Every branch below is ready to send, personalised to Dr. Dibinga. Where a branch references the video, it quotes what the finalized script actually said.</w:t>
      </w:r>
    </w:p>
    <w:p>
      <w:pPr>
        <w:pStyle w:val="Heading2"/>
        <w:spacing w:before="260" w:after="100"/>
      </w:pPr>
      <w:r>
        <w:rPr>
          <w:rFonts w:ascii="Arial" w:hAnsi="Arial"/>
          <w:b/>
          <w:color w:val="0F1C2E"/>
          <w:sz w:val="30"/>
        </w:rPr>
        <w:t>BRANCH A — Correction: “You got it wrong”</w:t>
      </w:r>
    </w:p>
    <w:p>
      <w:pPr>
        <w:spacing w:after="80"/>
        <w:shd w:val="clear" w:color="auto" w:fill="FFF3CC"/>
      </w:pPr>
      <w:r>
        <w:rPr>
          <w:rFonts w:ascii="Arial" w:hAnsi="Arial" w:eastAsia="Arial"/>
          <w:b w:val="0"/>
          <w:i w:val="0"/>
          <w:sz w:val="20"/>
        </w:rPr>
        <w:t>📌 NOTE  Beat 5 invited this. A correction is him accepting the invitation, not objecting. THE RULE: do not bridge to the offer in the same message as the correction. “That’s exactly why the session matters” converts his correction into your sales argument in the breath he gave it.</w:t>
      </w:r>
    </w:p>
    <w:p>
      <w:pPr>
        <w:spacing w:after="80"/>
        <w:shd w:val="clear" w:color="auto" w:fill="FFF3CC"/>
      </w:pPr>
      <w:r>
        <w:rPr>
          <w:rFonts w:ascii="Arial" w:hAnsi="Arial" w:eastAsia="Arial"/>
          <w:b w:val="0"/>
          <w:i w:val="0"/>
          <w:sz w:val="20"/>
        </w:rPr>
        <w:t>📌 NOTE  HIGHEST-PROBABILITY CORRECTION FOR THIS PROSPECT: “the checkout was fixed weeks ago.” p1a was captured 2026-05-21; two freelancers have been active on the site since March. If he says this and it is true, the diagnosis is GUTTED — do not push the offer, do not send a second message. Acknowledge, ask one genuine question, exit as Branch D.</w:t>
      </w:r>
    </w:p>
    <w:p>
      <w:pPr>
        <w:spacing w:after="60"/>
      </w:pPr>
      <w:r>
        <w:rPr>
          <w:rFonts w:ascii="Arial" w:hAnsi="Arial" w:eastAsia="Arial"/>
          <w:b/>
          <w:i w:val="0"/>
          <w:sz w:val="21"/>
        </w:rPr>
        <w:t>Message 1 of 2 — absorb, and nothing else:</w:t>
      </w:r>
    </w:p>
    <w:p>
      <w:pPr>
        <w:spacing w:after="120"/>
        <w:ind w:left="240"/>
        <w:shd w:val="clear" w:color="auto" w:fill="EBF3FB"/>
      </w:pPr>
      <w:r>
        <w:rPr>
          <w:rFonts w:ascii="Arial" w:hAnsi="Arial" w:eastAsia="Arial"/>
          <w:b w:val="0"/>
          <w:i w:val="0"/>
          <w:sz w:val="23"/>
        </w:rPr>
        <w:t>“Then I had that backwards — thank you. If the checkout has been working since [what he said], then the thing I built the whole read on isn’t there. What is the thing that actually costs you, then?”</w:t>
      </w:r>
    </w:p>
    <w:p>
      <w:pPr>
        <w:spacing w:after="160"/>
      </w:pPr>
      <w:r>
        <w:rPr>
          <w:rFonts w:ascii="Arial" w:hAnsi="Arial" w:eastAsia="Arial"/>
          <w:b w:val="0"/>
          <w:i/>
          <w:color w:val="475569"/>
          <w:sz w:val="17"/>
        </w:rPr>
        <w:t xml:space="preserve">    [3 sentences · 38 words · caps 3/90] ✅</w:t>
      </w:r>
    </w:p>
    <w:p>
      <w:pPr>
        <w:spacing w:after="60"/>
      </w:pPr>
      <w:r>
        <w:rPr>
          <w:rFonts w:ascii="Arial" w:hAnsi="Arial" w:eastAsia="Arial"/>
          <w:b/>
          <w:i w:val="0"/>
          <w:sz w:val="21"/>
        </w:rPr>
        <w:t>Message 2 of 2 — only after he responds, and only if he engaged:</w:t>
      </w:r>
    </w:p>
    <w:p>
      <w:pPr>
        <w:spacing w:after="120"/>
        <w:ind w:left="240"/>
        <w:shd w:val="clear" w:color="auto" w:fill="EBF3FB"/>
      </w:pPr>
      <w:r>
        <w:rPr>
          <w:rFonts w:ascii="Arial" w:hAnsi="Arial" w:eastAsia="Arial"/>
          <w:b w:val="0"/>
          <w:i w:val="0"/>
          <w:sz w:val="23"/>
        </w:rPr>
        <w:t>“That’s a different problem than the one I flagged, and a more expensive one. From outside I’ll always have blind spots — I couldn’t see [the specific one he just exposed]. The session is where my guesses get replaced with your numbers.”</w:t>
      </w:r>
    </w:p>
    <w:p>
      <w:pPr>
        <w:spacing w:after="160"/>
      </w:pPr>
      <w:r>
        <w:rPr>
          <w:rFonts w:ascii="Arial" w:hAnsi="Arial" w:eastAsia="Arial"/>
          <w:b w:val="0"/>
          <w:i/>
          <w:color w:val="475569"/>
          <w:sz w:val="17"/>
        </w:rPr>
        <w:t xml:space="preserve">    [3 sentences · 42 words · caps 3/90] ✅</w:t>
      </w:r>
    </w:p>
    <w:p>
      <w:pPr>
        <w:spacing w:after="80"/>
        <w:shd w:val="clear" w:color="auto" w:fill="FFF3CC"/>
      </w:pPr>
      <w:r>
        <w:rPr>
          <w:rFonts w:ascii="Arial" w:hAnsi="Arial" w:eastAsia="Arial"/>
          <w:b w:val="0"/>
          <w:i w:val="0"/>
          <w:sz w:val="20"/>
        </w:rPr>
        <w:t>📌 NOTE  Handling the number: if the correction invalidates the stakes figure, RETIRE IT OUT LOUD — “then that number is wrong, and I’m dropping it” — and never quote it again in any later message or branch. Never silently substitute a new one. A replacement figure comes from him (Branch U), never from you.</w:t>
      </w:r>
    </w:p>
    <w:p>
      <w:pPr>
        <w:spacing w:after="80"/>
        <w:shd w:val="clear" w:color="auto" w:fill="FFF3CC"/>
      </w:pPr>
      <w:r>
        <w:rPr>
          <w:rFonts w:ascii="Arial" w:hAnsi="Arial" w:eastAsia="Arial"/>
          <w:b w:val="0"/>
          <w:i w:val="0"/>
          <w:sz w:val="20"/>
        </w:rPr>
        <w:t>📌 NOTE  Capture the correction verbatim with attribution for p3d. It is an L1 upgrade and worth more than anything the research produced, because it is confirmed.</w:t>
      </w:r>
    </w:p>
    <w:p>
      <w:pPr>
        <w:pStyle w:val="Heading2"/>
        <w:spacing w:before="260" w:after="100"/>
      </w:pPr>
      <w:r>
        <w:rPr>
          <w:rFonts w:ascii="Arial" w:hAnsi="Arial"/>
          <w:b/>
          <w:color w:val="0F1C2E"/>
          <w:sz w:val="30"/>
        </w:rPr>
        <w:t>BRANCH B — Silent Watcher: watched, no reply (the modal outcome)</w:t>
      </w:r>
    </w:p>
    <w:p>
      <w:pPr>
        <w:spacing w:after="80"/>
        <w:shd w:val="clear" w:color="auto" w:fill="FFF3CC"/>
      </w:pPr>
      <w:r>
        <w:rPr>
          <w:rFonts w:ascii="Arial" w:hAnsi="Arial" w:eastAsia="Arial"/>
          <w:b w:val="0"/>
          <w:i w:val="0"/>
          <w:sz w:val="20"/>
        </w:rPr>
        <w:t>📌 NOTE  ONE touch only, 4–6 days after the video. Lead with the hook — the first ~7 words are all LinkedIn shows in the preview. Never open on reply-bar mechanics.</w:t>
      </w:r>
    </w:p>
    <w:p>
      <w:pPr>
        <w:spacing w:after="120"/>
        <w:ind w:left="240"/>
        <w:shd w:val="clear" w:color="auto" w:fill="EBF3FB"/>
      </w:pPr>
      <w:r>
        <w:rPr>
          <w:rFonts w:ascii="Arial" w:hAnsi="Arial" w:eastAsia="Arial"/>
          <w:b w:val="0"/>
          <w:i w:val="0"/>
          <w:sz w:val="23"/>
        </w:rPr>
        <w:t>“Is the broken checkout actually what’s capping the course, or is it something else? No need to reply to the video itself — just curious whether I’m off.”</w:t>
      </w:r>
    </w:p>
    <w:p>
      <w:pPr>
        <w:spacing w:after="160"/>
      </w:pPr>
      <w:r>
        <w:rPr>
          <w:rFonts w:ascii="Arial" w:hAnsi="Arial" w:eastAsia="Arial"/>
          <w:b w:val="0"/>
          <w:i/>
          <w:color w:val="475569"/>
          <w:sz w:val="17"/>
        </w:rPr>
        <w:t xml:space="preserve">    [2 sentences · 28 words · caps 2/90] ✅</w:t>
      </w:r>
    </w:p>
    <w:p>
      <w:pPr>
        <w:spacing w:after="80"/>
        <w:shd w:val="clear" w:color="auto" w:fill="FFF3CC"/>
      </w:pPr>
      <w:r>
        <w:rPr>
          <w:rFonts w:ascii="Arial" w:hAnsi="Arial" w:eastAsia="Arial"/>
          <w:b w:val="0"/>
          <w:i w:val="0"/>
          <w:sz w:val="20"/>
        </w:rPr>
        <w:t>📌 NOTE  When you cannot tell whether he watched, ASSUME HE DID and use this branch. Branch C’s “not sure if the video came through,” told to someone who watched and chose not to reply, is mildly insulting and reveals you are guessing.</w:t>
      </w:r>
    </w:p>
    <w:p>
      <w:pPr>
        <w:pStyle w:val="Heading2"/>
        <w:spacing w:before="260" w:after="100"/>
      </w:pPr>
      <w:r>
        <w:rPr>
          <w:rFonts w:ascii="Arial" w:hAnsi="Arial"/>
          <w:b/>
          <w:color w:val="0F1C2E"/>
          <w:sz w:val="30"/>
        </w:rPr>
        <w:t>BRANCH C — Didn’t Watch (documentation only — NOT an extra send)</w:t>
      </w:r>
    </w:p>
    <w:p>
      <w:pPr>
        <w:spacing w:after="80"/>
        <w:shd w:val="clear" w:color="auto" w:fill="FFF3CC"/>
      </w:pPr>
      <w:r>
        <w:rPr>
          <w:rFonts w:ascii="Arial" w:hAnsi="Arial" w:eastAsia="Arial"/>
          <w:b w:val="0"/>
          <w:i w:val="0"/>
          <w:sz w:val="20"/>
        </w:rPr>
        <w:t>📌 NOTE  p3b owns everything up to the first watch. Its second wrapper is the ONLY permitted not-watched touch. If that wrapper has gone out, this branch is spent — stop, and go to 90-day re-engagement.</w:t>
      </w:r>
    </w:p>
    <w:p>
      <w:pPr>
        <w:spacing w:after="120"/>
        <w:ind w:left="240"/>
        <w:shd w:val="clear" w:color="auto" w:fill="EBF3FB"/>
      </w:pPr>
      <w:r>
        <w:rPr>
          <w:rFonts w:ascii="Arial" w:hAnsi="Arial" w:eastAsia="Arial"/>
          <w:b w:val="0"/>
          <w:i w:val="0"/>
          <w:sz w:val="23"/>
        </w:rPr>
        <w:t>“Not sure if the video came through — it’s a three-minute look at where your Add to Cart button actually lands. Thought it was worth flagging. Either way, no pressure.”</w:t>
      </w:r>
    </w:p>
    <w:p>
      <w:pPr>
        <w:spacing w:after="160"/>
      </w:pPr>
      <w:r>
        <w:rPr>
          <w:rFonts w:ascii="Arial" w:hAnsi="Arial" w:eastAsia="Arial"/>
          <w:b w:val="0"/>
          <w:i/>
          <w:color w:val="475569"/>
          <w:sz w:val="17"/>
        </w:rPr>
        <w:t xml:space="preserve">    [3 sentences · 30 words · caps 3/90] ✅</w:t>
      </w:r>
    </w:p>
    <w:p>
      <w:pPr>
        <w:pStyle w:val="Heading2"/>
        <w:spacing w:before="260" w:after="100"/>
      </w:pPr>
      <w:r>
        <w:rPr>
          <w:rFonts w:ascii="Arial" w:hAnsi="Arial"/>
          <w:b/>
          <w:color w:val="0F1C2E"/>
          <w:sz w:val="30"/>
        </w:rPr>
        <w:t>BRANCH D — “Not Interested”</w:t>
      </w:r>
    </w:p>
    <w:p>
      <w:pPr>
        <w:spacing w:after="120"/>
        <w:ind w:left="240"/>
        <w:shd w:val="clear" w:color="auto" w:fill="EBF3FB"/>
      </w:pPr>
      <w:r>
        <w:rPr>
          <w:rFonts w:ascii="Arial" w:hAnsi="Arial" w:eastAsia="Arial"/>
          <w:b w:val="0"/>
          <w:i w:val="0"/>
          <w:sz w:val="23"/>
        </w:rPr>
        <w:t>“Completely fair. If anything changes, I’m easy to find. Wishing you well with UPstander.”</w:t>
      </w:r>
    </w:p>
    <w:p>
      <w:pPr>
        <w:spacing w:after="160"/>
      </w:pPr>
      <w:r>
        <w:rPr>
          <w:rFonts w:ascii="Arial" w:hAnsi="Arial" w:eastAsia="Arial"/>
          <w:b w:val="0"/>
          <w:i/>
          <w:color w:val="475569"/>
          <w:sz w:val="17"/>
        </w:rPr>
        <w:t xml:space="preserve">    [3 sentences · 14 words · caps 3/90] ✅</w:t>
      </w:r>
    </w:p>
    <w:p>
      <w:pPr>
        <w:spacing w:after="80"/>
        <w:shd w:val="clear" w:color="auto" w:fill="FFF3CC"/>
      </w:pPr>
      <w:r>
        <w:rPr>
          <w:rFonts w:ascii="Arial" w:hAnsi="Arial" w:eastAsia="Arial"/>
          <w:b w:val="0"/>
          <w:i w:val="0"/>
          <w:sz w:val="20"/>
        </w:rPr>
        <w:t>📌 NOTE  Do NOT say “the research I did is still valid.” At the moment he declines, that sentence lands as a small bill (p3b Rule 11) and converts a clean exit into faint resentment. The shorter this message, the more likely he comes back.</w:t>
      </w:r>
    </w:p>
    <w:p>
      <w:pPr>
        <w:pStyle w:val="Heading2"/>
        <w:spacing w:before="260" w:after="100"/>
      </w:pPr>
      <w:r>
        <w:rPr>
          <w:rFonts w:ascii="Arial" w:hAnsi="Arial"/>
          <w:b/>
          <w:color w:val="0F1C2E"/>
          <w:sz w:val="30"/>
        </w:rPr>
        <w:t>BRANCH E — “Too Busy Right Now”</w:t>
      </w:r>
    </w:p>
    <w:p>
      <w:pPr>
        <w:spacing w:after="80"/>
        <w:shd w:val="clear" w:color="auto" w:fill="FFF3CC"/>
      </w:pPr>
      <w:r>
        <w:rPr>
          <w:rFonts w:ascii="Arial" w:hAnsi="Arial" w:eastAsia="Arial"/>
          <w:b w:val="0"/>
          <w:i w:val="0"/>
          <w:sz w:val="20"/>
        </w:rPr>
        <w:t>📌 NOTE  Almost always true and almost always also a soft no. Do not hand a man who just said he has no time a scheduling task. Propose the date yourself; make the reply one word.</w:t>
      </w:r>
    </w:p>
    <w:p>
      <w:pPr>
        <w:spacing w:after="120"/>
        <w:ind w:left="240"/>
        <w:shd w:val="clear" w:color="auto" w:fill="EBF3FB"/>
      </w:pPr>
      <w:r>
        <w:rPr>
          <w:rFonts w:ascii="Arial" w:hAnsi="Arial" w:eastAsia="Arial"/>
          <w:b w:val="0"/>
          <w:i w:val="0"/>
          <w:sz w:val="23"/>
        </w:rPr>
        <w:t>“Makes sense — this isn’t urgent. I’ll check back in September. If that’s wrong, tell me when.”</w:t>
      </w:r>
    </w:p>
    <w:p>
      <w:pPr>
        <w:spacing w:after="160"/>
      </w:pPr>
      <w:r>
        <w:rPr>
          <w:rFonts w:ascii="Arial" w:hAnsi="Arial" w:eastAsia="Arial"/>
          <w:b w:val="0"/>
          <w:i/>
          <w:color w:val="475569"/>
          <w:sz w:val="17"/>
        </w:rPr>
        <w:t xml:space="preserve">    [3 sentences · 17 words · caps 3/90] ✅</w:t>
      </w:r>
    </w:p>
    <w:p>
      <w:pPr>
        <w:spacing w:after="80"/>
        <w:shd w:val="clear" w:color="auto" w:fill="FFF3CC"/>
      </w:pPr>
      <w:r>
        <w:rPr>
          <w:rFonts w:ascii="Arial" w:hAnsi="Arial" w:eastAsia="Arial"/>
          <w:b w:val="0"/>
          <w:i w:val="0"/>
          <w:sz w:val="20"/>
        </w:rPr>
        <w:t>📌 NOTE  Then actually check back, exactly then, referencing this message. A follow-up that arrives precisely when it said it would is itself a proof of competence — and it is one of the very few available without a portfolio.</w:t>
      </w:r>
    </w:p>
    <w:p>
      <w:pPr>
        <w:pStyle w:val="Heading2"/>
        <w:spacing w:before="260" w:after="100"/>
      </w:pPr>
      <w:r>
        <w:rPr>
          <w:rFonts w:ascii="Arial" w:hAnsi="Arial"/>
          <w:b/>
          <w:color w:val="0F1C2E"/>
          <w:sz w:val="30"/>
        </w:rPr>
        <w:t>BRANCH F — “What’s this going to cost me?”</w:t>
      </w:r>
    </w:p>
    <w:p>
      <w:pPr>
        <w:spacing w:after="80"/>
        <w:shd w:val="clear" w:color="auto" w:fill="FDE2E2"/>
      </w:pPr>
      <w:r>
        <w:rPr>
          <w:rFonts w:ascii="Arial" w:hAnsi="Arial" w:eastAsia="Arial"/>
          <w:b/>
          <w:i w:val="0"/>
          <w:sz w:val="22"/>
        </w:rPr>
        <w:t>⛔ THIS BRANCH CANNOT FIRE. The fee is not set. See §B.1a.</w:t>
      </w:r>
    </w:p>
    <w:p>
      <w:pPr>
        <w:spacing w:after="80"/>
        <w:shd w:val="clear" w:color="auto" w:fill="FFF3CC"/>
      </w:pPr>
      <w:r>
        <w:rPr>
          <w:rFonts w:ascii="Arial" w:hAnsi="Arial" w:eastAsia="Arial"/>
          <w:b w:val="0"/>
          <w:i w:val="0"/>
          <w:sz w:val="20"/>
        </w:rPr>
        <w:t>📌 NOTE  A buying signal disguised as an objection. Answer the question — do not bridge, do not defer. A direct price question deflected is the single most recognisable salesman move there is. Once the fee exists, send exactly this and then LET IT SIT — do not stack the stakes anchor and the ask on top of a question that asked for one fact.</w:t>
      </w:r>
    </w:p>
    <w:p>
      <w:pPr>
        <w:spacing w:after="120"/>
        <w:ind w:left="240"/>
        <w:shd w:val="clear" w:color="auto" w:fill="EBF3FB"/>
      </w:pPr>
      <w:r>
        <w:rPr>
          <w:rFonts w:ascii="Arial" w:hAnsi="Arial" w:eastAsia="Arial"/>
          <w:b w:val="0"/>
          <w:i w:val="0"/>
          <w:sz w:val="23"/>
        </w:rPr>
        <w:t>“Nothing for what you’ve already had. If we do the working session, the most it can cost you is [CONSULTATION_FEE] — and only if, at the end, you tell me it was worth more than that. Nothing up front, and you keep the written Operational Diagnosis either way.”</w:t>
      </w:r>
    </w:p>
    <w:p>
      <w:pPr>
        <w:spacing w:after="160"/>
      </w:pPr>
      <w:r>
        <w:rPr>
          <w:rFonts w:ascii="Arial" w:hAnsi="Arial" w:eastAsia="Arial"/>
          <w:b w:val="0"/>
          <w:i/>
          <w:color w:val="475569"/>
          <w:sz w:val="17"/>
        </w:rPr>
        <w:t xml:space="preserve">    [3 sentences · 48 words · caps 4/90] ✅</w:t>
      </w:r>
    </w:p>
    <w:p>
      <w:pPr>
        <w:spacing w:after="80"/>
        <w:shd w:val="clear" w:color="auto" w:fill="FFF3CC"/>
      </w:pPr>
      <w:r>
        <w:rPr>
          <w:rFonts w:ascii="Arial" w:hAnsi="Arial" w:eastAsia="Arial"/>
          <w:b w:val="0"/>
          <w:i w:val="0"/>
          <w:sz w:val="20"/>
        </w:rPr>
        <w:t>📌 NOTE  Never say the research was “free” or otherwise price your own effort. “Nothing for what you’ve already had” states the fact without invoicing him for it.</w:t>
      </w:r>
    </w:p>
    <w:p>
      <w:pPr>
        <w:pStyle w:val="Heading2"/>
        <w:spacing w:before="260" w:after="100"/>
      </w:pPr>
      <w:r>
        <w:rPr>
          <w:rFonts w:ascii="Arial" w:hAnsi="Arial"/>
          <w:b/>
          <w:color w:val="0F1C2E"/>
          <w:sz w:val="30"/>
        </w:rPr>
        <w:t>BRANCH G — “Send me more info”</w:t>
      </w:r>
    </w:p>
    <w:p>
      <w:pPr>
        <w:spacing w:after="80"/>
        <w:shd w:val="clear" w:color="auto" w:fill="FFF3CC"/>
      </w:pPr>
      <w:r>
        <w:rPr>
          <w:rFonts w:ascii="Arial" w:hAnsi="Arial" w:eastAsia="Arial"/>
          <w:b w:val="0"/>
          <w:i w:val="0"/>
          <w:sz w:val="20"/>
        </w:rPr>
        <w:t>📌 NOTE  Two entirely different meanings. Genuine interest names a specific thing. Polite deflection is vague — and answering a deflection with an attachment buries the thread in an unopened PDF.</w:t>
      </w:r>
    </w:p>
    <w:p>
      <w:pPr>
        <w:spacing w:after="60"/>
      </w:pPr>
      <w:r>
        <w:rPr>
          <w:rFonts w:ascii="Arial" w:hAnsi="Arial" w:eastAsia="Arial"/>
          <w:b/>
          <w:i w:val="0"/>
          <w:sz w:val="21"/>
        </w:rPr>
        <w:t>If vague — send nothing, ask what he wants:</w:t>
      </w:r>
    </w:p>
    <w:p>
      <w:pPr>
        <w:spacing w:after="120"/>
        <w:ind w:left="240"/>
        <w:shd w:val="clear" w:color="auto" w:fill="EBF3FB"/>
      </w:pPr>
      <w:r>
        <w:rPr>
          <w:rFonts w:ascii="Arial" w:hAnsi="Arial" w:eastAsia="Arial"/>
          <w:b w:val="0"/>
          <w:i w:val="0"/>
          <w:sz w:val="23"/>
        </w:rPr>
        <w:t>“Happy to — what would be most useful? The detail behind one of those problems, or how the session itself works?”</w:t>
      </w:r>
    </w:p>
    <w:p>
      <w:pPr>
        <w:spacing w:after="160"/>
      </w:pPr>
      <w:r>
        <w:rPr>
          <w:rFonts w:ascii="Arial" w:hAnsi="Arial" w:eastAsia="Arial"/>
          <w:b w:val="0"/>
          <w:i/>
          <w:color w:val="475569"/>
          <w:sz w:val="17"/>
        </w:rPr>
        <w:t xml:space="preserve">    [2 sentences · 21 words · caps 2/90] ✅</w:t>
      </w:r>
    </w:p>
    <w:p>
      <w:pPr>
        <w:spacing w:after="60"/>
      </w:pPr>
      <w:r>
        <w:rPr>
          <w:rFonts w:ascii="Arial" w:hAnsi="Arial" w:eastAsia="Arial"/>
          <w:b/>
          <w:i w:val="0"/>
          <w:sz w:val="21"/>
        </w:rPr>
        <w:t>If specific — send the Decision Safety Brief (p3a) plus one paragraph, nothing else:</w:t>
      </w:r>
    </w:p>
    <w:p>
      <w:pPr>
        <w:spacing w:after="120"/>
        <w:ind w:left="240"/>
        <w:shd w:val="clear" w:color="auto" w:fill="EBF3FB"/>
      </w:pPr>
      <w:r>
        <w:rPr>
          <w:rFonts w:ascii="Arial" w:hAnsi="Arial" w:eastAsia="Arial"/>
          <w:b w:val="0"/>
          <w:i w:val="0"/>
          <w:sz w:val="23"/>
        </w:rPr>
        <w:t>“Here’s the brief itself, so you can read it properly rather than watch me scroll it. The row I’d look at first is what happens after someone clicks Add to Cart.”</w:t>
      </w:r>
    </w:p>
    <w:p>
      <w:pPr>
        <w:spacing w:after="160"/>
      </w:pPr>
      <w:r>
        <w:rPr>
          <w:rFonts w:ascii="Arial" w:hAnsi="Arial" w:eastAsia="Arial"/>
          <w:b w:val="0"/>
          <w:i/>
          <w:color w:val="475569"/>
          <w:sz w:val="17"/>
        </w:rPr>
        <w:t xml:space="preserve">    [2 sentences · 31 words · caps 2/90] ✅</w:t>
      </w:r>
    </w:p>
    <w:p>
      <w:pPr>
        <w:spacing w:after="80"/>
        <w:shd w:val="clear" w:color="auto" w:fill="FFF3CC"/>
      </w:pPr>
      <w:r>
        <w:rPr>
          <w:rFonts w:ascii="Arial" w:hAnsi="Arial" w:eastAsia="Arial"/>
          <w:b w:val="0"/>
          <w:i w:val="0"/>
          <w:sz w:val="20"/>
        </w:rPr>
        <w:t>📌 NOTE  Do not call it “a one-page summary.” It is a dense research dashboard, and promising a summary then delivering a dashboard is a small broken promise at the exact moment credibility is being assessed. Follow up once, in 3–4 days: “Did anything in there surprise you, or did it match what you’re already seeing?”</w:t>
      </w:r>
    </w:p>
    <w:p>
      <w:pPr>
        <w:pStyle w:val="Heading2"/>
        <w:spacing w:before="260" w:after="100"/>
      </w:pPr>
      <w:r>
        <w:rPr>
          <w:rFonts w:ascii="Arial" w:hAnsi="Arial"/>
          <w:b/>
          <w:color w:val="0F1C2E"/>
          <w:sz w:val="30"/>
        </w:rPr>
        <w:t>BRANCH H — “I already have a developer” (THE MOST LIKELY OBJECTION HERE)</w:t>
      </w:r>
    </w:p>
    <w:p>
      <w:pPr>
        <w:spacing w:after="80"/>
        <w:shd w:val="clear" w:color="auto" w:fill="FFF3CC"/>
      </w:pPr>
      <w:r>
        <w:rPr>
          <w:rFonts w:ascii="Arial" w:hAnsi="Arial" w:eastAsia="Arial"/>
          <w:b w:val="0"/>
          <w:i w:val="0"/>
          <w:sz w:val="20"/>
        </w:rPr>
        <w:t>📌 NOTE  p0a §5 names this the primary decision risk: he has TWO freelancers already hired on this exact website job, with three contracts active. p0b’s Stakeholder Map is explicit — do not attempt to displace them. Position Dev8X as the conversion specialist layering on top of, or succeeding, the current build.</w:t>
      </w:r>
    </w:p>
    <w:p>
      <w:pPr>
        <w:spacing w:after="80"/>
        <w:shd w:val="clear" w:color="auto" w:fill="FFF3CC"/>
      </w:pPr>
      <w:r>
        <w:rPr>
          <w:rFonts w:ascii="Arial" w:hAnsi="Arial" w:eastAsia="Arial"/>
          <w:b w:val="0"/>
          <w:i w:val="0"/>
          <w:sz w:val="20"/>
        </w:rPr>
        <w:t>📌 NOTE  NEVER mention Upwork, the $50 fixed fee, the $19,900 lifetime spend, or the hourly rate. p0a §10: criticism of his existing investment is the single emotional risk that sinks this deal. He must never learn you catalogued his hiring history.</w:t>
      </w:r>
    </w:p>
    <w:p>
      <w:pPr>
        <w:spacing w:after="120"/>
        <w:ind w:left="240"/>
        <w:shd w:val="clear" w:color="auto" w:fill="EBF3FB"/>
      </w:pPr>
      <w:r>
        <w:rPr>
          <w:rFonts w:ascii="Arial" w:hAnsi="Arial" w:eastAsia="Arial"/>
          <w:b w:val="0"/>
          <w:i w:val="0"/>
          <w:sz w:val="23"/>
        </w:rPr>
        <w:t>“Good — you’ll need one, and I’m not trying to take that work. What I do before it is different: working out what’s actually worth building, and what it’s costing you not to have it. Plenty of people take that diagnosis to the developer they already have. If yours is the right person to build it, that’s a good outcome, not a lost one.”</w:t>
      </w:r>
    </w:p>
    <w:p>
      <w:pPr>
        <w:spacing w:after="160"/>
      </w:pPr>
      <w:r>
        <w:rPr>
          <w:rFonts w:ascii="Arial" w:hAnsi="Arial" w:eastAsia="Arial"/>
          <w:b w:val="0"/>
          <w:i/>
          <w:color w:val="475569"/>
          <w:sz w:val="17"/>
        </w:rPr>
        <w:t xml:space="preserve">    [4 sentences · 64 words · caps 5/90] ✅</w:t>
      </w:r>
    </w:p>
    <w:p>
      <w:pPr>
        <w:spacing w:after="80"/>
        <w:shd w:val="clear" w:color="auto" w:fill="FFF3CC"/>
      </w:pPr>
      <w:r>
        <w:rPr>
          <w:rFonts w:ascii="Arial" w:hAnsi="Arial" w:eastAsia="Arial"/>
          <w:b w:val="0"/>
          <w:i w:val="0"/>
          <w:sz w:val="20"/>
        </w:rPr>
        <w:t>📌 NOTE  That last sentence is load-bearing. It is true, it costs nothing at this stage, and it removes the only reason he had to end the conversation. If he still declines, exit as Branch D — this seed converts 3–6 months later when the current build disappoints, and it converts to you, because you were the one who didn’t try to displace them.</w:t>
      </w:r>
    </w:p>
    <w:p>
      <w:pPr>
        <w:spacing w:after="80"/>
        <w:shd w:val="clear" w:color="auto" w:fill="FFF3CC"/>
      </w:pPr>
      <w:r>
        <w:rPr>
          <w:rFonts w:ascii="Arial" w:hAnsi="Arial" w:eastAsia="Arial"/>
          <w:b w:val="0"/>
          <w:i w:val="0"/>
          <w:sz w:val="20"/>
        </w:rPr>
        <w:t>📌 NOTE  Do NOT offer to send the brief to his freelancers. It is your research, it names his bottleneck, and handing it to a competing vendor is a gift to them, not to him.</w:t>
      </w:r>
    </w:p>
    <w:p>
      <w:pPr>
        <w:pStyle w:val="Heading2"/>
        <w:spacing w:before="260" w:after="100"/>
      </w:pPr>
      <w:r>
        <w:rPr>
          <w:rFonts w:ascii="Arial" w:hAnsi="Arial"/>
          <w:b/>
          <w:color w:val="0F1C2E"/>
          <w:sz w:val="30"/>
        </w:rPr>
        <w:t>BRANCH I — “Too expensive” (after Message 2)</w:t>
      </w:r>
    </w:p>
    <w:p>
      <w:pPr>
        <w:spacing w:after="80"/>
        <w:shd w:val="clear" w:color="auto" w:fill="FFF3CC"/>
      </w:pPr>
      <w:r>
        <w:rPr>
          <w:rFonts w:ascii="Arial" w:hAnsi="Arial" w:eastAsia="Arial"/>
          <w:b w:val="0"/>
          <w:i w:val="0"/>
          <w:sz w:val="20"/>
        </w:rPr>
        <w:t>📌 NOTE  Almost never about money. From a founder who just watched a three-minute diagnosis of his own operation, it means “I don’t yet believe it will be worth it.” Answer the belief, not the sentence.</w:t>
      </w:r>
    </w:p>
    <w:p>
      <w:pPr>
        <w:spacing w:after="80"/>
        <w:shd w:val="clear" w:color="auto" w:fill="FFF3CC"/>
      </w:pPr>
      <w:r>
        <w:rPr>
          <w:rFonts w:ascii="Arial" w:hAnsi="Arial" w:eastAsia="Arial"/>
          <w:b w:val="0"/>
          <w:i w:val="0"/>
          <w:sz w:val="20"/>
        </w:rPr>
        <w:t>📌 NOTE  DO NOT restate the figure he just called expensive (§B.1a rule 3). He knows it. Naming it again is arguing about price — the one argument you cannot win and do not need to have.</w:t>
      </w:r>
    </w:p>
    <w:p>
      <w:pPr>
        <w:spacing w:after="80"/>
        <w:shd w:val="clear" w:color="auto" w:fill="FFF3CC"/>
      </w:pPr>
      <w:r>
        <w:rPr>
          <w:rFonts w:ascii="Arial" w:hAnsi="Arial" w:eastAsia="Arial"/>
          <w:b w:val="0"/>
          <w:i w:val="0"/>
          <w:sz w:val="20"/>
        </w:rPr>
        <w:t>📌 NOTE  FROZEN-UNIT GUARD: you may NOT write “the bottleneck costs you [X] for as long as it stays.” The video’s figure is a lifetime total, not a rate. Use the video’s own ceiling line instead, indexed to the three books.</w:t>
      </w:r>
    </w:p>
    <w:p>
      <w:pPr>
        <w:spacing w:after="120"/>
        <w:ind w:left="240"/>
        <w:shd w:val="clear" w:color="auto" w:fill="EBF3FB"/>
      </w:pPr>
      <w:r>
        <w:rPr>
          <w:rFonts w:ascii="Arial" w:hAnsi="Arial" w:eastAsia="Arial"/>
          <w:b w:val="0"/>
          <w:i w:val="0"/>
          <w:sz w:val="23"/>
        </w:rPr>
        <w:t>“Fair. Though the part I’d push back on gently: you don’t decide whether to pay until after it’s done, and you decide it, not me. If it isn’t worth more than that to you, you say so and you keep the written diagnosis anyway. Three books are coming this year — that gap doesn’t shrink as they land, it scales with them.”</w:t>
      </w:r>
    </w:p>
    <w:p>
      <w:pPr>
        <w:spacing w:after="160"/>
      </w:pPr>
      <w:r>
        <w:rPr>
          <w:rFonts w:ascii="Arial" w:hAnsi="Arial" w:eastAsia="Arial"/>
          <w:b w:val="0"/>
          <w:i/>
          <w:color w:val="475569"/>
          <w:sz w:val="17"/>
        </w:rPr>
        <w:t xml:space="preserve">    [4 sentences · 62 words · caps 4/90] ✅</w:t>
      </w:r>
    </w:p>
    <w:p>
      <w:pPr>
        <w:spacing w:after="60"/>
      </w:pPr>
      <w:r>
        <w:rPr>
          <w:rFonts w:ascii="Arial" w:hAnsi="Arial" w:eastAsia="Arial"/>
          <w:b/>
          <w:i w:val="0"/>
          <w:sz w:val="21"/>
        </w:rPr>
        <w:t>Sub-branch I.1 — “You want that much to fix a course that made three thousand dollars?”</w:t>
      </w:r>
    </w:p>
    <w:p>
      <w:pPr>
        <w:spacing w:after="80"/>
        <w:shd w:val="clear" w:color="auto" w:fill="FFF3CC"/>
      </w:pPr>
      <w:r>
        <w:rPr>
          <w:rFonts w:ascii="Arial" w:hAnsi="Arial" w:eastAsia="Arial"/>
          <w:b w:val="0"/>
          <w:i w:val="0"/>
          <w:sz w:val="20"/>
        </w:rPr>
        <w:t>📌 NOTE  PREDICTED, and specific to this prospect. It arises directly from Trap 2: the stakes figure is a lifetime revenue total, so the fee looks large beside it. Do not concede, do not discount, and do not dispute his arithmetic — re-point the anchor at the asset, which is the audience, not the course.</w:t>
      </w:r>
    </w:p>
    <w:p>
      <w:pPr>
        <w:spacing w:after="120"/>
        <w:ind w:left="240"/>
        <w:shd w:val="clear" w:color="auto" w:fill="EBF3FB"/>
      </w:pPr>
      <w:r>
        <w:rPr>
          <w:rFonts w:ascii="Arial" w:hAnsi="Arial" w:eastAsia="Arial"/>
          <w:b w:val="0"/>
          <w:i w:val="0"/>
          <w:sz w:val="23"/>
        </w:rPr>
        <w:t>“The three thousand is the symptom, not the asset. The asset is twenty-five thousand people who already chose to hear from you, and three books landing on top of them this year. What we’d be pricing is whether that audience has anywhere to go — not whether the course was worth building.”</w:t>
      </w:r>
    </w:p>
    <w:p>
      <w:pPr>
        <w:spacing w:after="160"/>
      </w:pPr>
      <w:r>
        <w:rPr>
          <w:rFonts w:ascii="Arial" w:hAnsi="Arial" w:eastAsia="Arial"/>
          <w:b w:val="0"/>
          <w:i/>
          <w:color w:val="475569"/>
          <w:sz w:val="17"/>
        </w:rPr>
        <w:t xml:space="preserve">    [3 sentences · 52 words · caps 4/90] ✅</w:t>
      </w:r>
    </w:p>
    <w:p>
      <w:pPr>
        <w:spacing w:after="80"/>
        <w:shd w:val="clear" w:color="auto" w:fill="FFF3CC"/>
      </w:pPr>
      <w:r>
        <w:rPr>
          <w:rFonts w:ascii="Arial" w:hAnsi="Arial" w:eastAsia="Arial"/>
          <w:b w:val="0"/>
          <w:i w:val="0"/>
          <w:sz w:val="20"/>
        </w:rPr>
        <w:t>📌 NOTE  Never discount and never offer a smaller package as a reflex to the word “expensive” — that teaches him pushing moves your prices, and it re-prices every future gate downward, including the build. If scope must move, it moves in a later, calmer message.</w:t>
      </w:r>
    </w:p>
    <w:p>
      <w:pPr>
        <w:pStyle w:val="Heading2"/>
        <w:spacing w:before="260" w:after="100"/>
      </w:pPr>
      <w:r>
        <w:rPr>
          <w:rFonts w:ascii="Arial" w:hAnsi="Arial"/>
          <w:b/>
          <w:color w:val="0F1C2E"/>
          <w:sz w:val="30"/>
        </w:rPr>
        <w:t>BRANCH J — “I want a free call instead”</w:t>
      </w:r>
    </w:p>
    <w:p>
      <w:pPr>
        <w:spacing w:after="80"/>
        <w:shd w:val="clear" w:color="auto" w:fill="FFF3CC"/>
      </w:pPr>
      <w:r>
        <w:rPr>
          <w:rFonts w:ascii="Arial" w:hAnsi="Arial" w:eastAsia="Arial"/>
          <w:b w:val="0"/>
          <w:i w:val="0"/>
          <w:sz w:val="20"/>
        </w:rPr>
        <w:t>📌 NOTE  Two turns. Collapsing them destroys the paid gate — every prospect who says “free” would get one. Under post-paid the request is usually answered by a fact, not a concession.</w:t>
      </w:r>
    </w:p>
    <w:p>
      <w:pPr>
        <w:spacing w:after="60"/>
      </w:pPr>
      <w:r>
        <w:rPr>
          <w:rFonts w:ascii="Arial" w:hAnsi="Arial" w:eastAsia="Arial"/>
          <w:b/>
          <w:i w:val="0"/>
          <w:sz w:val="21"/>
        </w:rPr>
        <w:t>Turn 1 — answer the fear, offer nothing. Do NOT mention the fit check:</w:t>
      </w:r>
    </w:p>
    <w:p>
      <w:pPr>
        <w:spacing w:after="120"/>
        <w:ind w:left="240"/>
        <w:shd w:val="clear" w:color="auto" w:fill="EBF3FB"/>
      </w:pPr>
      <w:r>
        <w:rPr>
          <w:rFonts w:ascii="Arial" w:hAnsi="Arial" w:eastAsia="Arial"/>
          <w:b w:val="0"/>
          <w:i w:val="0"/>
          <w:sz w:val="23"/>
        </w:rPr>
        <w:t>“I get it — paying a stranger feels like a risk. Here’s the thing though: you don’t pay anything up front. We do the session, and at the end you tell me whether it was worth it. If it wasn’t, you keep the written diagnosis and pay nothing. There’s no deposit and nothing to get back.”</w:t>
      </w:r>
    </w:p>
    <w:p>
      <w:pPr>
        <w:spacing w:after="160"/>
      </w:pPr>
      <w:r>
        <w:rPr>
          <w:rFonts w:ascii="Arial" w:hAnsi="Arial" w:eastAsia="Arial"/>
          <w:b w:val="0"/>
          <w:i/>
          <w:color w:val="475569"/>
          <w:sz w:val="17"/>
        </w:rPr>
        <w:t xml:space="preserve">    [5 sentences · 56 words · caps 5/90] ✅</w:t>
      </w:r>
    </w:p>
    <w:p>
      <w:pPr>
        <w:spacing w:after="60"/>
      </w:pPr>
      <w:r>
        <w:rPr>
          <w:rFonts w:ascii="Arial" w:hAnsi="Arial" w:eastAsia="Arial"/>
          <w:b/>
          <w:i w:val="0"/>
          <w:sz w:val="21"/>
        </w:rPr>
        <w:t>Turn 2 — ONLY if he pushes a second time, and only if he is stuck on trust, not value:</w:t>
      </w:r>
    </w:p>
    <w:p>
      <w:pPr>
        <w:spacing w:after="120"/>
        <w:ind w:left="240"/>
        <w:shd w:val="clear" w:color="auto" w:fill="EBF3FB"/>
      </w:pPr>
      <w:r>
        <w:rPr>
          <w:rFonts w:ascii="Arial" w:hAnsi="Arial" w:eastAsia="Arial"/>
          <w:b w:val="0"/>
          <w:i w:val="0"/>
          <w:sz w:val="23"/>
        </w:rPr>
        <w:t>“If it’d help to hear my voice before you commit to anything, I’ll do fifteen minutes — a fit check, not a diagnosis. If it’s not a fit, I’ll say so.”</w:t>
      </w:r>
    </w:p>
    <w:p>
      <w:pPr>
        <w:spacing w:after="160"/>
      </w:pPr>
      <w:r>
        <w:rPr>
          <w:rFonts w:ascii="Arial" w:hAnsi="Arial" w:eastAsia="Arial"/>
          <w:b w:val="0"/>
          <w:i/>
          <w:color w:val="475569"/>
          <w:sz w:val="17"/>
        </w:rPr>
        <w:t xml:space="preserve">    [2 sentences · 31 words · caps 3/90] ✅</w:t>
      </w:r>
    </w:p>
    <w:p>
      <w:pPr>
        <w:spacing w:after="80"/>
        <w:shd w:val="clear" w:color="auto" w:fill="FFF3CC"/>
      </w:pPr>
      <w:r>
        <w:rPr>
          <w:rFonts w:ascii="Arial" w:hAnsi="Arial" w:eastAsia="Arial"/>
          <w:b w:val="0"/>
          <w:i w:val="0"/>
          <w:sz w:val="20"/>
        </w:rPr>
        <w:t>📌 NOTE  If he is stuck on VALUE (“I’m not sure this is worth anything”), a free call will not fix it and will burn an Abdul-hour. Route to Branch D and exit gracefully.</w:t>
      </w:r>
    </w:p>
    <w:p>
      <w:pPr>
        <w:pStyle w:val="Heading2"/>
        <w:spacing w:before="260" w:after="100"/>
      </w:pPr>
      <w:r>
        <w:rPr>
          <w:rFonts w:ascii="Arial" w:hAnsi="Arial"/>
          <w:b/>
          <w:color w:val="0F1C2E"/>
          <w:sz w:val="30"/>
        </w:rPr>
        <w:t>BRANCH K — “Let me think about it”</w:t>
      </w:r>
    </w:p>
    <w:p>
      <w:pPr>
        <w:spacing w:after="80"/>
        <w:shd w:val="clear" w:color="auto" w:fill="FFF3CC"/>
      </w:pPr>
      <w:r>
        <w:rPr>
          <w:rFonts w:ascii="Arial" w:hAnsi="Arial" w:eastAsia="Arial"/>
          <w:b w:val="0"/>
          <w:i w:val="0"/>
          <w:sz w:val="20"/>
        </w:rPr>
        <w:t>📌 NOTE  Same frozen-unit guard as Branch I. No rate language.</w:t>
      </w:r>
    </w:p>
    <w:p>
      <w:pPr>
        <w:spacing w:after="120"/>
        <w:ind w:left="240"/>
        <w:shd w:val="clear" w:color="auto" w:fill="EBF3FB"/>
      </w:pPr>
      <w:r>
        <w:rPr>
          <w:rFonts w:ascii="Arial" w:hAnsi="Arial" w:eastAsia="Arial"/>
          <w:b w:val="0"/>
          <w:i w:val="0"/>
          <w:sz w:val="23"/>
        </w:rPr>
        <w:t>“Of course — it’s a real decision. One thing to sit with: three books are coming this year, and the gap between who’s watching and who can buy doesn’t shrink as they land — it scales with them. The session is where that stops being my guess. Either way, no rush.”</w:t>
      </w:r>
    </w:p>
    <w:p>
      <w:pPr>
        <w:spacing w:after="160"/>
      </w:pPr>
      <w:r>
        <w:rPr>
          <w:rFonts w:ascii="Arial" w:hAnsi="Arial" w:eastAsia="Arial"/>
          <w:b w:val="0"/>
          <w:i/>
          <w:color w:val="475569"/>
          <w:sz w:val="17"/>
        </w:rPr>
        <w:t xml:space="preserve">    [4 sentences · 51 words · caps 5/90] ✅</w:t>
      </w:r>
    </w:p>
    <w:p>
      <w:pPr>
        <w:spacing w:after="160"/>
      </w:pPr>
      <w:r>
        <w:rPr>
          <w:rFonts w:ascii="Arial" w:hAnsi="Arial" w:eastAsia="Arial"/>
          <w:b w:val="0"/>
          <w:i/>
          <w:sz w:val="21"/>
        </w:rPr>
        <w:t>Follow up in 5–7 days: “Hey — just checking in. Any questions I can answer?” If still no reply: stop. 90-day re-engagement.</w:t>
      </w:r>
    </w:p>
    <w:p>
      <w:pPr>
        <w:pStyle w:val="Heading2"/>
        <w:spacing w:before="260" w:after="100"/>
      </w:pPr>
      <w:r>
        <w:rPr>
          <w:rFonts w:ascii="Arial" w:hAnsi="Arial"/>
          <w:b/>
          <w:color w:val="0F1C2E"/>
          <w:sz w:val="30"/>
        </w:rPr>
        <w:t>BRANCH L — “Can you send references?”</w:t>
      </w:r>
    </w:p>
    <w:p>
      <w:pPr>
        <w:spacing w:after="80"/>
        <w:shd w:val="clear" w:color="auto" w:fill="FFF3CC"/>
      </w:pPr>
      <w:r>
        <w:rPr>
          <w:rFonts w:ascii="Arial" w:hAnsi="Arial" w:eastAsia="Arial"/>
          <w:b w:val="0"/>
          <w:i w:val="0"/>
          <w:sz w:val="20"/>
        </w:rPr>
        <w:t>📌 NOTE  There are none. Say so. Do not deflect, do not reach for “we’re a focused studio,” and above all do not manufacture a client. This is the same rule that removed the proof-of-competence line from the video.</w:t>
      </w:r>
    </w:p>
    <w:p>
      <w:pPr>
        <w:spacing w:after="120"/>
        <w:ind w:left="240"/>
        <w:shd w:val="clear" w:color="auto" w:fill="EBF3FB"/>
      </w:pPr>
      <w:r>
        <w:rPr>
          <w:rFonts w:ascii="Arial" w:hAnsi="Arial" w:eastAsia="Arial"/>
          <w:b w:val="0"/>
          <w:i w:val="0"/>
          <w:sz w:val="23"/>
        </w:rPr>
        <w:t>“Not the kind you’d want — I’d rather tell you that than dress something up. What I can point at is the work you’ve already seen: I spent real time on your operation before asking you for anything. And you don’t pay unless you tell me the session was worth it, so you’re not taking my word for any of this.”</w:t>
      </w:r>
    </w:p>
    <w:p>
      <w:pPr>
        <w:spacing w:after="160"/>
      </w:pPr>
      <w:r>
        <w:rPr>
          <w:rFonts w:ascii="Arial" w:hAnsi="Arial" w:eastAsia="Arial"/>
          <w:b w:val="0"/>
          <w:i/>
          <w:color w:val="475569"/>
          <w:sz w:val="17"/>
        </w:rPr>
        <w:t xml:space="preserve">    [3 sentences · 61 words · caps 4/90] ✅</w:t>
      </w:r>
    </w:p>
    <w:p>
      <w:pPr>
        <w:spacing w:after="80"/>
        <w:shd w:val="clear" w:color="auto" w:fill="FFF3CC"/>
      </w:pPr>
      <w:r>
        <w:rPr>
          <w:rFonts w:ascii="Arial" w:hAnsi="Arial" w:eastAsia="Arial"/>
          <w:b w:val="0"/>
          <w:i w:val="0"/>
          <w:sz w:val="20"/>
        </w:rPr>
        <w:t>📌 NOTE  A candid “no” here is worth more than a weak “yes.” It is the first independent confirmation that the video’s Beat 3 honesty was not a technique.</w:t>
      </w:r>
    </w:p>
    <w:p>
      <w:pPr>
        <w:pStyle w:val="Heading2"/>
        <w:spacing w:before="260" w:after="100"/>
      </w:pPr>
      <w:r>
        <w:rPr>
          <w:rFonts w:ascii="Arial" w:hAnsi="Arial"/>
          <w:b/>
          <w:color w:val="0F1C2E"/>
          <w:sz w:val="30"/>
        </w:rPr>
        <w:t>BRANCH M — “Can you show me examples of your work?”</w:t>
      </w:r>
    </w:p>
    <w:p>
      <w:pPr>
        <w:spacing w:after="80"/>
        <w:shd w:val="clear" w:color="auto" w:fill="FFF3CC"/>
      </w:pPr>
      <w:r>
        <w:rPr>
          <w:rFonts w:ascii="Arial" w:hAnsi="Arial" w:eastAsia="Arial"/>
          <w:b w:val="0"/>
          <w:i w:val="0"/>
          <w:sz w:val="20"/>
        </w:rPr>
        <w:t>📌 NOTE  Do NOT say “we’re selective about what we take on.” It is a dodge, it sounds exactly like a dodge, and a man who has made 24 hires has heard it.</w:t>
      </w:r>
    </w:p>
    <w:p>
      <w:pPr>
        <w:spacing w:after="120"/>
        <w:ind w:left="240"/>
        <w:shd w:val="clear" w:color="auto" w:fill="EBF3FB"/>
      </w:pPr>
      <w:r>
        <w:rPr>
          <w:rFonts w:ascii="Arial" w:hAnsi="Arial" w:eastAsia="Arial"/>
          <w:b w:val="0"/>
          <w:i w:val="0"/>
          <w:sz w:val="23"/>
        </w:rPr>
        <w:t>“Honestly, not much I can show you yet that would mean anything for your situation. The brief is the real sample — that’s how we work before we build anything. If that’s not enough to go on, I’d completely understand.”</w:t>
      </w:r>
    </w:p>
    <w:p>
      <w:pPr>
        <w:spacing w:after="160"/>
      </w:pPr>
      <w:r>
        <w:rPr>
          <w:rFonts w:ascii="Arial" w:hAnsi="Arial" w:eastAsia="Arial"/>
          <w:b w:val="0"/>
          <w:i/>
          <w:color w:val="475569"/>
          <w:sz w:val="17"/>
        </w:rPr>
        <w:t xml:space="preserve">    [3 sentences · 40 words · caps 3/90] ✅</w:t>
      </w:r>
    </w:p>
    <w:p>
      <w:pPr>
        <w:spacing w:after="80"/>
        <w:shd w:val="clear" w:color="auto" w:fill="FFF3CC"/>
      </w:pPr>
      <w:r>
        <w:rPr>
          <w:rFonts w:ascii="Arial" w:hAnsi="Arial" w:eastAsia="Arial"/>
          <w:b w:val="0"/>
          <w:i w:val="0"/>
          <w:sz w:val="20"/>
        </w:rPr>
        <w:t>📌 NOTE  That last clause is the permission to dismiss (p3b Rule 5), and it belongs here more than anywhere else in this document.</w:t>
      </w:r>
    </w:p>
    <w:p>
      <w:pPr>
        <w:pStyle w:val="Heading2"/>
        <w:spacing w:before="260" w:after="100"/>
      </w:pPr>
      <w:r>
        <w:rPr>
          <w:rFonts w:ascii="Arial" w:hAnsi="Arial"/>
          <w:b/>
          <w:color w:val="0F1C2E"/>
          <w:sz w:val="30"/>
        </w:rPr>
        <w:t>BRANCH N — “Who are you?” / “How did you find me?”</w:t>
      </w:r>
    </w:p>
    <w:p>
      <w:pPr>
        <w:spacing w:after="80"/>
        <w:shd w:val="clear" w:color="auto" w:fill="FFF3CC"/>
      </w:pPr>
      <w:r>
        <w:rPr>
          <w:rFonts w:ascii="Arial" w:hAnsi="Arial" w:eastAsia="Arial"/>
          <w:b w:val="0"/>
          <w:i w:val="0"/>
          <w:sz w:val="20"/>
        </w:rPr>
        <w:t>📌 NOTE  Name the warming, don’t hide it. He has seen Abdul’s name on his own posts and accepted a connection request. An answer that omits that reads as evasive the moment he scrolls back and finds the comments.</w:t>
      </w:r>
    </w:p>
    <w:p>
      <w:pPr>
        <w:spacing w:after="120"/>
        <w:ind w:left="240"/>
        <w:shd w:val="clear" w:color="auto" w:fill="EBF3FB"/>
      </w:pPr>
      <w:r>
        <w:rPr>
          <w:rFonts w:ascii="Arial" w:hAnsi="Arial" w:eastAsia="Arial"/>
          <w:b w:val="0"/>
          <w:i w:val="0"/>
          <w:sz w:val="23"/>
        </w:rPr>
        <w:t>“I run Dev8X — a small development studio that builds web platforms and automation systems. I’d been reading your posts for a few weeks and commenting on some of them before I ever sent the connection request. The post where you mentioned three books coming this year is what made me actually go look at how UPstander runs. The video is the result of that.”</w:t>
      </w:r>
    </w:p>
    <w:p>
      <w:pPr>
        <w:spacing w:after="160"/>
      </w:pPr>
      <w:r>
        <w:rPr>
          <w:rFonts w:ascii="Arial" w:hAnsi="Arial" w:eastAsia="Arial"/>
          <w:b w:val="0"/>
          <w:i/>
          <w:color w:val="475569"/>
          <w:sz w:val="17"/>
        </w:rPr>
        <w:t xml:space="preserve">    [4 sentences · 65 words · caps 4/90] ✅</w:t>
      </w:r>
    </w:p>
    <w:p>
      <w:pPr>
        <w:spacing w:after="80"/>
        <w:shd w:val="clear" w:color="auto" w:fill="FFF3CC"/>
      </w:pPr>
      <w:r>
        <w:rPr>
          <w:rFonts w:ascii="Arial" w:hAnsi="Arial" w:eastAsia="Arial"/>
          <w:b w:val="0"/>
          <w:i w:val="0"/>
          <w:sz w:val="20"/>
        </w:rPr>
        <w:t>📌 NOTE  Never say “our algorithm found you” or anything that sounds automated. This is a trust-check, and it is the only question in this document where a vague answer is worse than an unflattering one. Never open with “I don’t do mass outreach” — defending against an accusation he has not made plants it.</w:t>
      </w:r>
    </w:p>
    <w:p>
      <w:pPr>
        <w:pStyle w:val="Heading2"/>
        <w:spacing w:before="260" w:after="100"/>
      </w:pPr>
      <w:r>
        <w:rPr>
          <w:rFonts w:ascii="Arial" w:hAnsi="Arial"/>
          <w:b/>
          <w:color w:val="0F1C2E"/>
          <w:sz w:val="30"/>
        </w:rPr>
        <w:t>BRANCH O — “Actually, our real problem is [something different]”</w:t>
      </w:r>
    </w:p>
    <w:p>
      <w:pPr>
        <w:spacing w:after="80"/>
        <w:shd w:val="clear" w:color="auto" w:fill="FFF3CC"/>
      </w:pPr>
      <w:r>
        <w:rPr>
          <w:rFonts w:ascii="Arial" w:hAnsi="Arial" w:eastAsia="Arial"/>
          <w:b w:val="0"/>
          <w:i w:val="0"/>
          <w:sz w:val="20"/>
        </w:rPr>
        <w:t>📌 NOTE  Better than Branch A, not worse. Never defend the original diagnosis. Absorb, ask one follow-up.</w:t>
      </w:r>
    </w:p>
    <w:p>
      <w:pPr>
        <w:spacing w:after="120"/>
        <w:ind w:left="240"/>
        <w:shd w:val="clear" w:color="auto" w:fill="EBF3FB"/>
      </w:pPr>
      <w:r>
        <w:rPr>
          <w:rFonts w:ascii="Arial" w:hAnsi="Arial" w:eastAsia="Arial"/>
          <w:b w:val="0"/>
          <w:i w:val="0"/>
          <w:sz w:val="23"/>
        </w:rPr>
        <w:t>“That’s really useful — from outside, the checkout looked like the main bottleneck, but if that’s what’s actually costing you, it changes the picture. Can you tell me more about how it’s affecting things day to day?”</w:t>
      </w:r>
    </w:p>
    <w:p>
      <w:pPr>
        <w:spacing w:after="160"/>
      </w:pPr>
      <w:r>
        <w:rPr>
          <w:rFonts w:ascii="Arial" w:hAnsi="Arial" w:eastAsia="Arial"/>
          <w:b w:val="0"/>
          <w:i/>
          <w:color w:val="475569"/>
          <w:sz w:val="17"/>
        </w:rPr>
        <w:t xml:space="preserve">    [2 sentences · 37 words · caps 3/90] ✅</w:t>
      </w:r>
    </w:p>
    <w:p>
      <w:pPr>
        <w:spacing w:after="80"/>
        <w:shd w:val="clear" w:color="auto" w:fill="FFF3CC"/>
      </w:pPr>
      <w:r>
        <w:rPr>
          <w:rFonts w:ascii="Arial" w:hAnsi="Arial" w:eastAsia="Arial"/>
          <w:b w:val="0"/>
          <w:i w:val="0"/>
          <w:sz w:val="20"/>
        </w:rPr>
        <w:t>📌 NOTE  LIKELY LANDING SPOTS, all real and all documented in p0b but deliberately NOT used in the video — so none of these is a contradiction: (4) course modules invisible to buyers; (5) no corporate/B2B pathway for the L.E.A.D. course; (6) book sales route to Amazon with no email capture; (8) two disconnected domains. If he raises one of these, he is confirming the research, not refuting it. Do not say so out loud.</w:t>
      </w:r>
    </w:p>
    <w:p>
      <w:pPr>
        <w:spacing w:after="60"/>
      </w:pPr>
      <w:r>
        <w:rPr>
          <w:rFonts w:ascii="Arial" w:hAnsi="Arial" w:eastAsia="Arial"/>
          <w:b/>
          <w:i w:val="0"/>
          <w:sz w:val="21"/>
        </w:rPr>
        <w:t>If the real problem is NOT a web/automation problem (hiring, publishing, speaking-bureau representation):</w:t>
      </w:r>
    </w:p>
    <w:p>
      <w:pPr>
        <w:spacing w:after="120"/>
        <w:ind w:left="240"/>
        <w:shd w:val="clear" w:color="auto" w:fill="EBF3FB"/>
      </w:pPr>
      <w:r>
        <w:rPr>
          <w:rFonts w:ascii="Arial" w:hAnsi="Arial" w:eastAsia="Arial"/>
          <w:b w:val="0"/>
          <w:i w:val="0"/>
          <w:sz w:val="23"/>
        </w:rPr>
        <w:t>“That sounds more like a publishing and representation challenge than a systems one. I don’t want to force a tech solution where it doesn’t fit. If there’s a web or automation angle to it, I’d like to explore that — but if not, I’d rather be straight about it.”</w:t>
      </w:r>
    </w:p>
    <w:p>
      <w:pPr>
        <w:spacing w:after="160"/>
      </w:pPr>
      <w:r>
        <w:rPr>
          <w:rFonts w:ascii="Arial" w:hAnsi="Arial" w:eastAsia="Arial"/>
          <w:b w:val="0"/>
          <w:i/>
          <w:color w:val="475569"/>
          <w:sz w:val="17"/>
        </w:rPr>
        <w:t xml:space="preserve">    [3 sentences · 49 words · caps 4/90] ✅</w:t>
      </w:r>
    </w:p>
    <w:p>
      <w:pPr>
        <w:pStyle w:val="Heading2"/>
        <w:spacing w:before="260" w:after="100"/>
      </w:pPr>
      <w:r>
        <w:rPr>
          <w:rFonts w:ascii="Arial" w:hAnsi="Arial"/>
          <w:b/>
          <w:color w:val="0F1C2E"/>
          <w:sz w:val="30"/>
        </w:rPr>
        <w:t>BRANCH P — “I need to check with someone”</w:t>
      </w:r>
    </w:p>
    <w:p>
      <w:pPr>
        <w:spacing w:after="80"/>
        <w:shd w:val="clear" w:color="auto" w:fill="FFF3CC"/>
      </w:pPr>
      <w:r>
        <w:rPr>
          <w:rFonts w:ascii="Arial" w:hAnsi="Arial" w:eastAsia="Arial"/>
          <w:b w:val="0"/>
          <w:i w:val="0"/>
          <w:sz w:val="20"/>
        </w:rPr>
        <w:t>📌 NOTE  READ AS PRICING FEEDBACK FIRST. p0a §4 and §9 state he is the sole decision-maker and budget holder with no approval chain. If he nonetheless needs to check with someone, THE FEE HAS CROSSED HIS DISCRETIONARY THRESHOLD (§B.1a Step 4). You did not raise your price; you added a stakeholder, a meeting, and three weeks. Record it — this recalibrates the band for every future solo-operator client, and it is the most valuable pricing signal the pipeline can produce. Do NOT rescue it by discounting.</w:t>
      </w:r>
    </w:p>
    <w:p>
      <w:pPr>
        <w:spacing w:after="120"/>
        <w:ind w:left="240"/>
        <w:shd w:val="clear" w:color="auto" w:fill="EBF3FB"/>
      </w:pPr>
      <w:r>
        <w:rPr>
          <w:rFonts w:ascii="Arial" w:hAnsi="Arial" w:eastAsia="Arial"/>
          <w:b w:val="0"/>
          <w:i w:val="0"/>
          <w:sz w:val="23"/>
        </w:rPr>
        <w:t>“Of course — that makes sense. Would it help if I put together a short summary they can review? One page covering what I found and what the session would cover, so they have context before you discuss it.”</w:t>
      </w:r>
    </w:p>
    <w:p>
      <w:pPr>
        <w:spacing w:after="160"/>
      </w:pPr>
      <w:r>
        <w:rPr>
          <w:rFonts w:ascii="Arial" w:hAnsi="Arial" w:eastAsia="Arial"/>
          <w:b w:val="0"/>
          <w:i/>
          <w:color w:val="475569"/>
          <w:sz w:val="17"/>
        </w:rPr>
        <w:t xml:space="preserve">    [3 sentences · 39 words · caps 3/90] ✅</w:t>
      </w:r>
    </w:p>
    <w:p>
      <w:pPr>
        <w:spacing w:after="80"/>
        <w:shd w:val="clear" w:color="auto" w:fill="FFF3CC"/>
      </w:pPr>
      <w:r>
        <w:rPr>
          <w:rFonts w:ascii="Arial" w:hAnsi="Arial" w:eastAsia="Arial"/>
          <w:b w:val="0"/>
          <w:i w:val="0"/>
          <w:sz w:val="20"/>
        </w:rPr>
        <w:t>📌 NOTE  If yes, send a light one-page summary. Do NOT send the p3e Engagement Journey one-pager to a still-cold prospect — p3e’s timing rule forbids it until he has confirmed a first session was worth it.</w:t>
      </w:r>
    </w:p>
    <w:p>
      <w:pPr>
        <w:pStyle w:val="Heading2"/>
        <w:spacing w:before="260" w:after="100"/>
      </w:pPr>
      <w:r>
        <w:rPr>
          <w:rFonts w:ascii="Arial" w:hAnsi="Arial"/>
          <w:b/>
          <w:color w:val="0F1C2E"/>
          <w:sz w:val="30"/>
        </w:rPr>
        <w:t>BRANCH Q — “We’re already in a contract with someone until [date]”</w:t>
      </w:r>
    </w:p>
    <w:p>
      <w:pPr>
        <w:spacing w:after="120"/>
        <w:ind w:left="240"/>
        <w:shd w:val="clear" w:color="auto" w:fill="EBF3FB"/>
      </w:pPr>
      <w:r>
        <w:rPr>
          <w:rFonts w:ascii="Arial" w:hAnsi="Arial" w:eastAsia="Arial"/>
          <w:b w:val="0"/>
          <w:i w:val="0"/>
          <w:sz w:val="23"/>
        </w:rPr>
        <w:t>“That’s totally fair — no point doubling up. When does it wrap up? Happy to reconnect closer to that date and pick up right where we left off.”</w:t>
      </w:r>
    </w:p>
    <w:p>
      <w:pPr>
        <w:spacing w:after="160"/>
      </w:pPr>
      <w:r>
        <w:rPr>
          <w:rFonts w:ascii="Arial" w:hAnsi="Arial" w:eastAsia="Arial"/>
          <w:b w:val="0"/>
          <w:i/>
          <w:color w:val="475569"/>
          <w:sz w:val="17"/>
        </w:rPr>
        <w:t xml:space="preserve">    [3 sentences · 28 words · caps 3/90] ✅</w:t>
      </w:r>
    </w:p>
    <w:p>
      <w:pPr>
        <w:spacing w:after="80"/>
        <w:shd w:val="clear" w:color="auto" w:fill="FFF3CC"/>
      </w:pPr>
      <w:r>
        <w:rPr>
          <w:rFonts w:ascii="Arial" w:hAnsi="Arial" w:eastAsia="Arial"/>
          <w:b w:val="0"/>
          <w:i w:val="0"/>
          <w:sz w:val="20"/>
        </w:rPr>
        <w:t>📌 NOTE  The source template offers “the research I’ve done stays valid.” It is CUT here: it prices Abdul’s effort at the exact moment the prospect is declining, which p3b Rule 11 forbids. Note the contract end date; set a reminder for 30 days before; re-engage with a fresh insight, not with “your contract is ending.”</w:t>
      </w:r>
    </w:p>
    <w:p>
      <w:pPr>
        <w:pStyle w:val="Heading2"/>
        <w:spacing w:before="260" w:after="100"/>
      </w:pPr>
      <w:r>
        <w:rPr>
          <w:rFonts w:ascii="Arial" w:hAnsi="Arial"/>
          <w:b/>
          <w:color w:val="0F1C2E"/>
          <w:sz w:val="30"/>
        </w:rPr>
        <w:t>BRANCH R — Prospect forwards to someone else</w:t>
      </w:r>
    </w:p>
    <w:p>
      <w:pPr>
        <w:spacing w:after="120"/>
        <w:ind w:left="240"/>
        <w:shd w:val="clear" w:color="auto" w:fill="EBF3FB"/>
      </w:pPr>
      <w:r>
        <w:rPr>
          <w:rFonts w:ascii="Arial" w:hAnsi="Arial" w:eastAsia="Arial"/>
          <w:b w:val="0"/>
          <w:i w:val="0"/>
          <w:sz w:val="23"/>
        </w:rPr>
        <w:t>“Absolutely — please do. If it’s helpful, I can send them a short summary that gives context without needing the full video. And if they have questions, I’m happy to jump on a quick call with both of you.”</w:t>
      </w:r>
    </w:p>
    <w:p>
      <w:pPr>
        <w:spacing w:after="160"/>
      </w:pPr>
      <w:r>
        <w:rPr>
          <w:rFonts w:ascii="Arial" w:hAnsi="Arial" w:eastAsia="Arial"/>
          <w:b w:val="0"/>
          <w:i/>
          <w:color w:val="475569"/>
          <w:sz w:val="17"/>
        </w:rPr>
        <w:t xml:space="preserve">    [3 sentences · 39 words · caps 3/90] ✅</w:t>
      </w:r>
    </w:p>
    <w:p>
      <w:pPr>
        <w:spacing w:after="80"/>
        <w:shd w:val="clear" w:color="auto" w:fill="FFF3CC"/>
      </w:pPr>
      <w:r>
        <w:rPr>
          <w:rFonts w:ascii="Arial" w:hAnsi="Arial" w:eastAsia="Arial"/>
          <w:b w:val="0"/>
          <w:i w:val="0"/>
          <w:sz w:val="20"/>
        </w:rPr>
        <w:t>📌 NOTE  A positive signal. Always encourage forwarding, and engage the new person directly — never make the original prospect your salesperson. Pre-payment, send the light summary only; p3e is never forwarded to a still-cold contact.</w:t>
      </w:r>
    </w:p>
    <w:p>
      <w:pPr>
        <w:pStyle w:val="Heading2"/>
        <w:spacing w:before="260" w:after="100"/>
      </w:pPr>
      <w:r>
        <w:rPr>
          <w:rFonts w:ascii="Arial" w:hAnsi="Arial"/>
          <w:b/>
          <w:color w:val="0F1C2E"/>
          <w:sz w:val="30"/>
        </w:rPr>
        <w:t>BRANCH S — Free consulting extraction</w:t>
      </w:r>
    </w:p>
    <w:p>
      <w:pPr>
        <w:spacing w:after="80"/>
        <w:shd w:val="clear" w:color="auto" w:fill="FFF3CC"/>
      </w:pPr>
      <w:r>
        <w:rPr>
          <w:rFonts w:ascii="Arial" w:hAnsi="Arial" w:eastAsia="Arial"/>
          <w:b w:val="0"/>
          <w:i w:val="0"/>
          <w:sz w:val="20"/>
        </w:rPr>
        <w:t>📌 NOTE  Do NOT fire on the first question. A prospect asking “so what would you build?” once is BUYING — he is imagining the thing. One substantive question gets one generous, non-specific answer. The branch begins at the second.</w:t>
      </w:r>
    </w:p>
    <w:p>
      <w:pPr>
        <w:spacing w:after="80"/>
        <w:shd w:val="clear" w:color="auto" w:fill="FFF3CC"/>
      </w:pPr>
      <w:r>
        <w:rPr>
          <w:rFonts w:ascii="Arial" w:hAnsi="Arial" w:eastAsia="Arial"/>
          <w:b w:val="0"/>
          <w:i w:val="0"/>
          <w:sz w:val="20"/>
        </w:rPr>
        <w:t>📌 NOTE  Most likely extraction attempt here, straight out of p0b Discovery Question 6: “Should I use Webflow or Kajabi?” It is a real question and he genuinely wants the answer for free.</w:t>
      </w:r>
    </w:p>
    <w:p>
      <w:pPr>
        <w:spacing w:after="120"/>
        <w:ind w:left="240"/>
        <w:shd w:val="clear" w:color="auto" w:fill="EBF3FB"/>
      </w:pPr>
      <w:r>
        <w:rPr>
          <w:rFonts w:ascii="Arial" w:hAnsi="Arial" w:eastAsia="Arial"/>
          <w:b w:val="0"/>
          <w:i w:val="0"/>
          <w:sz w:val="23"/>
        </w:rPr>
        <w:t>“Great question — that’s exactly what the session is built to answer properly. I could give you a quick take on Webflow versus Kajabi here, but the honest answer depends on where your traffic actually comes from and how much of the site you want to keep editing yourself. I’d rather give you the right answer than a fast one.”</w:t>
      </w:r>
    </w:p>
    <w:p>
      <w:pPr>
        <w:spacing w:after="160"/>
      </w:pPr>
      <w:r>
        <w:rPr>
          <w:rFonts w:ascii="Arial" w:hAnsi="Arial" w:eastAsia="Arial"/>
          <w:b w:val="0"/>
          <w:i/>
          <w:color w:val="475569"/>
          <w:sz w:val="17"/>
        </w:rPr>
        <w:t xml:space="preserve">    [3 sentences · 60 words · caps 4/90] ✅</w:t>
      </w:r>
    </w:p>
    <w:p>
      <w:pPr>
        <w:spacing w:after="80"/>
        <w:shd w:val="clear" w:color="auto" w:fill="FFF3CC"/>
      </w:pPr>
      <w:r>
        <w:rPr>
          <w:rFonts w:ascii="Arial" w:hAnsi="Arial" w:eastAsia="Arial"/>
          <w:b w:val="0"/>
          <w:i w:val="0"/>
          <w:sz w:val="20"/>
        </w:rPr>
        <w:t>📌 NOTE  The line: factual observations about his problem = free. Specific recommendations, platform choices, or architecture = paid. Never be rude or accusatory — most people don’t realise they’re doing it.</w:t>
      </w:r>
    </w:p>
    <w:p>
      <w:pPr>
        <w:pStyle w:val="Heading2"/>
        <w:spacing w:before="260" w:after="100"/>
      </w:pPr>
      <w:r>
        <w:rPr>
          <w:rFonts w:ascii="Arial" w:hAnsi="Arial"/>
          <w:b/>
          <w:color w:val="0F1C2E"/>
          <w:sz w:val="30"/>
        </w:rPr>
        <w:t>BRANCH T — “We’re already building this ourselves”</w:t>
      </w:r>
    </w:p>
    <w:p>
      <w:pPr>
        <w:spacing w:after="80"/>
        <w:shd w:val="clear" w:color="auto" w:fill="FFF3CC"/>
      </w:pPr>
      <w:r>
        <w:rPr>
          <w:rFonts w:ascii="Arial" w:hAnsi="Arial" w:eastAsia="Arial"/>
          <w:b w:val="0"/>
          <w:i w:val="0"/>
          <w:sz w:val="20"/>
        </w:rPr>
        <w:t>📌 NOTE  Distinct from Branch H. H is a rival vendor; T is his own pride, competence, and sunk effort. Arguing against those loses. Agree completely, never suggest what he built is wrong, and aim at the cost of doing it himself.</w:t>
      </w:r>
    </w:p>
    <w:p>
      <w:pPr>
        <w:spacing w:after="120"/>
        <w:ind w:left="240"/>
        <w:shd w:val="clear" w:color="auto" w:fill="EBF3FB"/>
      </w:pPr>
      <w:r>
        <w:rPr>
          <w:rFonts w:ascii="Arial" w:hAnsi="Arial" w:eastAsia="Arial"/>
          <w:b w:val="0"/>
          <w:i w:val="0"/>
          <w:sz w:val="23"/>
        </w:rPr>
        <w:t>“You should be building it — nobody outside knows how it ought to work. The part I’d push on is that the audience is already built and the thing meant to receive it isn’t, and every day that’s true costs you a day of it. The session isn’t me proposing a replacement for your work — it’s putting real numbers under it so you know which part to fix first.”</w:t>
      </w:r>
    </w:p>
    <w:p>
      <w:pPr>
        <w:spacing w:after="160"/>
      </w:pPr>
      <w:r>
        <w:rPr>
          <w:rFonts w:ascii="Arial" w:hAnsi="Arial" w:eastAsia="Arial"/>
          <w:b w:val="0"/>
          <w:i/>
          <w:color w:val="475569"/>
          <w:sz w:val="17"/>
        </w:rPr>
        <w:t xml:space="preserve">    [3 sentences · 70 words · caps 4/90] ✅</w:t>
      </w:r>
    </w:p>
    <w:p>
      <w:pPr>
        <w:spacing w:after="80"/>
        <w:shd w:val="clear" w:color="auto" w:fill="FFF3CC"/>
      </w:pPr>
      <w:r>
        <w:rPr>
          <w:rFonts w:ascii="Arial" w:hAnsi="Arial" w:eastAsia="Arial"/>
          <w:b w:val="0"/>
          <w:i w:val="0"/>
          <w:sz w:val="20"/>
        </w:rPr>
        <w:t>📌 NOTE  If he holds, do not push. Exit like Branch D. This objection frequently converts months later, when the internal build stalls exactly where you said it would — and it converts to you, because you predicted it without gloating.</w:t>
      </w:r>
    </w:p>
    <w:p>
      <w:pPr>
        <w:pStyle w:val="Heading2"/>
        <w:spacing w:before="260" w:after="100"/>
      </w:pPr>
      <w:r>
        <w:rPr>
          <w:rFonts w:ascii="Arial" w:hAnsi="Arial"/>
          <w:b/>
          <w:color w:val="0F1C2E"/>
          <w:sz w:val="30"/>
        </w:rPr>
        <w:t>BRANCH U — He volunteers internal numbers (the L1 upgrade — do not fumble this)</w:t>
      </w:r>
    </w:p>
    <w:p>
      <w:pPr>
        <w:spacing w:after="80"/>
        <w:shd w:val="clear" w:color="auto" w:fill="FFF3CC"/>
      </w:pPr>
      <w:r>
        <w:rPr>
          <w:rFonts w:ascii="Arial" w:hAnsi="Arial" w:eastAsia="Arial"/>
          <w:b w:val="0"/>
          <w:i w:val="0"/>
          <w:sz w:val="20"/>
        </w:rPr>
        <w:t>📌 NOTE  The single highest-value event in the pipeline. DO NOT compute. The moment you multiply his number into an annual figure and hand it over, you have delivered the consultation’s headline deliverable in a DM and the gate is gone. Reflect it back UNMULTIPLIED and let him do the arithmetic himself — his number, his conclusion, no claim of yours he can dispute.</w:t>
      </w:r>
    </w:p>
    <w:p>
      <w:pPr>
        <w:spacing w:after="120"/>
        <w:ind w:left="240"/>
        <w:shd w:val="clear" w:color="auto" w:fill="EBF3FB"/>
      </w:pPr>
      <w:r>
        <w:rPr>
          <w:rFonts w:ascii="Arial" w:hAnsi="Arial" w:eastAsia="Arial"/>
          <w:b w:val="0"/>
          <w:i w:val="0"/>
          <w:sz w:val="23"/>
        </w:rPr>
        <w:t>“Eleven hundred people on a list you’d half forgotten — that’s the first number I couldn’t see from outside, and it’s bigger than I’d assumed. I’m not going to do that multiplication in a DM. Doing it properly, with the rest of your numbers beside it, is exactly what the session is.”</w:t>
      </w:r>
    </w:p>
    <w:p>
      <w:pPr>
        <w:spacing w:after="160"/>
      </w:pPr>
      <w:r>
        <w:rPr>
          <w:rFonts w:ascii="Arial" w:hAnsi="Arial" w:eastAsia="Arial"/>
          <w:b w:val="0"/>
          <w:i/>
          <w:color w:val="475569"/>
          <w:sz w:val="17"/>
        </w:rPr>
        <w:t xml:space="preserve">    [3 sentences · 52 words · caps 4/90] ✅</w:t>
      </w:r>
    </w:p>
    <w:p>
      <w:pPr>
        <w:spacing w:after="80"/>
        <w:shd w:val="clear" w:color="auto" w:fill="FFF3CC"/>
      </w:pPr>
      <w:r>
        <w:rPr>
          <w:rFonts w:ascii="Arial" w:hAnsi="Arial" w:eastAsia="Arial"/>
          <w:b w:val="0"/>
          <w:i w:val="0"/>
          <w:sz w:val="20"/>
        </w:rPr>
        <w:t>📌 NOTE  Template — substitute his actual figure. NEVER use “three thousand” as the placeholder here: the video’s stakes figure is “roughly three thousand dollars,” and a second three-thousand in the same thread meaning a different thing reads as a number you are recycling rather than one you found.</w:t>
      </w:r>
    </w:p>
    <w:p>
      <w:pPr>
        <w:spacing w:after="80"/>
        <w:shd w:val="clear" w:color="auto" w:fill="FFF3CC"/>
      </w:pPr>
      <w:r>
        <w:rPr>
          <w:rFonts w:ascii="Arial" w:hAnsi="Arial" w:eastAsia="Arial"/>
          <w:b w:val="0"/>
          <w:i w:val="0"/>
          <w:sz w:val="20"/>
        </w:rPr>
        <w:t>📌 NOTE  Capture it verbatim with attribution for p3d. Do NOT retroactively update the video’s stakes figure in any message: the video said what it said. His new number is the reason for the session, not a correction of the past.</w:t>
      </w:r>
    </w:p>
    <w:p>
      <w:pPr>
        <w:spacing w:after="80"/>
        <w:shd w:val="clear" w:color="auto" w:fill="FFF3CC"/>
      </w:pPr>
      <w:r>
        <w:rPr>
          <w:rFonts w:ascii="Arial" w:hAnsi="Arial" w:eastAsia="Arial"/>
          <w:b w:val="0"/>
          <w:i w:val="0"/>
          <w:sz w:val="20"/>
        </w:rPr>
        <w:t>📌 NOTE  This is also the strongest possible transition into Message 2, because the anchor is now HIS figure, not yours — which is worth more than anything the research could have produced.</w:t>
      </w:r>
    </w:p>
    <w:p>
      <w:pPr>
        <w:pStyle w:val="Heading2"/>
        <w:spacing w:before="260" w:after="100"/>
      </w:pPr>
      <w:r>
        <w:rPr>
          <w:rFonts w:ascii="Arial" w:hAnsi="Arial"/>
          <w:b/>
          <w:color w:val="0F1C2E"/>
          <w:sz w:val="30"/>
        </w:rPr>
        <w:t>BRANCH V — “This feels invasive” / “How do you know all this?”</w:t>
      </w:r>
    </w:p>
    <w:p>
      <w:pPr>
        <w:spacing w:after="80"/>
        <w:shd w:val="clear" w:color="auto" w:fill="FFF3CC"/>
      </w:pPr>
      <w:r>
        <w:rPr>
          <w:rFonts w:ascii="Arial" w:hAnsi="Arial" w:eastAsia="Arial"/>
          <w:b w:val="0"/>
          <w:i w:val="0"/>
          <w:sz w:val="20"/>
        </w:rPr>
        <w:t>📌 NOTE  ELEVATED RISK FOR THIS PROSPECT. The video quotes the brief he posted looking for a designer. If he reacts, this is a threat response, not curiosity. Warmth loses; only facts and a real exit restore safety. Do not apologise profusely and do not explain your methodology at length — both read as guilt.</w:t>
      </w:r>
    </w:p>
    <w:p>
      <w:pPr>
        <w:spacing w:after="120"/>
        <w:ind w:left="240"/>
        <w:shd w:val="clear" w:color="auto" w:fill="EBF3FB"/>
      </w:pPr>
      <w:r>
        <w:rPr>
          <w:rFonts w:ascii="Arial" w:hAnsi="Arial" w:eastAsia="Arial"/>
          <w:b w:val="0"/>
          <w:i w:val="0"/>
          <w:sz w:val="23"/>
        </w:rPr>
        <w:t>“Everything in that video came from things you published — your site, your posts, your channel, and the brief you posted when you went looking for a designer. No tools, no data brokers, nothing private. I read carefully and took it seriously. If it landed wrong, say the word and I’ll delete the research and not contact you again.”</w:t>
      </w:r>
    </w:p>
    <w:p>
      <w:pPr>
        <w:spacing w:after="160"/>
      </w:pPr>
      <w:r>
        <w:rPr>
          <w:rFonts w:ascii="Arial" w:hAnsi="Arial" w:eastAsia="Arial"/>
          <w:b w:val="0"/>
          <w:i/>
          <w:color w:val="475569"/>
          <w:sz w:val="17"/>
        </w:rPr>
        <w:t xml:space="preserve">    [4 sentences · 59 words · caps 5/90] ✅</w:t>
      </w:r>
    </w:p>
    <w:p>
      <w:pPr>
        <w:spacing w:after="80"/>
        <w:shd w:val="clear" w:color="auto" w:fill="FFF3CC"/>
      </w:pPr>
      <w:r>
        <w:rPr>
          <w:rFonts w:ascii="Arial" w:hAnsi="Arial" w:eastAsia="Arial"/>
          <w:b w:val="0"/>
          <w:i w:val="0"/>
          <w:sz w:val="20"/>
        </w:rPr>
        <w:t>📌 NOTE  Then STOP. Do not attach the offer, do not pivot to the bottleneck, do not follow up in five days. If he replies, he has forgiven it and you may continue. If he asked you to delete the research, actually delete it.</w:t>
      </w:r>
    </w:p>
    <w:p>
      <w:pPr>
        <w:pStyle w:val="Heading2"/>
        <w:spacing w:before="260" w:after="100"/>
      </w:pPr>
      <w:r>
        <w:rPr>
          <w:rFonts w:ascii="Arial" w:hAnsi="Arial"/>
          <w:b/>
          <w:color w:val="0F1C2E"/>
          <w:sz w:val="30"/>
        </w:rPr>
        <w:t>BRANCH W — “How would I even pay you?”</w:t>
      </w:r>
    </w:p>
    <w:p>
      <w:pPr>
        <w:spacing w:after="80"/>
        <w:shd w:val="clear" w:color="auto" w:fill="FFF3CC"/>
      </w:pPr>
      <w:r>
        <w:rPr>
          <w:rFonts w:ascii="Arial" w:hAnsi="Arial" w:eastAsia="Arial"/>
          <w:b w:val="0"/>
          <w:i w:val="0"/>
          <w:sz w:val="20"/>
        </w:rPr>
        <w:t>📌 NOTE  Never treated as an objection, and it quietly kills deals. Have this answer ready BEFORE Message 2 goes out. A US owner-operator paying an overseas studio has real unspoken questions, and silence reads as amateurism at the precise moment professionalism is being assessed.</w:t>
      </w:r>
    </w:p>
    <w:p>
      <w:pPr>
        <w:spacing w:after="120"/>
        <w:ind w:left="240"/>
        <w:shd w:val="clear" w:color="auto" w:fill="EBF3FB"/>
      </w:pPr>
      <w:r>
        <w:rPr>
          <w:rFonts w:ascii="Arial" w:hAnsi="Arial" w:eastAsia="Arial"/>
          <w:b w:val="0"/>
          <w:i w:val="0"/>
          <w:sz w:val="23"/>
        </w:rPr>
        <w:t>“Invoice from Dev8X, payable by bank transfer or card, in USD. You’ll get a proper receipt for your books. And to be clear about the order of things — the invoice only exists after the session, and only if you tell me it was worth it.”</w:t>
      </w:r>
    </w:p>
    <w:p>
      <w:pPr>
        <w:spacing w:after="160"/>
      </w:pPr>
      <w:r>
        <w:rPr>
          <w:rFonts w:ascii="Arial" w:hAnsi="Arial" w:eastAsia="Arial"/>
          <w:b w:val="0"/>
          <w:i/>
          <w:color w:val="475569"/>
          <w:sz w:val="17"/>
        </w:rPr>
        <w:t xml:space="preserve">    [3 sentences · 46 words · caps 4/90] ✅</w:t>
      </w:r>
    </w:p>
    <w:p>
      <w:pPr>
        <w:spacing w:after="80"/>
        <w:shd w:val="clear" w:color="auto" w:fill="FFF3CC"/>
      </w:pPr>
      <w:r>
        <w:rPr>
          <w:rFonts w:ascii="Arial" w:hAnsi="Arial" w:eastAsia="Arial"/>
          <w:b w:val="0"/>
          <w:i w:val="0"/>
          <w:sz w:val="20"/>
        </w:rPr>
        <w:t>📌 NOTE  If he raises payment mechanics BEFORE the session, he has already decided to do the session. Under post-paid this is a logistics question, not a risk question — answer it that way.</w:t>
      </w:r>
    </w:p>
    <w:p>
      <w:pPr>
        <w:pStyle w:val="Heading2"/>
        <w:spacing w:before="260" w:after="100"/>
      </w:pPr>
      <w:r>
        <w:rPr>
          <w:rFonts w:ascii="Arial" w:hAnsi="Arial"/>
          <w:b/>
          <w:color w:val="0F1C2E"/>
          <w:sz w:val="30"/>
        </w:rPr>
        <w:t>BRANCH X — “If you’re guaranteeing it, why does it cost anything at all?”</w:t>
      </w:r>
    </w:p>
    <w:p>
      <w:pPr>
        <w:spacing w:after="80"/>
        <w:shd w:val="clear" w:color="auto" w:fill="FFF3CC"/>
      </w:pPr>
      <w:r>
        <w:rPr>
          <w:rFonts w:ascii="Arial" w:hAnsi="Arial" w:eastAsia="Arial"/>
          <w:b w:val="0"/>
          <w:i w:val="0"/>
          <w:sz w:val="20"/>
        </w:rPr>
        <w:t>📌 NOTE  A sharp buyer’s question deserving a straight answer. Do not smile through it, do not soften it, and NEVER answer by lowering the price — that concedes the question.</w:t>
      </w:r>
    </w:p>
    <w:p>
      <w:pPr>
        <w:spacing w:after="120"/>
        <w:ind w:left="240"/>
        <w:shd w:val="clear" w:color="auto" w:fill="EBF3FB"/>
      </w:pPr>
      <w:r>
        <w:rPr>
          <w:rFonts w:ascii="Arial" w:hAnsi="Arial" w:eastAsia="Arial"/>
          <w:b w:val="0"/>
          <w:i w:val="0"/>
          <w:sz w:val="23"/>
        </w:rPr>
        <w:t>“Because free advice gets treated like free advice. If you’re not paying anything, you’ll take the call between two other things and the diagnosis will sit in your inbox. What you pay is what makes us both show up properly. If it turns out I didn’t earn it, you don’t pay it.”</w:t>
      </w:r>
    </w:p>
    <w:p>
      <w:pPr>
        <w:spacing w:after="160"/>
      </w:pPr>
      <w:r>
        <w:rPr>
          <w:rFonts w:ascii="Arial" w:hAnsi="Arial" w:eastAsia="Arial"/>
          <w:b w:val="0"/>
          <w:i/>
          <w:color w:val="475569"/>
          <w:sz w:val="17"/>
        </w:rPr>
        <w:t xml:space="preserve">    [4 sentences · 52 words · caps 4/90] ✅</w:t>
      </w:r>
    </w:p>
    <w:p>
      <w:pPr>
        <w:pStyle w:val="Heading2"/>
        <w:spacing w:before="260" w:after="100"/>
      </w:pPr>
      <w:r>
        <w:rPr>
          <w:rFonts w:ascii="Arial" w:hAnsi="Arial"/>
          <w:b/>
          <w:color w:val="0F1C2E"/>
          <w:sz w:val="30"/>
        </w:rPr>
        <w:t>BRANCH Y — “Yes” (the branch that leaks)</w:t>
      </w:r>
    </w:p>
    <w:p>
      <w:pPr>
        <w:spacing w:after="80"/>
        <w:shd w:val="clear" w:color="auto" w:fill="FFF3CC"/>
      </w:pPr>
      <w:r>
        <w:rPr>
          <w:rFonts w:ascii="Arial" w:hAnsi="Arial" w:eastAsia="Arial"/>
          <w:b w:val="0"/>
          <w:i w:val="0"/>
          <w:sz w:val="20"/>
        </w:rPr>
        <w:t>📌 NOTE  Between the yes and the session, nothing has been paid and nothing delivered. His enthusiasm is at its peak and decaying; his calendar is not. Reply WITHIN THE HOUR — latency here reads as disorganisation to someone who has just decided to trust you.</w:t>
      </w:r>
    </w:p>
    <w:p>
      <w:pPr>
        <w:spacing w:after="120"/>
        <w:ind w:left="240"/>
        <w:shd w:val="clear" w:color="auto" w:fill="EBF3FB"/>
      </w:pPr>
      <w:r>
        <w:rPr>
          <w:rFonts w:ascii="Arial" w:hAnsi="Arial" w:eastAsia="Arial"/>
          <w:b w:val="0"/>
          <w:i w:val="0"/>
          <w:sz w:val="23"/>
        </w:rPr>
        <w:t>“Good — Tuesday 9am or Wednesday 2pm your time, whichever suits. It’ll take about 45 minutes and you’ll leave with the written Operational Diagnosis. If you can, have three things roughly to hand, even ballpark: how many people reach the course page in a month, whether any video description links to it, and whether an email list exists anywhere. Nothing’s owed until the end, and only if you say it was worth it.”</w:t>
      </w:r>
    </w:p>
    <w:p>
      <w:pPr>
        <w:spacing w:after="160"/>
      </w:pPr>
      <w:r>
        <w:rPr>
          <w:rFonts w:ascii="Arial" w:hAnsi="Arial" w:eastAsia="Arial"/>
          <w:b w:val="0"/>
          <w:i/>
          <w:color w:val="475569"/>
          <w:sz w:val="17"/>
        </w:rPr>
        <w:t xml:space="preserve">    [4 sentences · 73 words · caps 5/95] ✅</w:t>
      </w:r>
    </w:p>
    <w:p>
      <w:pPr>
        <w:spacing w:after="80"/>
        <w:shd w:val="clear" w:color="auto" w:fill="FFF3CC"/>
      </w:pPr>
      <w:r>
        <w:rPr>
          <w:rFonts w:ascii="Arial" w:hAnsi="Arial" w:eastAsia="Arial"/>
          <w:b w:val="0"/>
          <w:i w:val="0"/>
          <w:sz w:val="20"/>
        </w:rPr>
        <w:t>📌 NOTE  “YOUR TIME” IS LOAD-BEARING. Dr. Dibinga is in Washington, DC (Eastern). Abdul is not. Two bare clock times across a timezone gap produce either a missed session or a clarifying exchange that spends the momentum this message exists to protect. State his zone, offer his working hours, and convert on your side.</w:t>
      </w:r>
    </w:p>
    <w:p>
      <w:pPr>
        <w:spacing w:after="80"/>
        <w:shd w:val="clear" w:color="auto" w:fill="FFF3CC"/>
      </w:pPr>
      <w:r>
        <w:rPr>
          <w:rFonts w:ascii="Arial" w:hAnsi="Arial" w:eastAsia="Arial"/>
          <w:b w:val="0"/>
          <w:i w:val="0"/>
          <w:sz w:val="20"/>
        </w:rPr>
        <w:t>📌 NOTE  Two concrete time options, NOT a calendar link — a link is a small delegation of work that converts a warm yes into a task. The “bring three numbers” sentence is the highest-leverage line in the message: it makes the session work, it makes him invest before it starts, and it quietly proves Beat 3 was not a performance.</w:t>
      </w:r>
    </w:p>
    <w:p>
      <w:pPr>
        <w:spacing w:after="80"/>
        <w:shd w:val="clear" w:color="auto" w:fill="FFF3CC"/>
      </w:pPr>
      <w:r>
        <w:rPr>
          <w:rFonts w:ascii="Arial" w:hAnsi="Arial" w:eastAsia="Arial"/>
          <w:b w:val="0"/>
          <w:i w:val="0"/>
          <w:sz w:val="20"/>
        </w:rPr>
        <w:t>📌 NOTE  Do NOT send an invoice, a contract, a deposit request, or an intake form. All four are prepayment behaviours in disguise and all four contradict the guarantee he just accepted. Do not send a long pre-read — he agreed to a session, not homework.</w:t>
      </w:r>
    </w:p>
    <w:p>
      <w:pPr>
        <w:spacing w:after="60"/>
      </w:pPr>
      <w:r>
        <w:rPr>
          <w:rFonts w:ascii="Arial" w:hAnsi="Arial" w:eastAsia="Arial"/>
          <w:b/>
          <w:i w:val="0"/>
          <w:sz w:val="21"/>
        </w:rPr>
        <w:t>If he goes quiet after saying yes — ONE message, seven days later, no pressure and no offer:</w:t>
      </w:r>
    </w:p>
    <w:p>
      <w:pPr>
        <w:spacing w:after="120"/>
        <w:ind w:left="240"/>
        <w:shd w:val="clear" w:color="auto" w:fill="EBF3FB"/>
      </w:pPr>
      <w:r>
        <w:rPr>
          <w:rFonts w:ascii="Arial" w:hAnsi="Arial" w:eastAsia="Arial"/>
          <w:b w:val="0"/>
          <w:i w:val="0"/>
          <w:sz w:val="23"/>
        </w:rPr>
        <w:t>“Still happy to do this whenever it suits — just say the word.”</w:t>
      </w:r>
    </w:p>
    <w:p>
      <w:pPr>
        <w:spacing w:after="160"/>
      </w:pPr>
      <w:r>
        <w:rPr>
          <w:rFonts w:ascii="Arial" w:hAnsi="Arial" w:eastAsia="Arial"/>
          <w:b w:val="0"/>
          <w:i/>
          <w:color w:val="475569"/>
          <w:sz w:val="17"/>
        </w:rPr>
        <w:t xml:space="preserve">    [1 sentences · 13 words · caps 1/90] ✅</w:t>
      </w:r>
    </w:p>
    <w:p>
      <w:pPr>
        <w:spacing w:after="80"/>
        <w:shd w:val="clear" w:color="auto" w:fill="FFF3CC"/>
      </w:pPr>
      <w:r>
        <w:rPr>
          <w:rFonts w:ascii="Arial" w:hAnsi="Arial" w:eastAsia="Arial"/>
          <w:b w:val="0"/>
          <w:i w:val="0"/>
          <w:sz w:val="20"/>
        </w:rPr>
        <w:t>📌 NOTE  Then stop. A yes that decays is not a no; it is a busy person. It re-opens far more often than a chased one does. Hand off to p3d_Consultation_Playbook.md the moment a time is agreed.</w:t>
      </w:r>
    </w:p>
    <w:p>
      <w:r>
        <w:br w:type="page"/>
      </w:r>
    </w:p>
    <w:p>
      <w:pPr>
        <w:pStyle w:val="Heading1"/>
        <w:spacing w:before="260" w:after="100"/>
      </w:pPr>
      <w:r>
        <w:rPr>
          <w:rFonts w:ascii="Arial" w:hAnsi="Arial"/>
          <w:b/>
          <w:color w:val="0F1C2E"/>
          <w:sz w:val="48"/>
        </w:rPr>
        <w:t>B.3 — Timing Summary &amp; Exit Criteria</w:t>
      </w:r>
    </w:p>
    <w:tbl>
      <w:tblPr>
        <w:tblStyle w:val="TableGrid"/>
        <w:tblW w:type="auto" w:w="0"/>
        <w:jc w:val="center"/>
        <w:tblLook w:firstColumn="1" w:firstRow="1" w:lastColumn="0" w:lastRow="0" w:noHBand="0" w:noVBand="1" w:val="04A0"/>
      </w:tblPr>
      <w:tblGrid>
        <w:gridCol w:w="3120"/>
        <w:gridCol w:w="3120"/>
        <w:gridCol w:w="3120"/>
      </w:tblGrid>
      <w:tr>
        <w:tc>
          <w:tcPr>
            <w:tcW w:type="dxa" w:w="2304"/>
          </w:tcPr>
          <w:p>
            <w:pPr>
              <w:shd w:val="clear" w:color="auto" w:fill="0f1c2e"/>
            </w:pPr>
            <w:r/>
            <w:r>
              <w:rPr>
                <w:rFonts w:ascii="Arial" w:hAnsi="Arial"/>
                <w:b/>
                <w:color w:val="FFFFFF"/>
                <w:sz w:val="18"/>
              </w:rPr>
              <w:t>Message</w:t>
            </w:r>
          </w:p>
        </w:tc>
        <w:tc>
          <w:tcPr>
            <w:tcW w:type="dxa" w:w="3312"/>
          </w:tcPr>
          <w:p>
            <w:pPr>
              <w:shd w:val="clear" w:color="auto" w:fill="0f1c2e"/>
            </w:pPr>
            <w:r/>
            <w:r>
              <w:rPr>
                <w:rFonts w:ascii="Arial" w:hAnsi="Arial"/>
                <w:b/>
                <w:color w:val="FFFFFF"/>
                <w:sz w:val="18"/>
              </w:rPr>
              <w:t>Trigger</w:t>
            </w:r>
          </w:p>
        </w:tc>
        <w:tc>
          <w:tcPr>
            <w:tcW w:type="dxa" w:w="3456"/>
          </w:tcPr>
          <w:p>
            <w:pPr>
              <w:shd w:val="clear" w:color="auto" w:fill="0f1c2e"/>
            </w:pPr>
            <w:r/>
            <w:r>
              <w:rPr>
                <w:rFonts w:ascii="Arial" w:hAnsi="Arial"/>
                <w:b/>
                <w:color w:val="FFFFFF"/>
                <w:sz w:val="18"/>
              </w:rPr>
              <w:t>Timing</w:t>
            </w:r>
          </w:p>
        </w:tc>
      </w:tr>
      <w:tr>
        <w:tc>
          <w:tcPr>
            <w:tcW w:type="dxa" w:w="2304"/>
          </w:tcPr>
          <w:p>
            <w:r/>
            <w:r>
              <w:rPr>
                <w:rFonts w:ascii="Arial" w:hAnsi="Arial"/>
                <w:sz w:val="17"/>
              </w:rPr>
              <w:t>Message 1</w:t>
            </w:r>
          </w:p>
        </w:tc>
        <w:tc>
          <w:tcPr>
            <w:tcW w:type="dxa" w:w="3312"/>
          </w:tcPr>
          <w:p>
            <w:r/>
            <w:r>
              <w:rPr>
                <w:rFonts w:ascii="Arial" w:hAnsi="Arial"/>
                <w:sz w:val="17"/>
              </w:rPr>
              <w:t>He replies to the video</w:t>
            </w:r>
          </w:p>
        </w:tc>
        <w:tc>
          <w:tcPr>
            <w:tcW w:type="dxa" w:w="3456"/>
          </w:tcPr>
          <w:p>
            <w:r/>
            <w:r>
              <w:rPr>
                <w:rFonts w:ascii="Arial" w:hAnsi="Arial"/>
                <w:sz w:val="17"/>
              </w:rPr>
              <w:t>Immediate</w:t>
            </w:r>
          </w:p>
        </w:tc>
      </w:tr>
      <w:tr>
        <w:tc>
          <w:tcPr>
            <w:tcW w:type="dxa" w:w="2304"/>
          </w:tcPr>
          <w:p>
            <w:r/>
            <w:r>
              <w:rPr>
                <w:rFonts w:ascii="Arial" w:hAnsi="Arial"/>
                <w:sz w:val="17"/>
              </w:rPr>
              <w:t>Message 2</w:t>
            </w:r>
          </w:p>
        </w:tc>
        <w:tc>
          <w:tcPr>
            <w:tcW w:type="dxa" w:w="3312"/>
          </w:tcPr>
          <w:p>
            <w:r/>
            <w:r>
              <w:rPr>
                <w:rFonts w:ascii="Arial" w:hAnsi="Arial"/>
                <w:sz w:val="17"/>
              </w:rPr>
              <w:t>He answers Message 1</w:t>
            </w:r>
          </w:p>
        </w:tc>
        <w:tc>
          <w:tcPr>
            <w:tcW w:type="dxa" w:w="3456"/>
          </w:tcPr>
          <w:p>
            <w:r/>
            <w:r>
              <w:rPr>
                <w:rFonts w:ascii="Arial" w:hAnsi="Arial"/>
                <w:sz w:val="17"/>
              </w:rPr>
              <w:t>Immediate — but BLOCKED until the fee is set</w:t>
            </w:r>
          </w:p>
        </w:tc>
      </w:tr>
      <w:tr>
        <w:tc>
          <w:tcPr>
            <w:tcW w:type="dxa" w:w="2304"/>
          </w:tcPr>
          <w:p>
            <w:r/>
            <w:r>
              <w:rPr>
                <w:rFonts w:ascii="Arial" w:hAnsi="Arial"/>
                <w:sz w:val="17"/>
              </w:rPr>
              <w:t>Message 3</w:t>
            </w:r>
          </w:p>
        </w:tc>
        <w:tc>
          <w:tcPr>
            <w:tcW w:type="dxa" w:w="3312"/>
          </w:tcPr>
          <w:p>
            <w:r/>
            <w:r>
              <w:rPr>
                <w:rFonts w:ascii="Arial" w:hAnsi="Arial"/>
                <w:sz w:val="17"/>
              </w:rPr>
              <w:t>No reply to Message 2</w:t>
            </w:r>
          </w:p>
        </w:tc>
        <w:tc>
          <w:tcPr>
            <w:tcW w:type="dxa" w:w="3456"/>
          </w:tcPr>
          <w:p>
            <w:r/>
            <w:r>
              <w:rPr>
                <w:rFonts w:ascii="Arial" w:hAnsi="Arial"/>
                <w:sz w:val="17"/>
              </w:rPr>
              <w:t>3–4 days after Message 2</w:t>
            </w:r>
          </w:p>
        </w:tc>
      </w:tr>
      <w:tr>
        <w:tc>
          <w:tcPr>
            <w:tcW w:type="dxa" w:w="2304"/>
          </w:tcPr>
          <w:p>
            <w:r/>
            <w:r>
              <w:rPr>
                <w:rFonts w:ascii="Arial" w:hAnsi="Arial"/>
                <w:sz w:val="17"/>
              </w:rPr>
              <w:t>Silent-Watcher touch (Branch B)</w:t>
            </w:r>
          </w:p>
        </w:tc>
        <w:tc>
          <w:tcPr>
            <w:tcW w:type="dxa" w:w="3312"/>
          </w:tcPr>
          <w:p>
            <w:r/>
            <w:r>
              <w:rPr>
                <w:rFonts w:ascii="Arial" w:hAnsi="Arial"/>
                <w:sz w:val="17"/>
              </w:rPr>
              <w:t>Watched, no reply</w:t>
            </w:r>
          </w:p>
        </w:tc>
        <w:tc>
          <w:tcPr>
            <w:tcW w:type="dxa" w:w="3456"/>
          </w:tcPr>
          <w:p>
            <w:r/>
            <w:r>
              <w:rPr>
                <w:rFonts w:ascii="Arial" w:hAnsi="Arial"/>
                <w:sz w:val="17"/>
              </w:rPr>
              <w:t>4–6 days after the video</w:t>
            </w:r>
          </w:p>
        </w:tc>
      </w:tr>
      <w:tr>
        <w:tc>
          <w:tcPr>
            <w:tcW w:type="dxa" w:w="2304"/>
          </w:tcPr>
          <w:p>
            <w:r/>
            <w:r>
              <w:rPr>
                <w:rFonts w:ascii="Arial" w:hAnsi="Arial"/>
                <w:sz w:val="17"/>
              </w:rPr>
              <w:t>90-day re-engagement</w:t>
            </w:r>
          </w:p>
        </w:tc>
        <w:tc>
          <w:tcPr>
            <w:tcW w:type="dxa" w:w="3312"/>
          </w:tcPr>
          <w:p>
            <w:r/>
            <w:r>
              <w:rPr>
                <w:rFonts w:ascii="Arial" w:hAnsi="Arial"/>
                <w:sz w:val="17"/>
              </w:rPr>
              <w:t>All paths that ended</w:t>
            </w:r>
          </w:p>
        </w:tc>
        <w:tc>
          <w:tcPr>
            <w:tcW w:type="dxa" w:w="3456"/>
          </w:tcPr>
          <w:p>
            <w:r/>
            <w:r>
              <w:rPr>
                <w:rFonts w:ascii="Arial" w:hAnsi="Arial"/>
                <w:sz w:val="17"/>
              </w:rPr>
              <w:t>90 days, fresh industry insight (never about him)</w:t>
            </w:r>
          </w:p>
        </w:tc>
      </w:tr>
    </w:tbl>
    <w:p/>
    <w:tbl>
      <w:tblPr>
        <w:tblStyle w:val="TableGrid"/>
        <w:tblW w:type="auto" w:w="0"/>
        <w:jc w:val="center"/>
        <w:tblLook w:firstColumn="1" w:firstRow="1" w:lastColumn="0" w:lastRow="0" w:noHBand="0" w:noVBand="1" w:val="04A0"/>
      </w:tblPr>
      <w:tblGrid>
        <w:gridCol w:w="4680"/>
        <w:gridCol w:w="4680"/>
      </w:tblGrid>
      <w:tr>
        <w:tc>
          <w:tcPr>
            <w:tcW w:type="dxa" w:w="3744"/>
          </w:tcPr>
          <w:p>
            <w:pPr>
              <w:shd w:val="clear" w:color="auto" w:fill="0f1c2e"/>
            </w:pPr>
            <w:r/>
            <w:r>
              <w:rPr>
                <w:rFonts w:ascii="Arial" w:hAnsi="Arial"/>
                <w:b/>
                <w:color w:val="FFFFFF"/>
                <w:sz w:val="18"/>
              </w:rPr>
              <w:t>Situation</w:t>
            </w:r>
          </w:p>
        </w:tc>
        <w:tc>
          <w:tcPr>
            <w:tcW w:type="dxa" w:w="5328"/>
          </w:tcPr>
          <w:p>
            <w:pPr>
              <w:shd w:val="clear" w:color="auto" w:fill="0f1c2e"/>
            </w:pPr>
            <w:r/>
            <w:r>
              <w:rPr>
                <w:rFonts w:ascii="Arial" w:hAnsi="Arial"/>
                <w:b/>
                <w:color w:val="FFFFFF"/>
                <w:sz w:val="18"/>
              </w:rPr>
              <w:t>Action</w:t>
            </w:r>
          </w:p>
        </w:tc>
      </w:tr>
      <w:tr>
        <w:tc>
          <w:tcPr>
            <w:tcW w:type="dxa" w:w="3744"/>
          </w:tcPr>
          <w:p>
            <w:r/>
            <w:r>
              <w:rPr>
                <w:rFonts w:ascii="Arial" w:hAnsi="Arial"/>
                <w:sz w:val="17"/>
              </w:rPr>
              <w:t>One silent-watcher touch, no reply</w:t>
            </w:r>
          </w:p>
        </w:tc>
        <w:tc>
          <w:tcPr>
            <w:tcW w:type="dxa" w:w="5328"/>
          </w:tcPr>
          <w:p>
            <w:r/>
            <w:r>
              <w:rPr>
                <w:rFonts w:ascii="Arial" w:hAnsi="Arial"/>
                <w:sz w:val="17"/>
              </w:rPr>
              <w:t>Stop. 90-day re-engagement.</w:t>
            </w:r>
          </w:p>
        </w:tc>
      </w:tr>
      <w:tr>
        <w:tc>
          <w:tcPr>
            <w:tcW w:type="dxa" w:w="3744"/>
          </w:tcPr>
          <w:p>
            <w:r/>
            <w:r>
              <w:rPr>
                <w:rFonts w:ascii="Arial" w:hAnsi="Arial"/>
                <w:sz w:val="17"/>
              </w:rPr>
              <w:t>Message 3 sent, no reply</w:t>
            </w:r>
          </w:p>
        </w:tc>
        <w:tc>
          <w:tcPr>
            <w:tcW w:type="dxa" w:w="5328"/>
          </w:tcPr>
          <w:p>
            <w:r/>
            <w:r>
              <w:rPr>
                <w:rFonts w:ascii="Arial" w:hAnsi="Arial"/>
                <w:sz w:val="17"/>
              </w:rPr>
              <w:t>Stop. 90-day re-engagement.</w:t>
            </w:r>
          </w:p>
        </w:tc>
      </w:tr>
      <w:tr>
        <w:tc>
          <w:tcPr>
            <w:tcW w:type="dxa" w:w="3744"/>
          </w:tcPr>
          <w:p>
            <w:r/>
            <w:r>
              <w:rPr>
                <w:rFonts w:ascii="Arial" w:hAnsi="Arial"/>
                <w:sz w:val="17"/>
              </w:rPr>
              <w:t>Explicit “not interested”</w:t>
            </w:r>
          </w:p>
        </w:tc>
        <w:tc>
          <w:tcPr>
            <w:tcW w:type="dxa" w:w="5328"/>
          </w:tcPr>
          <w:p>
            <w:r/>
            <w:r>
              <w:rPr>
                <w:rFonts w:ascii="Arial" w:hAnsi="Arial"/>
                <w:sz w:val="17"/>
              </w:rPr>
              <w:t>Stop immediately. Branch D. 90-day re-engagement.</w:t>
            </w:r>
          </w:p>
        </w:tc>
      </w:tr>
      <w:tr>
        <w:tc>
          <w:tcPr>
            <w:tcW w:type="dxa" w:w="3744"/>
          </w:tcPr>
          <w:p>
            <w:r/>
            <w:r>
              <w:rPr>
                <w:rFonts w:ascii="Arial" w:hAnsi="Arial"/>
                <w:sz w:val="17"/>
              </w:rPr>
              <w:t>“The checkout was fixed weeks ago” (correction that guts the diagnosis)</w:t>
            </w:r>
          </w:p>
        </w:tc>
        <w:tc>
          <w:tcPr>
            <w:tcW w:type="dxa" w:w="5328"/>
          </w:tcPr>
          <w:p>
            <w:r/>
            <w:r>
              <w:rPr>
                <w:rFonts w:ascii="Arial" w:hAnsi="Arial"/>
                <w:sz w:val="17"/>
              </w:rPr>
              <w:t>Branch A message 1 only. Acknowledge, ask one question, stop. Exit as Branch D. Do not push the offer.</w:t>
            </w:r>
          </w:p>
        </w:tc>
      </w:tr>
      <w:tr>
        <w:tc>
          <w:tcPr>
            <w:tcW w:type="dxa" w:w="3744"/>
          </w:tcPr>
          <w:p>
            <w:r/>
            <w:r>
              <w:rPr>
                <w:rFonts w:ascii="Arial" w:hAnsi="Arial"/>
                <w:sz w:val="17"/>
              </w:rPr>
              <w:t>Three total unanswered messages across all branches</w:t>
            </w:r>
          </w:p>
        </w:tc>
        <w:tc>
          <w:tcPr>
            <w:tcW w:type="dxa" w:w="5328"/>
          </w:tcPr>
          <w:p>
            <w:r/>
            <w:r>
              <w:rPr>
                <w:rFonts w:ascii="Arial" w:hAnsi="Arial"/>
                <w:sz w:val="17"/>
              </w:rPr>
              <w:t>Stop, regardless of branch or how promising the last message felt.</w:t>
            </w:r>
          </w:p>
        </w:tc>
      </w:tr>
      <w:tr>
        <w:tc>
          <w:tcPr>
            <w:tcW w:type="dxa" w:w="3744"/>
          </w:tcPr>
          <w:p>
            <w:r/>
            <w:r>
              <w:rPr>
                <w:rFonts w:ascii="Arial" w:hAnsi="Arial"/>
                <w:sz w:val="17"/>
              </w:rPr>
              <w:t>He agrees to the consultation</w:t>
            </w:r>
          </w:p>
        </w:tc>
        <w:tc>
          <w:tcPr>
            <w:tcW w:type="dxa" w:w="5328"/>
          </w:tcPr>
          <w:p>
            <w:r/>
            <w:r>
              <w:rPr>
                <w:rFonts w:ascii="Arial" w:hAnsi="Arial"/>
                <w:sz w:val="17"/>
              </w:rPr>
              <w:t>Branch Y — confirm within the hour, two time options, hand off to p3d.</w:t>
            </w:r>
          </w:p>
        </w:tc>
      </w:tr>
      <w:tr>
        <w:tc>
          <w:tcPr>
            <w:tcW w:type="dxa" w:w="3744"/>
          </w:tcPr>
          <w:p>
            <w:r/>
            <w:r>
              <w:rPr>
                <w:rFonts w:ascii="Arial" w:hAnsi="Arial"/>
                <w:sz w:val="17"/>
              </w:rPr>
              <w:t>Agreed, then went quiet before the session</w:t>
            </w:r>
          </w:p>
        </w:tc>
        <w:tc>
          <w:tcPr>
            <w:tcW w:type="dxa" w:w="5328"/>
          </w:tcPr>
          <w:p>
            <w:r/>
            <w:r>
              <w:rPr>
                <w:rFonts w:ascii="Arial" w:hAnsi="Arial"/>
                <w:sz w:val="17"/>
              </w:rPr>
              <w:t>Branch Y final paragraph. ONE message at 7 days. Then stop.</w:t>
            </w:r>
          </w:p>
        </w:tc>
      </w:tr>
      <w:tr>
        <w:tc>
          <w:tcPr>
            <w:tcW w:type="dxa" w:w="3744"/>
          </w:tcPr>
          <w:p>
            <w:r/>
            <w:r>
              <w:rPr>
                <w:rFonts w:ascii="Arial" w:hAnsi="Arial"/>
                <w:sz w:val="17"/>
              </w:rPr>
              <w:t>Sole decision-maker suddenly needs approval</w:t>
            </w:r>
          </w:p>
        </w:tc>
        <w:tc>
          <w:tcPr>
            <w:tcW w:type="dxa" w:w="5328"/>
          </w:tcPr>
          <w:p>
            <w:r/>
            <w:r>
              <w:rPr>
                <w:rFonts w:ascii="Arial" w:hAnsi="Arial"/>
                <w:sz w:val="17"/>
              </w:rPr>
              <w:t>Branch P. Treat as pricing feedback: the fee crossed the discretionary threshold.</w:t>
            </w:r>
          </w:p>
        </w:tc>
      </w:tr>
      <w:tr>
        <w:tc>
          <w:tcPr>
            <w:tcW w:type="dxa" w:w="3744"/>
          </w:tcPr>
          <w:p>
            <w:r/>
            <w:r>
              <w:rPr>
                <w:rFonts w:ascii="Arial" w:hAnsi="Arial"/>
                <w:sz w:val="17"/>
              </w:rPr>
              <w:t>He volunteers real internal numbers</w:t>
            </w:r>
          </w:p>
        </w:tc>
        <w:tc>
          <w:tcPr>
            <w:tcW w:type="dxa" w:w="5328"/>
          </w:tcPr>
          <w:p>
            <w:r/>
            <w:r>
              <w:rPr>
                <w:rFonts w:ascii="Arial" w:hAnsi="Arial"/>
                <w:sz w:val="17"/>
              </w:rPr>
              <w:t>Branch U. Capture, do not compute, move to Message 2.</w:t>
            </w:r>
          </w:p>
        </w:tc>
      </w:tr>
      <w:tr>
        <w:tc>
          <w:tcPr>
            <w:tcW w:type="dxa" w:w="3744"/>
          </w:tcPr>
          <w:p>
            <w:r/>
            <w:r>
              <w:rPr>
                <w:rFonts w:ascii="Arial" w:hAnsi="Arial"/>
                <w:sz w:val="17"/>
              </w:rPr>
              <w:t>“I already have someone working on it”</w:t>
            </w:r>
          </w:p>
        </w:tc>
        <w:tc>
          <w:tcPr>
            <w:tcW w:type="dxa" w:w="5328"/>
          </w:tcPr>
          <w:p>
            <w:r/>
            <w:r>
              <w:rPr>
                <w:rFonts w:ascii="Arial" w:hAnsi="Arial"/>
                <w:sz w:val="17"/>
              </w:rPr>
              <w:t>Branch H — the most likely objection. Never mention Upwork, the $50, or the spend.</w:t>
            </w:r>
          </w:p>
        </w:tc>
      </w:tr>
      <w:tr>
        <w:tc>
          <w:tcPr>
            <w:tcW w:type="dxa" w:w="3744"/>
          </w:tcPr>
          <w:p>
            <w:r/>
            <w:r>
              <w:rPr>
                <w:rFonts w:ascii="Arial" w:hAnsi="Arial"/>
                <w:sz w:val="17"/>
              </w:rPr>
              <w:t>“This feels invasive”</w:t>
            </w:r>
          </w:p>
        </w:tc>
        <w:tc>
          <w:tcPr>
            <w:tcW w:type="dxa" w:w="5328"/>
          </w:tcPr>
          <w:p>
            <w:r/>
            <w:r>
              <w:rPr>
                <w:rFonts w:ascii="Arial" w:hAnsi="Arial"/>
                <w:sz w:val="17"/>
              </w:rPr>
              <w:t>Branch V. Offer the exit, honour it, no follow-up.</w:t>
            </w:r>
          </w:p>
        </w:tc>
      </w:tr>
    </w:tbl>
    <w:p/>
    <w:p>
      <w:pPr>
        <w:pStyle w:val="Heading2"/>
        <w:spacing w:before="260" w:after="100"/>
      </w:pPr>
      <w:r>
        <w:rPr>
          <w:rFonts w:ascii="Arial" w:hAnsi="Arial"/>
          <w:b/>
          <w:color w:val="0F1C2E"/>
          <w:sz w:val="30"/>
        </w:rPr>
        <w:t>The unanswered-message counter</w:t>
      </w:r>
    </w:p>
    <w:p>
      <w:pPr>
        <w:spacing w:after="120"/>
      </w:pPr>
      <w:r>
        <w:rPr>
          <w:rFonts w:ascii="Arial" w:hAnsi="Arial" w:eastAsia="Arial"/>
          <w:b w:val="0"/>
          <w:i w:val="0"/>
          <w:sz w:val="21"/>
        </w:rPr>
        <w:t>“Three total unanswered messages” cannot be enforced without a tally, and branch follow-ups (K, P, Message 3, Branch B) each add one without knowing about the others. Maintain an explicit count in Dr. Dibinga’s tracking row and increment it for every message sent that receives no reply. At three, stop. Reset to zero on any reply.</w:t>
      </w:r>
    </w:p>
    <w:p>
      <w:pPr>
        <w:pStyle w:val="Heading2"/>
        <w:spacing w:before="260" w:after="100"/>
      </w:pPr>
      <w:r>
        <w:rPr>
          <w:rFonts w:ascii="Arial" w:hAnsi="Arial"/>
          <w:b/>
          <w:color w:val="0F1C2E"/>
          <w:sz w:val="30"/>
        </w:rPr>
        <w:t>Ownership of the not-watched path</w:t>
      </w:r>
    </w:p>
    <w:p>
      <w:pPr>
        <w:spacing w:after="120"/>
      </w:pPr>
      <w:r>
        <w:rPr>
          <w:rFonts w:ascii="Arial" w:hAnsi="Arial" w:eastAsia="Arial"/>
          <w:b w:val="0"/>
          <w:i w:val="0"/>
          <w:sz w:val="21"/>
        </w:rPr>
        <w:t>p3b owns everything up to the first watch. Its second wrapper is the only permitted not-watched touch. Branch C exists here solely to document the wording — it is not an additional send. p3c owns the thread only from the moment the video is watched or replied to.</w:t>
      </w:r>
    </w:p>
    <w:p>
      <w:pPr>
        <w:spacing w:after="160"/>
        <w:shd w:val="clear" w:color="auto" w:fill="FFF3CC"/>
      </w:pPr>
      <w:r>
        <w:rPr>
          <w:rFonts w:ascii="Arial" w:hAnsi="Arial" w:eastAsia="Arial"/>
          <w:b/>
          <w:i/>
          <w:sz w:val="22"/>
        </w:rPr>
        <w:t>The universal rule: if continuing feels like chasing, stop. Pressure destroys the relationship for any future contact. Dev8X’s edge is depth and trust — not persistence and volume.</w:t>
      </w:r>
    </w:p>
    <w:p>
      <w:pPr>
        <w:pStyle w:val="Heading2"/>
        <w:spacing w:before="260" w:after="100"/>
      </w:pPr>
      <w:r>
        <w:rPr>
          <w:rFonts w:ascii="Arial" w:hAnsi="Arial"/>
          <w:b/>
          <w:color w:val="0F1C2E"/>
          <w:sz w:val="30"/>
        </w:rPr>
        <w:t>Outstanding blockers before this playbook can be used</w:t>
      </w:r>
    </w:p>
    <w:p>
      <w:pPr>
        <w:spacing w:after="80"/>
      </w:pPr>
      <w:r>
        <w:rPr>
          <w:rFonts w:ascii="Arial" w:hAnsi="Arial" w:eastAsia="Arial"/>
          <w:b w:val="0"/>
          <w:i w:val="0"/>
          <w:sz w:val="21"/>
        </w:rPr>
        <w:t>1.  The consultation fee is not set (§B.1a Steps 3, 5, 6). Message 2 cannot be sent and Branch F cannot be answered until it is. Band A vs Band B is a live judgement call — floor ≈ $900, psychological ceiling ≈ $1,000–1,500.</w:t>
      </w:r>
    </w:p>
    <w:p>
      <w:pPr>
        <w:spacing w:after="80"/>
      </w:pPr>
      <w:r>
        <w:rPr>
          <w:rFonts w:ascii="Arial" w:hAnsi="Arial" w:eastAsia="Arial"/>
          <w:b w:val="0"/>
          <w:i w:val="0"/>
          <w:sz w:val="21"/>
        </w:rPr>
        <w:t>2.  The video has not been recorded or sent. p3c only runs after the video actually goes out — these messages quote what was said on camera, not what is planned.</w:t>
      </w:r>
    </w:p>
    <w:p>
      <w:pPr>
        <w:spacing w:after="80"/>
      </w:pPr>
      <w:r>
        <w:rPr>
          <w:rFonts w:ascii="Arial" w:hAnsi="Arial" w:eastAsia="Arial"/>
          <w:b w:val="0"/>
          <w:i w:val="0"/>
          <w:sz w:val="21"/>
        </w:rPr>
        <w:t>3.  p3b’s blocking pre-record action is still open: the Add-to-Cart 404 and the contact-page error must be re-verified live on the day of recording. If they have been fixed, the video changes and so does every message in this document.</w:t>
      </w:r>
    </w:p>
    <w:p>
      <w:pPr>
        <w:spacing w:after="80"/>
      </w:pPr>
      <w:r>
        <w:rPr>
          <w:rFonts w:ascii="Arial" w:hAnsi="Arial" w:eastAsia="Arial"/>
          <w:b w:val="0"/>
          <w:i w:val="0"/>
          <w:sz w:val="21"/>
        </w:rPr>
        <w:t>4.  Branch W names bank transfer or card in USD. Confirm the actual Dev8X invoicing mechanism before Message 2 goes out — the answer must exist before the question is asked.</w:t>
      </w:r>
    </w:p>
    <w:p>
      <w:pPr>
        <w:spacing w:after="80"/>
      </w:pPr>
      <w:r>
        <w:rPr>
          <w:rFonts w:ascii="Arial" w:hAnsi="Arial" w:eastAsia="Arial"/>
          <w:b w:val="0"/>
          <w:i w:val="0"/>
          <w:sz w:val="21"/>
        </w:rPr>
        <w:t>5.  Message 2 and Branch W both assert “Dev8X is a registered studio.” Confirm this is literally true, and that an invoice can be issued to a US client in USD, before either goes out. It sits one sentence from the price; if it is not exactly true it is the most expensive sentence in the document.</w:t>
      </w:r>
    </w:p>
    <w:p>
      <w:pPr>
        <w:spacing w:after="80"/>
      </w:pPr>
      <w:r>
        <w:rPr>
          <w:rFonts w:ascii="Arial" w:hAnsi="Arial" w:eastAsia="Arial"/>
          <w:b w:val="0"/>
          <w:i w:val="0"/>
          <w:sz w:val="21"/>
        </w:rPr>
        <w:t>6.  The wrapper DM and Beat 1 form a relay — the DM asks “Where does a new subscriber go to buy your course?” and says the path didn’t end where expected; the video reveals where it ends. If Abdul changes the wrapper, Beat 1 loses its payoff and must be re-cut with it. Neither may ever say “I clicked Add to Cart” or “I tried to buy your course”: casting Abdul as a customer and then revealing an outreach is a bait-and-switch the rest of the pipeline cannot recover from.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