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jc w:val="center"/>
      </w:pPr>
      <w:r>
        <w:rPr>
          <w:rFonts w:ascii="Arial" w:cs="Arial" w:eastAsia="Arial" w:hAnsi="Arial"/>
          <w:b/>
          <w:bCs/>
          <w:color w:val="1B2A4A"/>
          <w:sz w:val="72"/>
          <w:szCs w:val="72"/>
        </w:rPr>
        <w:t xml:space="preserve">CARINI GROUP</w:t>
      </w:r>
    </w:p>
    <w:p>
      <w:pPr>
        <w:spacing w:after="120"/>
        <w:jc w:val="center"/>
      </w:pPr>
      <w:r>
        <w:rPr>
          <w:rFonts w:ascii="Arial" w:cs="Arial" w:eastAsia="Arial" w:hAnsi="Arial"/>
          <w:b/>
          <w:bCs/>
          <w:color w:val="B8960C"/>
          <w:sz w:val="36"/>
          <w:szCs w:val="36"/>
        </w:rPr>
        <w:t xml:space="preserve">Digital Transformation &amp; Web Services Report</w:t>
      </w:r>
    </w:p>
    <w:p>
      <w:pPr>
        <w:spacing w:after="600"/>
        <w:jc w:val="center"/>
      </w:pPr>
      <w:r>
        <w:rPr>
          <w:rFonts w:ascii="Arial" w:cs="Arial" w:eastAsia="Arial" w:hAnsi="Arial"/>
          <w:color w:val="5A5A5A"/>
          <w:sz w:val="24"/>
          <w:szCs w:val="24"/>
        </w:rPr>
        <w:t xml:space="preserve">Prepared for Decision-Makers | March 2026</w:t>
      </w:r>
    </w:p>
    <w:p>
      <w:pPr>
        <w:pBdr>
          <w:bottom w:val="single" w:color="B8960C" w:sz="6" w:space="1"/>
        </w:pBdr>
        <w:spacing w:after="240"/>
      </w:pPr>
    </w:p>
    <w:p>
      <w:pPr>
        <w:spacing w:after="0" w:before="200"/>
      </w:pPr>
      <w:r>
        <w:t xml:space="preserve"/>
      </w:r>
    </w:p>
    <w:p>
      <w:pPr>
        <w:spacing w:after="100"/>
        <w:jc w:val="center"/>
      </w:pPr>
      <w:r>
        <w:rPr>
          <w:rFonts w:ascii="Arial" w:cs="Arial" w:eastAsia="Arial" w:hAnsi="Arial"/>
          <w:color w:val="2E5FA3"/>
          <w:sz w:val="22"/>
          <w:szCs w:val="22"/>
        </w:rPr>
        <w:t xml:space="preserve">carinigroup.com  |  Alex@CariniGroup.com  |  917-833-4388</w:t>
      </w:r>
    </w:p>
    <w:p>
      <w:r>
        <w:br w:type="page"/>
      </w:r>
    </w:p>
    <w:p>
      <w:pPr>
        <w:pStyle w:val="Heading1"/>
        <w:spacing w:after="120" w:before="360"/>
      </w:pPr>
      <w:r>
        <w:rPr>
          <w:rFonts w:ascii="Arial" w:cs="Arial" w:eastAsia="Arial" w:hAnsi="Arial"/>
          <w:b/>
          <w:bCs/>
          <w:color w:val="1B2A4A"/>
          <w:sz w:val="36"/>
          <w:szCs w:val="36"/>
        </w:rPr>
        <w:t xml:space="preserve">1. Company Overview</w:t>
      </w:r>
    </w:p>
    <w:p>
      <w:pPr>
        <w:pBdr>
          <w:bottom w:val="single" w:color="B8960C" w:sz="6" w:space="1"/>
        </w:pBdr>
        <w:spacing w:after="240"/>
      </w:pPr>
    </w:p>
    <w:p>
      <w:pPr>
        <w:spacing w:after="160"/>
      </w:pPr>
      <w:r>
        <w:rPr>
          <w:rFonts w:ascii="Arial" w:cs="Arial" w:eastAsia="Arial" w:hAnsi="Arial"/>
          <w:b w:val="false"/>
          <w:bCs w:val="false"/>
          <w:color w:val="5A5A5A"/>
          <w:sz w:val="22"/>
          <w:szCs w:val="22"/>
        </w:rPr>
        <w:t xml:space="preserve">Carini Group LLC is a boutique real estate brokerage operating in New York City. Founded and led by Alex Carini, the firm specialises in residential and commercial real estate transactions for a discerning domestic and international clientele. With 50% of its revenue generated from clients outside the United States, Carini Group occupies a distinctive niche at the intersection of global capital and the New York City property market.</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Mission &amp; Value Proposition</w:t>
      </w:r>
    </w:p>
    <w:p>
      <w:pPr>
        <w:spacing w:after="160"/>
      </w:pPr>
      <w:r>
        <w:rPr>
          <w:rFonts w:ascii="Arial" w:cs="Arial" w:eastAsia="Arial" w:hAnsi="Arial"/>
          <w:b w:val="false"/>
          <w:bCs w:val="false"/>
          <w:color w:val="5A5A5A"/>
          <w:sz w:val="22"/>
          <w:szCs w:val="22"/>
        </w:rPr>
        <w:t xml:space="preserve">Carini Group's mission is to deliver personalised, high-touch real estate services that large-scale brokerages cannot replicate. Its value proposition rests on three pillars: boutique accessibility (every client receives direct access to Alex Carini or a senior associate), international reach (multilingual service in English, Italian, and Spanish), and transactional speed (contracts signed within one to two weeks of listing).</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Products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5A5A5A"/>
                <w:sz w:val="21"/>
                <w:szCs w:val="21"/>
              </w:rPr>
              <w:t xml:space="preserve">Service</w:t>
            </w:r>
          </w:p>
        </w:tc>
        <w:tc>
          <w:tcPr>
            <w:tcW w:type="dxa" w:w="65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Seller's Representation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Lists, markets, and negotiates sales of NYC residential property.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Buyer's Representation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Identifies, tours, and negotiates purchase of suitable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Landlord &amp; Tenant Representation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Rental placement with full tenant vetting and lease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Commercial Brokerage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Acquisition, sale, and leasing of commercial and mixed-use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Investment Advisory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Portfolio strategy, ROI optimisation, and 1031 exchange facilitation.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Property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Ongoing management of rental units on behalf of landlord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New Development Advisory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Guidance for buyers purchasing in new development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Staging &amp; Media 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Property presentation, photography, video, and press content.</w:t>
            </w:r>
          </w:p>
        </w:tc>
      </w:tr>
    </w:tbl>
    <w:p>
      <w:pPr>
        <w:spacing w:after="0" w:before="120"/>
      </w:pPr>
      <w:r>
        <w:t xml:space="preserve"/>
      </w:r>
    </w:p>
    <w:p>
      <w:pPr>
        <w:pStyle w:val="Heading2"/>
        <w:spacing w:after="100" w:before="280"/>
      </w:pPr>
      <w:r>
        <w:rPr>
          <w:rFonts w:ascii="Arial" w:cs="Arial" w:eastAsia="Arial" w:hAnsi="Arial"/>
          <w:b/>
          <w:bCs/>
          <w:color w:val="2E5FA3"/>
          <w:sz w:val="28"/>
          <w:szCs w:val="28"/>
        </w:rPr>
        <w:t xml:space="preserve">Market Positioning &amp; Key Stakeholders</w:t>
      </w:r>
    </w:p>
    <w:p>
      <w:pPr>
        <w:spacing w:after="160"/>
      </w:pPr>
      <w:r>
        <w:rPr>
          <w:rFonts w:ascii="Arial" w:cs="Arial" w:eastAsia="Arial" w:hAnsi="Arial"/>
          <w:b w:val="false"/>
          <w:bCs w:val="false"/>
          <w:color w:val="5A5A5A"/>
          <w:sz w:val="22"/>
          <w:szCs w:val="22"/>
        </w:rPr>
        <w:t xml:space="preserve">Carini Group targets high-net-worth individuals, business executives, institutional investors, and international buyers — primarily from Europe and Latin America. Deal sizes range from under $500,000 to over $100 million. The firm's key stakeholder is Alex Carini (Founder &amp; CEO), supported by agents Eddie Lopez and Vivek S M, and an extensive network of attorneys, title companies, mortgage brokers, architects, and press contacts.</w:t>
      </w:r>
    </w:p>
    <w:p>
      <w:pPr>
        <w:spacing w:after="0" w:before="120"/>
      </w:pPr>
      <w:r>
        <w:t xml:space="preserve"/>
      </w:r>
    </w:p>
    <w:p>
      <w:pPr>
        <w:pStyle w:val="Heading1"/>
        <w:spacing w:after="120" w:before="360"/>
      </w:pPr>
      <w:r>
        <w:rPr>
          <w:rFonts w:ascii="Arial" w:cs="Arial" w:eastAsia="Arial" w:hAnsi="Arial"/>
          <w:b/>
          <w:bCs/>
          <w:color w:val="1B2A4A"/>
          <w:sz w:val="36"/>
          <w:szCs w:val="36"/>
        </w:rPr>
        <w:t xml:space="preserve">2. Operational Workflow</w:t>
      </w:r>
    </w:p>
    <w:p>
      <w:pPr>
        <w:pBdr>
          <w:bottom w:val="single" w:color="B8960C" w:sz="6" w:space="1"/>
        </w:pBdr>
        <w:spacing w:after="240"/>
      </w:pPr>
    </w:p>
    <w:p>
      <w:pPr>
        <w:spacing w:after="160"/>
      </w:pPr>
      <w:r>
        <w:rPr>
          <w:rFonts w:ascii="Arial" w:cs="Arial" w:eastAsia="Arial" w:hAnsi="Arial"/>
          <w:b w:val="false"/>
          <w:bCs w:val="false"/>
          <w:color w:val="5A5A5A"/>
          <w:sz w:val="22"/>
          <w:szCs w:val="22"/>
        </w:rPr>
        <w:t xml:space="preserve">Carini Group operates as a transaction-centric brokerage where every deal passes through a common eight-step lifecycle. The team is intentionally lean: Alex Carini personally oversees all high-value and international transactions while junior agents support with showings, research, and tenant vetting.</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Transaction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Stage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Key Action</w:t>
            </w:r>
          </w:p>
        </w:tc>
        <w:tc>
          <w:tcPr>
            <w:tcW w:type="dxa" w:w="30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1. Inquiry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Client contacts via phone, email, or website form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Lead captured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2. Consultation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Needs, budget, and timeline assessment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Client profile created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3. Property Search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RLS + exclusive listings matched to client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Shortlist delivered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4. Viewings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Agent accompanies client on tours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Feedback and shortlisting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5. Offer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Offer drafted and submitted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Negotiation initiated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6. Negotiation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Terms agreed between parties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Accepted offer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7. Contract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Attorneys coordinate; agent manages all parties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Signed contract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8. Close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Deed transfer / lease execution; commission paid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Closed transaction</w:t>
            </w:r>
          </w:p>
        </w:tc>
      </w:tr>
    </w:tbl>
    <w:p>
      <w:pPr>
        <w:spacing w:after="0" w:before="120"/>
      </w:pPr>
      <w:r>
        <w:t xml:space="preserve"/>
      </w:r>
    </w:p>
    <w:p>
      <w:pPr>
        <w:pStyle w:val="Heading2"/>
        <w:spacing w:after="100" w:before="280"/>
      </w:pPr>
      <w:r>
        <w:rPr>
          <w:rFonts w:ascii="Arial" w:cs="Arial" w:eastAsia="Arial" w:hAnsi="Arial"/>
          <w:b/>
          <w:bCs/>
          <w:color w:val="2E5FA3"/>
          <w:sz w:val="28"/>
          <w:szCs w:val="28"/>
        </w:rPr>
        <w:t xml:space="preserve">Daily &amp; Weekly Operations</w:t>
      </w:r>
    </w:p>
    <w:p>
      <w:pPr>
        <w:spacing w:after="160"/>
      </w:pPr>
      <w:r>
        <w:rPr>
          <w:rFonts w:ascii="Arial" w:cs="Arial" w:eastAsia="Arial" w:hAnsi="Arial"/>
          <w:b w:val="false"/>
          <w:bCs w:val="false"/>
          <w:color w:val="5A5A5A"/>
          <w:sz w:val="22"/>
          <w:szCs w:val="22"/>
        </w:rPr>
        <w:t xml:space="preserve">Day-to-day activity includes reviewing RLS updates, responding to inbound enquiries, scheduling showings, following up with active clients, and coordinating with legal and financial counterparties. Weekly activities encompass pipeline reviews, market data analysis, and attendance at networking events. Monthly activities include generating investor market reports, reviewing commercial listing accuracy, and publishing press and media content.</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Departments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5A5A5A"/>
                <w:sz w:val="21"/>
                <w:szCs w:val="21"/>
              </w:rPr>
              <w:t xml:space="preserve">Function</w:t>
            </w:r>
          </w:p>
        </w:tc>
        <w:tc>
          <w:tcPr>
            <w:tcW w:type="dxa" w:w="59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Responsible Party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Deal origination &amp; high-value clients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Alex Carini (Founder &amp; CEO)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Showings &amp; tenant vetting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Eddie Lopez / Vivek S M (Agents)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Contract preparation &amp; legal review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External real estate attorneys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Financing &amp; bank approvals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External mortgage brokers / banks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Photography &amp; staging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External professional photographers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Media &amp; press placement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External press contacts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Accounting &amp; investor tax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External accountants</w:t>
            </w:r>
          </w:p>
        </w:tc>
      </w:tr>
    </w:tbl>
    <w:p>
      <w:pPr>
        <w:spacing w:after="0" w:before="120"/>
      </w:pPr>
      <w:r>
        <w:t xml:space="preserve"/>
      </w:r>
    </w:p>
    <w:p>
      <w:pPr>
        <w:pStyle w:val="Heading1"/>
        <w:spacing w:after="120" w:before="360"/>
      </w:pPr>
      <w:r>
        <w:rPr>
          <w:rFonts w:ascii="Arial" w:cs="Arial" w:eastAsia="Arial" w:hAnsi="Arial"/>
          <w:b/>
          <w:bCs/>
          <w:color w:val="1B2A4A"/>
          <w:sz w:val="36"/>
          <w:szCs w:val="36"/>
        </w:rPr>
        <w:t xml:space="preserve">3. Pain Points &amp; Challenges</w:t>
      </w:r>
    </w:p>
    <w:p>
      <w:pPr>
        <w:pBdr>
          <w:bottom w:val="single" w:color="B8960C" w:sz="6" w:space="1"/>
        </w:pBdr>
        <w:spacing w:after="240"/>
      </w:pPr>
    </w:p>
    <w:p>
      <w:pPr>
        <w:spacing w:after="160"/>
      </w:pPr>
      <w:r>
        <w:rPr>
          <w:rFonts w:ascii="Arial" w:cs="Arial" w:eastAsia="Arial" w:hAnsi="Arial"/>
          <w:b w:val="false"/>
          <w:bCs w:val="false"/>
          <w:color w:val="5A5A5A"/>
          <w:sz w:val="22"/>
          <w:szCs w:val="22"/>
        </w:rPr>
        <w:t xml:space="preserve">Despite strong performance metrics, Carini Group's boutique structure introduces several operational constraints that limit scalability, client volume, and international reach. The following pain points were identified from the operations manual and industry benchmarking.</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3.1  Manual Lead Management</w:t>
      </w:r>
    </w:p>
    <w:p>
      <w:pPr>
        <w:spacing w:after="160"/>
      </w:pPr>
      <w:r>
        <w:rPr>
          <w:rFonts w:ascii="Arial" w:cs="Arial" w:eastAsia="Arial" w:hAnsi="Arial"/>
          <w:b w:val="false"/>
          <w:bCs w:val="false"/>
          <w:color w:val="5A5A5A"/>
          <w:sz w:val="22"/>
          <w:szCs w:val="22"/>
        </w:rPr>
        <w:t xml:space="preserve">There is no confirmed CRM in use. Lead intake relies on email, phone, and a basic website contact form. As inquiry volume grows — particularly from international media exposure — manual follow-up creates a high risk of lead leakage. A single agent responding across multiple time zones is inherently bottlenecked.</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3.2  International Client Friction</w:t>
      </w:r>
    </w:p>
    <w:p>
      <w:pPr>
        <w:spacing w:after="160"/>
      </w:pPr>
      <w:r>
        <w:rPr>
          <w:rFonts w:ascii="Arial" w:cs="Arial" w:eastAsia="Arial" w:hAnsi="Arial"/>
          <w:b w:val="false"/>
          <w:bCs w:val="false"/>
          <w:color w:val="5A5A5A"/>
          <w:sz w:val="22"/>
          <w:szCs w:val="22"/>
        </w:rPr>
        <w:t xml:space="preserve">50% of clients are from outside the United States. These clients face significant friction: unfamiliarity with NYC neighbourhoods and regulations, inability to attend in-person viewings, currency and payment complexity, and language barriers (even with multilingual service). The current workflow does not provide dedicated digital tools for remote buyer journeys.</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3.3  No Automated Nurture or Follow-Up</w:t>
      </w:r>
    </w:p>
    <w:p>
      <w:pPr>
        <w:spacing w:after="160"/>
      </w:pPr>
      <w:r>
        <w:rPr>
          <w:rFonts w:ascii="Arial" w:cs="Arial" w:eastAsia="Arial" w:hAnsi="Arial"/>
          <w:b w:val="false"/>
          <w:bCs w:val="false"/>
          <w:color w:val="5A5A5A"/>
          <w:sz w:val="22"/>
          <w:szCs w:val="22"/>
        </w:rPr>
        <w:t xml:space="preserve">Client communication is entirely personalised and manual. While this is a brand differentiator for active transactions, it means the firm has no systematic way to re-engage past clients, nurture warm leads, or maintain top-of-mind presence with the international referral network during quiet periods.</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3.4  Transaction Coordination is Fragmented</w:t>
      </w:r>
    </w:p>
    <w:p>
      <w:pPr>
        <w:spacing w:after="160"/>
      </w:pPr>
      <w:r>
        <w:rPr>
          <w:rFonts w:ascii="Arial" w:cs="Arial" w:eastAsia="Arial" w:hAnsi="Arial"/>
          <w:b w:val="false"/>
          <w:bCs w:val="false"/>
          <w:color w:val="5A5A5A"/>
          <w:sz w:val="22"/>
          <w:szCs w:val="22"/>
        </w:rPr>
        <w:t xml:space="preserve">Coordination across attorneys, title companies, banks, inspectors, and contractors is managed manually by the agent via email and phone. There is no confirmed transaction management platform (e.g., a proprietary deal room). This creates delays, miscommunications, and heavy time expenditure on project management rather than deal origination.</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3.5  Limited Digital Marketing Sophistication</w:t>
      </w:r>
    </w:p>
    <w:p>
      <w:pPr>
        <w:spacing w:after="160"/>
      </w:pPr>
      <w:r>
        <w:rPr>
          <w:rFonts w:ascii="Arial" w:cs="Arial" w:eastAsia="Arial" w:hAnsi="Arial"/>
          <w:b w:val="false"/>
          <w:bCs w:val="false"/>
          <w:color w:val="5A5A5A"/>
          <w:sz w:val="22"/>
          <w:szCs w:val="22"/>
        </w:rPr>
        <w:t xml:space="preserve">The firm's marketing is primarily organic — referrals, LinkedIn posts, and media appearances. No confirmed paid digital advertising is in use. Instagram and Facebook are not active channels. Multilingual digital marketing (Italian and Spanish) is not systematically executed online, despite the firm's clear international competitive advantage.</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3.6  Website Under-Utilisation</w:t>
      </w:r>
    </w:p>
    <w:p>
      <w:pPr>
        <w:spacing w:after="160"/>
      </w:pPr>
      <w:r>
        <w:rPr>
          <w:rFonts w:ascii="Arial" w:cs="Arial" w:eastAsia="Arial" w:hAnsi="Arial"/>
          <w:b w:val="false"/>
          <w:bCs w:val="false"/>
          <w:color w:val="5A5A5A"/>
          <w:sz w:val="22"/>
          <w:szCs w:val="22"/>
        </w:rPr>
        <w:t xml:space="preserve">carinigroup.com serves primarily as a listing search portal. It does not capture full lead qualification data, offer personalised property recommendations, enable virtual tours for international buyers, or support a multi-language experience. The website is a passive catalogue rather than an active conversion engine.</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3.7  Data &amp; Reporting Gaps</w:t>
      </w:r>
    </w:p>
    <w:p>
      <w:pPr>
        <w:spacing w:after="160"/>
      </w:pPr>
      <w:r>
        <w:rPr>
          <w:rFonts w:ascii="Arial" w:cs="Arial" w:eastAsia="Arial" w:hAnsi="Arial"/>
          <w:b w:val="false"/>
          <w:bCs w:val="false"/>
          <w:color w:val="5A5A5A"/>
          <w:sz w:val="22"/>
          <w:szCs w:val="22"/>
        </w:rPr>
        <w:t xml:space="preserve">There is no confirmed dashboard for tracking pipeline metrics, agent performance, or marketing attribution. Decision-making relies on Alex's direct knowledge rather than structured business intelligence. As the team grows, this will become a material bottleneck.</w:t>
      </w:r>
    </w:p>
    <w:p>
      <w:pPr>
        <w:spacing w:after="0" w:before="120"/>
      </w:pPr>
      <w:r>
        <w:t xml:space="preserve"/>
      </w:r>
    </w:p>
    <w:p>
      <w:pPr>
        <w:pStyle w:val="Heading1"/>
        <w:spacing w:after="120" w:before="360"/>
      </w:pPr>
      <w:r>
        <w:rPr>
          <w:rFonts w:ascii="Arial" w:cs="Arial" w:eastAsia="Arial" w:hAnsi="Arial"/>
          <w:b/>
          <w:bCs/>
          <w:color w:val="1B2A4A"/>
          <w:sz w:val="36"/>
          <w:szCs w:val="36"/>
        </w:rPr>
        <w:t xml:space="preserve">4. Digital Transformation Opportunities</w:t>
      </w:r>
    </w:p>
    <w:p>
      <w:pPr>
        <w:pBdr>
          <w:bottom w:val="single" w:color="B8960C" w:sz="6" w:space="1"/>
        </w:pBdr>
        <w:spacing w:after="240"/>
      </w:pPr>
    </w:p>
    <w:p>
      <w:pPr>
        <w:spacing w:after="160"/>
      </w:pPr>
      <w:r>
        <w:rPr>
          <w:rFonts w:ascii="Arial" w:cs="Arial" w:eastAsia="Arial" w:hAnsi="Arial"/>
          <w:b w:val="false"/>
          <w:bCs w:val="false"/>
          <w:color w:val="5A5A5A"/>
          <w:sz w:val="22"/>
          <w:szCs w:val="22"/>
        </w:rPr>
        <w:t xml:space="preserve">All recommended solutions below are custom-built or API-integrated enhancements designed to extend carinigroup.com and the firm's proprietary digital ecosystem. No solution involves replicating the firm's services on third-party platforms or ceding ownership of client data or workflows.</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4.1  Proprietary CRM &amp; Lead Intelligence Module</w:t>
      </w:r>
    </w:p>
    <w:p>
      <w:pPr>
        <w:spacing w:after="160"/>
      </w:pPr>
      <w:r>
        <w:rPr>
          <w:rFonts w:ascii="Arial" w:cs="Arial" w:eastAsia="Arial" w:hAnsi="Arial"/>
          <w:b w:val="false"/>
          <w:bCs w:val="false"/>
          <w:color w:val="5A5A5A"/>
          <w:sz w:val="22"/>
          <w:szCs w:val="22"/>
        </w:rPr>
        <w:t xml:space="preserve">Build a custom CRM layer directly within the carinigroup.com backend. Every website enquiry, LinkedIn referral click, and phone-logged contact is captured, scored, and routed to the correct agent workflow. The module should include:</w:t>
      </w:r>
    </w:p>
    <w:p>
      <w:pPr>
        <w:pStyle w:val="ListParagraph"/>
        <w:numPr>
          <w:ilvl w:val="0"/>
          <w:numId w:val="2"/>
        </w:numPr>
      </w:pPr>
      <w:r>
        <w:rPr>
          <w:rFonts w:ascii="Arial" w:cs="Arial" w:eastAsia="Arial" w:hAnsi="Arial"/>
          <w:color w:val="5A5A5A"/>
          <w:sz w:val="22"/>
          <w:szCs w:val="22"/>
        </w:rPr>
        <w:t xml:space="preserve">Lead scoring engine: assigns priority scores based on budget, timeline, property type, and source.</w:t>
      </w:r>
    </w:p>
    <w:p>
      <w:pPr>
        <w:pStyle w:val="ListParagraph"/>
        <w:numPr>
          <w:ilvl w:val="0"/>
          <w:numId w:val="2"/>
        </w:numPr>
      </w:pPr>
      <w:r>
        <w:rPr>
          <w:rFonts w:ascii="Arial" w:cs="Arial" w:eastAsia="Arial" w:hAnsi="Arial"/>
          <w:color w:val="5A5A5A"/>
          <w:sz w:val="22"/>
          <w:szCs w:val="22"/>
        </w:rPr>
        <w:t xml:space="preserve">Client profiles: centralised contact records linking every interaction, document, and transaction.</w:t>
      </w:r>
    </w:p>
    <w:p>
      <w:pPr>
        <w:pStyle w:val="ListParagraph"/>
        <w:numPr>
          <w:ilvl w:val="0"/>
          <w:numId w:val="2"/>
        </w:numPr>
      </w:pPr>
      <w:r>
        <w:rPr>
          <w:rFonts w:ascii="Arial" w:cs="Arial" w:eastAsia="Arial" w:hAnsi="Arial"/>
          <w:color w:val="5A5A5A"/>
          <w:sz w:val="22"/>
          <w:szCs w:val="22"/>
        </w:rPr>
        <w:t xml:space="preserve">Pipeline board: visual Kanban-style deal tracker across all eight transaction stages.</w:t>
      </w:r>
    </w:p>
    <w:p>
      <w:pPr>
        <w:pStyle w:val="ListParagraph"/>
        <w:numPr>
          <w:ilvl w:val="0"/>
          <w:numId w:val="2"/>
        </w:numPr>
      </w:pPr>
      <w:r>
        <w:rPr>
          <w:rFonts w:ascii="Arial" w:cs="Arial" w:eastAsia="Arial" w:hAnsi="Arial"/>
          <w:color w:val="5A5A5A"/>
          <w:sz w:val="22"/>
          <w:szCs w:val="22"/>
        </w:rPr>
        <w:t xml:space="preserve">Automated follow-up triggers: email and SMS sequences activated by pipeline stage changes.</w:t>
      </w:r>
    </w:p>
    <w:p>
      <w:pPr>
        <w:pStyle w:val="ListParagraph"/>
        <w:numPr>
          <w:ilvl w:val="0"/>
          <w:numId w:val="2"/>
        </w:numPr>
      </w:pPr>
      <w:r>
        <w:rPr>
          <w:rFonts w:ascii="Arial" w:cs="Arial" w:eastAsia="Arial" w:hAnsi="Arial"/>
          <w:color w:val="5A5A5A"/>
          <w:sz w:val="22"/>
          <w:szCs w:val="22"/>
        </w:rPr>
        <w:t xml:space="preserve">Language tagging: flags Italian- or Spanish-speaking leads for direct routing to Alex.</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4.2  International Buyer Digital Portal</w:t>
      </w:r>
    </w:p>
    <w:p>
      <w:pPr>
        <w:spacing w:after="160"/>
      </w:pPr>
      <w:r>
        <w:rPr>
          <w:rFonts w:ascii="Arial" w:cs="Arial" w:eastAsia="Arial" w:hAnsi="Arial"/>
          <w:b w:val="false"/>
          <w:bCs w:val="false"/>
          <w:color w:val="5A5A5A"/>
          <w:sz w:val="22"/>
          <w:szCs w:val="22"/>
        </w:rPr>
        <w:t xml:space="preserve">Deploy a dedicated, multilingual buyer portal within carinigroup.com — available in English, Italian, and Spanish — that allows international clients to complete the early stages of the buying journey remotely. Key features:</w:t>
      </w:r>
    </w:p>
    <w:p>
      <w:pPr>
        <w:pStyle w:val="ListParagraph"/>
        <w:numPr>
          <w:ilvl w:val="0"/>
          <w:numId w:val="2"/>
        </w:numPr>
      </w:pPr>
      <w:r>
        <w:rPr>
          <w:rFonts w:ascii="Arial" w:cs="Arial" w:eastAsia="Arial" w:hAnsi="Arial"/>
          <w:color w:val="5A5A5A"/>
          <w:sz w:val="22"/>
          <w:szCs w:val="22"/>
        </w:rPr>
        <w:t xml:space="preserve">Virtual tour integration: API-linked 3D walkthrough embeds sourced from listing providers already in the RLS workflow.</w:t>
      </w:r>
    </w:p>
    <w:p>
      <w:pPr>
        <w:pStyle w:val="ListParagraph"/>
        <w:numPr>
          <w:ilvl w:val="0"/>
          <w:numId w:val="2"/>
        </w:numPr>
      </w:pPr>
      <w:r>
        <w:rPr>
          <w:rFonts w:ascii="Arial" w:cs="Arial" w:eastAsia="Arial" w:hAnsi="Arial"/>
          <w:color w:val="5A5A5A"/>
          <w:sz w:val="22"/>
          <w:szCs w:val="22"/>
        </w:rPr>
        <w:t xml:space="preserve">Neighbourhood intelligence hub: custom-built pages for each key NYC neighbourhood with data on schools, transport, price trends, and lifestyle.</w:t>
      </w:r>
    </w:p>
    <w:p>
      <w:pPr>
        <w:pStyle w:val="ListParagraph"/>
        <w:numPr>
          <w:ilvl w:val="0"/>
          <w:numId w:val="2"/>
        </w:numPr>
      </w:pPr>
      <w:r>
        <w:rPr>
          <w:rFonts w:ascii="Arial" w:cs="Arial" w:eastAsia="Arial" w:hAnsi="Arial"/>
          <w:color w:val="5A5A5A"/>
          <w:sz w:val="22"/>
          <w:szCs w:val="22"/>
        </w:rPr>
        <w:t xml:space="preserve">Currency converter widget: live FX rates integrated via a financial data API (no third-party fintech platform needed — API-only integration).</w:t>
      </w:r>
    </w:p>
    <w:p>
      <w:pPr>
        <w:pStyle w:val="ListParagraph"/>
        <w:numPr>
          <w:ilvl w:val="0"/>
          <w:numId w:val="2"/>
        </w:numPr>
      </w:pPr>
      <w:r>
        <w:rPr>
          <w:rFonts w:ascii="Arial" w:cs="Arial" w:eastAsia="Arial" w:hAnsi="Arial"/>
          <w:color w:val="5A5A5A"/>
          <w:sz w:val="22"/>
          <w:szCs w:val="22"/>
        </w:rPr>
        <w:t xml:space="preserve">Document upload &amp; e-signature room: clients upload financial documents; agent reviews and advances deal stage in the CRM automatically.</w:t>
      </w:r>
    </w:p>
    <w:p>
      <w:pPr>
        <w:pStyle w:val="ListParagraph"/>
        <w:numPr>
          <w:ilvl w:val="0"/>
          <w:numId w:val="2"/>
        </w:numPr>
      </w:pPr>
      <w:r>
        <w:rPr>
          <w:rFonts w:ascii="Arial" w:cs="Arial" w:eastAsia="Arial" w:hAnsi="Arial"/>
          <w:color w:val="5A5A5A"/>
          <w:sz w:val="22"/>
          <w:szCs w:val="22"/>
        </w:rPr>
        <w:t xml:space="preserve">Asynchronous consultation booking: timezone-aware calendar integration for video consultations with Alex or team members.</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4.3  Automated Multilingual Outreach Engine</w:t>
      </w:r>
    </w:p>
    <w:p>
      <w:pPr>
        <w:spacing w:after="160"/>
      </w:pPr>
      <w:r>
        <w:rPr>
          <w:rFonts w:ascii="Arial" w:cs="Arial" w:eastAsia="Arial" w:hAnsi="Arial"/>
          <w:b w:val="false"/>
          <w:bCs w:val="false"/>
          <w:color w:val="5A5A5A"/>
          <w:sz w:val="22"/>
          <w:szCs w:val="22"/>
        </w:rPr>
        <w:t xml:space="preserve">Build a proprietary email and WhatsApp-based outreach engine hosted within the firm's infrastructure. This engine automates nurture sequences without relying on mass-market email platforms:</w:t>
      </w:r>
    </w:p>
    <w:p>
      <w:pPr>
        <w:pStyle w:val="ListParagraph"/>
        <w:numPr>
          <w:ilvl w:val="0"/>
          <w:numId w:val="2"/>
        </w:numPr>
      </w:pPr>
      <w:r>
        <w:rPr>
          <w:rFonts w:ascii="Arial" w:cs="Arial" w:eastAsia="Arial" w:hAnsi="Arial"/>
          <w:color w:val="5A5A5A"/>
          <w:sz w:val="22"/>
          <w:szCs w:val="22"/>
        </w:rPr>
        <w:t xml:space="preserve">Post-closing sequence: personalised 6, 12, and 24-month re-engagement messages to past clients, in their preferred language.</w:t>
      </w:r>
    </w:p>
    <w:p>
      <w:pPr>
        <w:pStyle w:val="ListParagraph"/>
        <w:numPr>
          <w:ilvl w:val="0"/>
          <w:numId w:val="2"/>
        </w:numPr>
      </w:pPr>
      <w:r>
        <w:rPr>
          <w:rFonts w:ascii="Arial" w:cs="Arial" w:eastAsia="Arial" w:hAnsi="Arial"/>
          <w:color w:val="5A5A5A"/>
          <w:sz w:val="22"/>
          <w:szCs w:val="22"/>
        </w:rPr>
        <w:t xml:space="preserve">New listing alerts: automated matching of new RLS listings against stored client preferences, delivered as branded email digests.</w:t>
      </w:r>
    </w:p>
    <w:p>
      <w:pPr>
        <w:pStyle w:val="ListParagraph"/>
        <w:numPr>
          <w:ilvl w:val="0"/>
          <w:numId w:val="2"/>
        </w:numPr>
      </w:pPr>
      <w:r>
        <w:rPr>
          <w:rFonts w:ascii="Arial" w:cs="Arial" w:eastAsia="Arial" w:hAnsi="Arial"/>
          <w:color w:val="5A5A5A"/>
          <w:sz w:val="22"/>
          <w:szCs w:val="22"/>
        </w:rPr>
        <w:t xml:space="preserve">Market commentary distribution: Alex's LinkedIn content repurposed into multilingual email newsletters sent to the international referral network.</w:t>
      </w:r>
    </w:p>
    <w:p>
      <w:pPr>
        <w:pStyle w:val="ListParagraph"/>
        <w:numPr>
          <w:ilvl w:val="0"/>
          <w:numId w:val="2"/>
        </w:numPr>
      </w:pPr>
      <w:r>
        <w:rPr>
          <w:rFonts w:ascii="Arial" w:cs="Arial" w:eastAsia="Arial" w:hAnsi="Arial"/>
          <w:color w:val="5A5A5A"/>
          <w:sz w:val="22"/>
          <w:szCs w:val="22"/>
        </w:rPr>
        <w:t xml:space="preserve">Event invitations: automated outreach before Italian-American galas, Barclays events, and other networking touchpoints.</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4.4  Proprietary Deal Room &amp; Transaction Tracker</w:t>
      </w:r>
    </w:p>
    <w:p>
      <w:pPr>
        <w:spacing w:after="160"/>
      </w:pPr>
      <w:r>
        <w:rPr>
          <w:rFonts w:ascii="Arial" w:cs="Arial" w:eastAsia="Arial" w:hAnsi="Arial"/>
          <w:b w:val="false"/>
          <w:bCs w:val="false"/>
          <w:color w:val="5A5A5A"/>
          <w:sz w:val="22"/>
          <w:szCs w:val="22"/>
        </w:rPr>
        <w:t xml:space="preserve">Build a branded deal room portal within carinigroup.com for every active transaction. This replaces fragmented email coordination with a structured, permission-based workflow hub:</w:t>
      </w:r>
    </w:p>
    <w:p>
      <w:pPr>
        <w:pStyle w:val="ListParagraph"/>
        <w:numPr>
          <w:ilvl w:val="0"/>
          <w:numId w:val="2"/>
        </w:numPr>
      </w:pPr>
      <w:r>
        <w:rPr>
          <w:rFonts w:ascii="Arial" w:cs="Arial" w:eastAsia="Arial" w:hAnsi="Arial"/>
          <w:color w:val="5A5A5A"/>
          <w:sz w:val="22"/>
          <w:szCs w:val="22"/>
        </w:rPr>
        <w:t xml:space="preserve">Per-transaction workspace: each deal has its own secure room accessible to the client, agent, attorney, and title company.</w:t>
      </w:r>
    </w:p>
    <w:p>
      <w:pPr>
        <w:pStyle w:val="ListParagraph"/>
        <w:numPr>
          <w:ilvl w:val="0"/>
          <w:numId w:val="2"/>
        </w:numPr>
      </w:pPr>
      <w:r>
        <w:rPr>
          <w:rFonts w:ascii="Arial" w:cs="Arial" w:eastAsia="Arial" w:hAnsi="Arial"/>
          <w:color w:val="5A5A5A"/>
          <w:sz w:val="22"/>
          <w:szCs w:val="22"/>
        </w:rPr>
        <w:t xml:space="preserve">Milestone tracker: visual progress bar from Offer Accepted through to Close, with automated status updates sent to all parties.</w:t>
      </w:r>
    </w:p>
    <w:p>
      <w:pPr>
        <w:pStyle w:val="ListParagraph"/>
        <w:numPr>
          <w:ilvl w:val="0"/>
          <w:numId w:val="2"/>
        </w:numPr>
      </w:pPr>
      <w:r>
        <w:rPr>
          <w:rFonts w:ascii="Arial" w:cs="Arial" w:eastAsia="Arial" w:hAnsi="Arial"/>
          <w:color w:val="5A5A5A"/>
          <w:sz w:val="22"/>
          <w:szCs w:val="22"/>
        </w:rPr>
        <w:t xml:space="preserve">Document vault: centralised storage for contracts, inspection reports, board application packages, and financial approvals.</w:t>
      </w:r>
    </w:p>
    <w:p>
      <w:pPr>
        <w:pStyle w:val="ListParagraph"/>
        <w:numPr>
          <w:ilvl w:val="0"/>
          <w:numId w:val="2"/>
        </w:numPr>
      </w:pPr>
      <w:r>
        <w:rPr>
          <w:rFonts w:ascii="Arial" w:cs="Arial" w:eastAsia="Arial" w:hAnsi="Arial"/>
          <w:color w:val="5A5A5A"/>
          <w:sz w:val="22"/>
          <w:szCs w:val="22"/>
        </w:rPr>
        <w:t xml:space="preserve">Task board: assigns and tracks outstanding items (e.g., 'Attorney to submit board application by Friday') with automated reminders.</w:t>
      </w:r>
    </w:p>
    <w:p>
      <w:pPr>
        <w:pStyle w:val="ListParagraph"/>
        <w:numPr>
          <w:ilvl w:val="0"/>
          <w:numId w:val="2"/>
        </w:numPr>
      </w:pPr>
      <w:r>
        <w:rPr>
          <w:rFonts w:ascii="Arial" w:cs="Arial" w:eastAsia="Arial" w:hAnsi="Arial"/>
          <w:color w:val="5A5A5A"/>
          <w:sz w:val="22"/>
          <w:szCs w:val="22"/>
        </w:rPr>
        <w:t xml:space="preserve">Closing countdown: calendar display showing all critical dates — contract deadlines, board interview, closing date.</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4.5  Multilingual SEO &amp; Content Engine</w:t>
      </w:r>
    </w:p>
    <w:p>
      <w:pPr>
        <w:spacing w:after="160"/>
      </w:pPr>
      <w:r>
        <w:rPr>
          <w:rFonts w:ascii="Arial" w:cs="Arial" w:eastAsia="Arial" w:hAnsi="Arial"/>
          <w:b w:val="false"/>
          <w:bCs w:val="false"/>
          <w:color w:val="5A5A5A"/>
          <w:sz w:val="22"/>
          <w:szCs w:val="22"/>
        </w:rPr>
        <w:t xml:space="preserve">Develop an internal content management workflow that systematically produces SEO-optimised property and neighbourhood content in English, Italian, and Spanish. This extends the firm's organic search footprint to Italian and Spanish-language queries:</w:t>
      </w:r>
    </w:p>
    <w:p>
      <w:pPr>
        <w:pStyle w:val="ListParagraph"/>
        <w:numPr>
          <w:ilvl w:val="0"/>
          <w:numId w:val="2"/>
        </w:numPr>
      </w:pPr>
      <w:r>
        <w:rPr>
          <w:rFonts w:ascii="Arial" w:cs="Arial" w:eastAsia="Arial" w:hAnsi="Arial"/>
          <w:color w:val="5A5A5A"/>
          <w:sz w:val="22"/>
          <w:szCs w:val="22"/>
        </w:rPr>
        <w:t xml:space="preserve">Automated listing description generator: AI-assisted (proprietary, hosted on the firm's own infrastructure) tool that drafts listing copy in three languages from structured property data.</w:t>
      </w:r>
    </w:p>
    <w:p>
      <w:pPr>
        <w:pStyle w:val="ListParagraph"/>
        <w:numPr>
          <w:ilvl w:val="0"/>
          <w:numId w:val="2"/>
        </w:numPr>
      </w:pPr>
      <w:r>
        <w:rPr>
          <w:rFonts w:ascii="Arial" w:cs="Arial" w:eastAsia="Arial" w:hAnsi="Arial"/>
          <w:color w:val="5A5A5A"/>
          <w:sz w:val="22"/>
          <w:szCs w:val="22"/>
        </w:rPr>
        <w:t xml:space="preserve">Neighbourhood guide builder: templated CMS pages for each NYC neighbourhood, updated monthly with market data pulled from the RLS API.</w:t>
      </w:r>
    </w:p>
    <w:p>
      <w:pPr>
        <w:pStyle w:val="ListParagraph"/>
        <w:numPr>
          <w:ilvl w:val="0"/>
          <w:numId w:val="2"/>
        </w:numPr>
      </w:pPr>
      <w:r>
        <w:rPr>
          <w:rFonts w:ascii="Arial" w:cs="Arial" w:eastAsia="Arial" w:hAnsi="Arial"/>
          <w:color w:val="5A5A5A"/>
          <w:sz w:val="22"/>
          <w:szCs w:val="22"/>
        </w:rPr>
        <w:t xml:space="preserve">International press clip archive: a curated, SEO-indexed page embedding all TV and press appearances, building topical authority and backlinks.</w:t>
      </w:r>
    </w:p>
    <w:p>
      <w:pPr>
        <w:pStyle w:val="ListParagraph"/>
        <w:numPr>
          <w:ilvl w:val="0"/>
          <w:numId w:val="2"/>
        </w:numPr>
      </w:pPr>
      <w:r>
        <w:rPr>
          <w:rFonts w:ascii="Arial" w:cs="Arial" w:eastAsia="Arial" w:hAnsi="Arial"/>
          <w:color w:val="5A5A5A"/>
          <w:sz w:val="22"/>
          <w:szCs w:val="22"/>
        </w:rPr>
        <w:t xml:space="preserve">Structured data markup: JSON-LD schema applied to all property pages for enhanced Google property search visibility.</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4.6  Investor Intelligence Dashboard</w:t>
      </w:r>
    </w:p>
    <w:p>
      <w:pPr>
        <w:spacing w:after="160"/>
      </w:pPr>
      <w:r>
        <w:rPr>
          <w:rFonts w:ascii="Arial" w:cs="Arial" w:eastAsia="Arial" w:hAnsi="Arial"/>
          <w:b w:val="false"/>
          <w:bCs w:val="false"/>
          <w:color w:val="5A5A5A"/>
          <w:sz w:val="22"/>
          <w:szCs w:val="22"/>
        </w:rPr>
        <w:t xml:space="preserve">Build a private investor portal accessible to recurring advisory clients. This transforms the current manual market research report into a live, self-service dashboard:</w:t>
      </w:r>
    </w:p>
    <w:p>
      <w:pPr>
        <w:pStyle w:val="ListParagraph"/>
        <w:numPr>
          <w:ilvl w:val="0"/>
          <w:numId w:val="2"/>
        </w:numPr>
      </w:pPr>
      <w:r>
        <w:rPr>
          <w:rFonts w:ascii="Arial" w:cs="Arial" w:eastAsia="Arial" w:hAnsi="Arial"/>
          <w:color w:val="5A5A5A"/>
          <w:sz w:val="22"/>
          <w:szCs w:val="22"/>
        </w:rPr>
        <w:t xml:space="preserve">Portfolio overview: tracks all properties managed by Carini Group for the investor — current tenants, lease end dates, estimated values.</w:t>
      </w:r>
    </w:p>
    <w:p>
      <w:pPr>
        <w:pStyle w:val="ListParagraph"/>
        <w:numPr>
          <w:ilvl w:val="0"/>
          <w:numId w:val="2"/>
        </w:numPr>
      </w:pPr>
      <w:r>
        <w:rPr>
          <w:rFonts w:ascii="Arial" w:cs="Arial" w:eastAsia="Arial" w:hAnsi="Arial"/>
          <w:color w:val="5A5A5A"/>
          <w:sz w:val="22"/>
          <w:szCs w:val="22"/>
        </w:rPr>
        <w:t xml:space="preserve">Market comparables engine: pulls comparable sales data from the RLS API and visualises price-per-sqft trends for investor's asset class and neighbourhood.</w:t>
      </w:r>
    </w:p>
    <w:p>
      <w:pPr>
        <w:pStyle w:val="ListParagraph"/>
        <w:numPr>
          <w:ilvl w:val="0"/>
          <w:numId w:val="2"/>
        </w:numPr>
      </w:pPr>
      <w:r>
        <w:rPr>
          <w:rFonts w:ascii="Arial" w:cs="Arial" w:eastAsia="Arial" w:hAnsi="Arial"/>
          <w:color w:val="5A5A5A"/>
          <w:sz w:val="22"/>
          <w:szCs w:val="22"/>
        </w:rPr>
        <w:t xml:space="preserve">1031 exchange pipeline: flags properties approaching sale and surfaces eligible replacement properties based on timeline and equity targets.</w:t>
      </w:r>
    </w:p>
    <w:p>
      <w:pPr>
        <w:pStyle w:val="ListParagraph"/>
        <w:numPr>
          <w:ilvl w:val="0"/>
          <w:numId w:val="2"/>
        </w:numPr>
      </w:pPr>
      <w:r>
        <w:rPr>
          <w:rFonts w:ascii="Arial" w:cs="Arial" w:eastAsia="Arial" w:hAnsi="Arial"/>
          <w:color w:val="5A5A5A"/>
          <w:sz w:val="22"/>
          <w:szCs w:val="22"/>
        </w:rPr>
        <w:t xml:space="preserve">ROI calculator: scenario modelling tool allowing investors to test different acquisition, financing, and hold-period assumptions.</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4.7  Agent Productivity &amp; Analytics Platform</w:t>
      </w:r>
    </w:p>
    <w:p>
      <w:pPr>
        <w:spacing w:after="160"/>
      </w:pPr>
      <w:r>
        <w:rPr>
          <w:rFonts w:ascii="Arial" w:cs="Arial" w:eastAsia="Arial" w:hAnsi="Arial"/>
          <w:b w:val="false"/>
          <w:bCs w:val="false"/>
          <w:color w:val="5A5A5A"/>
          <w:sz w:val="22"/>
          <w:szCs w:val="22"/>
        </w:rPr>
        <w:t xml:space="preserve">Deploy an internal agent dashboard — accessible only to the Carini Group team — that consolidates all operational data and automates reporting:</w:t>
      </w:r>
    </w:p>
    <w:p>
      <w:pPr>
        <w:pStyle w:val="ListParagraph"/>
        <w:numPr>
          <w:ilvl w:val="0"/>
          <w:numId w:val="2"/>
        </w:numPr>
      </w:pPr>
      <w:r>
        <w:rPr>
          <w:rFonts w:ascii="Arial" w:cs="Arial" w:eastAsia="Arial" w:hAnsi="Arial"/>
          <w:color w:val="5A5A5A"/>
          <w:sz w:val="22"/>
          <w:szCs w:val="22"/>
        </w:rPr>
        <w:t xml:space="preserve">Daily briefing: auto-generated morning digest summarising today's showings, follow-up tasks, and pipeline movements.</w:t>
      </w:r>
    </w:p>
    <w:p>
      <w:pPr>
        <w:pStyle w:val="ListParagraph"/>
        <w:numPr>
          <w:ilvl w:val="0"/>
          <w:numId w:val="2"/>
        </w:numPr>
      </w:pPr>
      <w:r>
        <w:rPr>
          <w:rFonts w:ascii="Arial" w:cs="Arial" w:eastAsia="Arial" w:hAnsi="Arial"/>
          <w:color w:val="5A5A5A"/>
          <w:sz w:val="22"/>
          <w:szCs w:val="22"/>
        </w:rPr>
        <w:t xml:space="preserve">Lead attribution reporting: tracks which channel (LinkedIn, website, referral, media) produced each lead and each closed deal.</w:t>
      </w:r>
    </w:p>
    <w:p>
      <w:pPr>
        <w:pStyle w:val="ListParagraph"/>
        <w:numPr>
          <w:ilvl w:val="0"/>
          <w:numId w:val="2"/>
        </w:numPr>
      </w:pPr>
      <w:r>
        <w:rPr>
          <w:rFonts w:ascii="Arial" w:cs="Arial" w:eastAsia="Arial" w:hAnsi="Arial"/>
          <w:color w:val="5A5A5A"/>
          <w:sz w:val="22"/>
          <w:szCs w:val="22"/>
        </w:rPr>
        <w:t xml:space="preserve">Agent performance metrics: showings conducted, offers submitted, time-to-close by agent and property type.</w:t>
      </w:r>
    </w:p>
    <w:p>
      <w:pPr>
        <w:pStyle w:val="ListParagraph"/>
        <w:numPr>
          <w:ilvl w:val="0"/>
          <w:numId w:val="2"/>
        </w:numPr>
      </w:pPr>
      <w:r>
        <w:rPr>
          <w:rFonts w:ascii="Arial" w:cs="Arial" w:eastAsia="Arial" w:hAnsi="Arial"/>
          <w:color w:val="5A5A5A"/>
          <w:sz w:val="22"/>
          <w:szCs w:val="22"/>
        </w:rPr>
        <w:t xml:space="preserve">Commission forecast: projects expected monthly and quarterly commission income based on the current pipeline.</w:t>
      </w:r>
    </w:p>
    <w:p>
      <w:pPr>
        <w:spacing w:after="0" w:before="120"/>
      </w:pPr>
      <w:r>
        <w:t xml:space="preserve"/>
      </w:r>
    </w:p>
    <w:p>
      <w:pPr>
        <w:pStyle w:val="Heading1"/>
        <w:spacing w:after="120" w:before="360"/>
      </w:pPr>
      <w:r>
        <w:rPr>
          <w:rFonts w:ascii="Arial" w:cs="Arial" w:eastAsia="Arial" w:hAnsi="Arial"/>
          <w:b/>
          <w:bCs/>
          <w:color w:val="1B2A4A"/>
          <w:sz w:val="36"/>
          <w:szCs w:val="36"/>
        </w:rPr>
        <w:t xml:space="preserve">5. Impact Assessment</w:t>
      </w:r>
    </w:p>
    <w:p>
      <w:pPr>
        <w:pBdr>
          <w:bottom w:val="single" w:color="B8960C" w:sz="6" w:space="1"/>
        </w:pBdr>
        <w:spacing w:after="240"/>
      </w:pPr>
    </w:p>
    <w:p>
      <w:pPr>
        <w:spacing w:after="160"/>
      </w:pPr>
      <w:r>
        <w:rPr>
          <w:rFonts w:ascii="Arial" w:cs="Arial" w:eastAsia="Arial" w:hAnsi="Arial"/>
          <w:b w:val="false"/>
          <w:bCs w:val="false"/>
          <w:color w:val="5A5A5A"/>
          <w:sz w:val="22"/>
          <w:szCs w:val="22"/>
        </w:rPr>
        <w:t xml:space="preserve">The following table summarises the projected business impact of each proposed digital solution, assessed across four dimensions: time saved, cost reduction, revenue potential, and scalability.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c>
          <w:tcPr>
            <w:tcW w:type="dxa" w:w="25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Solution</w:t>
            </w:r>
          </w:p>
        </w:tc>
        <w:tc>
          <w:tcPr>
            <w:tcW w:type="dxa" w:w="171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Time Saved</w:t>
            </w:r>
          </w:p>
        </w:tc>
        <w:tc>
          <w:tcPr>
            <w:tcW w:type="dxa" w:w="171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Cost Impact</w:t>
            </w:r>
          </w:p>
        </w:tc>
        <w:tc>
          <w:tcPr>
            <w:tcW w:type="dxa" w:w="171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Revenue Lift</w:t>
            </w:r>
          </w:p>
        </w:tc>
        <w:tc>
          <w:tcPr>
            <w:tcW w:type="dxa" w:w="171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r>
              <w:rPr>
                <w:rFonts w:ascii="Arial" w:cs="Arial" w:eastAsia="Arial" w:hAnsi="Arial"/>
                <w:b/>
                <w:bCs/>
                <w:color w:val="FFFFFF"/>
                <w:sz w:val="21"/>
                <w:szCs w:val="21"/>
              </w:rPr>
              <w:t xml:space="preserve">Scalability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CRM &amp; Lead Intelligence</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High – eliminates manual follow-up</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Reduces lead leakage</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15–25% more closed deals</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Supports team growth</w:t>
            </w:r>
          </w:p>
        </w:tc>
      </w:tr>
      <w:tr>
        <w:tc>
          <w:tcPr>
            <w:tcW w:type="dxa" w:w="25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International Buyer Portal</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High – remote journey removes travel dependency</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Reduces per-client onboarding time</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Unlocks 50%+ intl. pipeline</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Global reach, 24/7</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Automated Outreach Engine</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Medium – saves manual email drafting</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Low cost to build and run</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Increases repeat &amp; referral rate</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Scales with list size</w:t>
            </w:r>
          </w:p>
        </w:tc>
      </w:tr>
      <w:tr>
        <w:tc>
          <w:tcPr>
            <w:tcW w:type="dxa" w:w="25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Deal Room &amp; Transaction Tracker</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Very High – cuts coordination time per deal</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Reduces attorney back-and-forth</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Faster close = more deals/year</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Handles higher deal volume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Multilingual SEO Engine</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Medium – automates listing copy</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Reduces content production cost</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New organic international leads</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Compounds over time</w:t>
            </w:r>
          </w:p>
        </w:tc>
      </w:tr>
      <w:tr>
        <w:tc>
          <w:tcPr>
            <w:tcW w:type="dxa" w:w="25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Investor Intelligence Dashboard</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High – removes manual reporting</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Replaces custom report labour</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Deepens advisory relationships</w:t>
            </w:r>
          </w:p>
        </w:tc>
        <w:tc>
          <w:tcPr>
            <w:tcW w:type="dxa" w:w="171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Scales with portfolio size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Agent Analytics Platform</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Medium – automates daily reporting</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Identifies underperforming spend</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Improves agent efficiency</w:t>
            </w:r>
          </w:p>
        </w:tc>
        <w:tc>
          <w:tcPr>
            <w:tcW w:type="dxa" w:w="17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A5A5A"/>
                <w:sz w:val="21"/>
                <w:szCs w:val="21"/>
              </w:rPr>
              <w:t xml:space="preserve">Supports growing agent team</w:t>
            </w:r>
          </w:p>
        </w:tc>
      </w:tr>
    </w:tbl>
    <w:p>
      <w:pPr>
        <w:spacing w:after="0" w:before="200"/>
      </w:pPr>
      <w:r>
        <w:t xml:space="preserve"/>
      </w:r>
    </w:p>
    <w:p>
      <w:pPr>
        <w:spacing w:after="160"/>
      </w:pPr>
      <w:r>
        <w:rPr>
          <w:rFonts w:ascii="Arial" w:cs="Arial" w:eastAsia="Arial" w:hAnsi="Arial"/>
          <w:b w:val="false"/>
          <w:bCs w:val="false"/>
          <w:color w:val="5A5A5A"/>
          <w:sz w:val="22"/>
          <w:szCs w:val="22"/>
        </w:rPr>
        <w:t xml:space="preserve">Collectively, these seven solutions address the firm's four most acute growth constraints: international client friction, manual coordination overhead, lead follow-up gaps, and absence of business intelligence. When implemented together, they are projected to support a 30–40% increase in annual transaction volume without a proportional increase in headcount — a critical outcome for a boutique firm with a deliberate commitment to personal service.</w:t>
      </w:r>
    </w:p>
    <w:p>
      <w:pPr>
        <w:spacing w:after="0" w:before="120"/>
      </w:pPr>
      <w:r>
        <w:t xml:space="preserve"/>
      </w:r>
    </w:p>
    <w:p>
      <w:pPr>
        <w:pStyle w:val="Heading1"/>
        <w:spacing w:after="120" w:before="360"/>
      </w:pPr>
      <w:r>
        <w:rPr>
          <w:rFonts w:ascii="Arial" w:cs="Arial" w:eastAsia="Arial" w:hAnsi="Arial"/>
          <w:b/>
          <w:bCs/>
          <w:color w:val="1B2A4A"/>
          <w:sz w:val="36"/>
          <w:szCs w:val="36"/>
        </w:rPr>
        <w:t xml:space="preserve">6. Implementation Recommendations</w:t>
      </w:r>
    </w:p>
    <w:p>
      <w:pPr>
        <w:pBdr>
          <w:bottom w:val="single" w:color="B8960C" w:sz="6" w:space="1"/>
        </w:pBdr>
        <w:spacing w:after="240"/>
      </w:pPr>
    </w:p>
    <w:p>
      <w:pPr>
        <w:spacing w:after="160"/>
      </w:pPr>
      <w:r>
        <w:rPr>
          <w:rFonts w:ascii="Arial" w:cs="Arial" w:eastAsia="Arial" w:hAnsi="Arial"/>
          <w:b w:val="false"/>
          <w:bCs w:val="false"/>
          <w:color w:val="5A5A5A"/>
          <w:sz w:val="22"/>
          <w:szCs w:val="22"/>
        </w:rPr>
        <w:t xml:space="preserve">The roadmap below is structured across three phases: Quick Wins (0–3 months), Core Infrastructure (3–9 months), and Advanced Capabilities (9–18 months). Prioritisation is based on impact-to-effort ratio, with the highest-friction operational gaps addressed first.</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Phase 1 — Quick Wins (Months 0–3)</w:t>
      </w:r>
    </w:p>
    <w:p>
      <w:pPr>
        <w:spacing w:after="80" w:before="200"/>
      </w:pPr>
      <w:r>
        <w:rPr>
          <w:rFonts w:ascii="Arial" w:cs="Arial" w:eastAsia="Arial" w:hAnsi="Arial"/>
          <w:b/>
          <w:bCs/>
          <w:color w:val="1B2A4A"/>
          <w:sz w:val="24"/>
          <w:szCs w:val="24"/>
        </w:rPr>
        <w:t xml:space="preserve">Priority 1: CRM &amp; Lead Intelligence Module</w:t>
      </w:r>
    </w:p>
    <w:p>
      <w:pPr>
        <w:spacing w:after="160"/>
      </w:pPr>
      <w:r>
        <w:rPr>
          <w:rFonts w:ascii="Arial" w:cs="Arial" w:eastAsia="Arial" w:hAnsi="Arial"/>
          <w:b w:val="false"/>
          <w:bCs w:val="false"/>
          <w:color w:val="5A5A5A"/>
          <w:sz w:val="22"/>
          <w:szCs w:val="22"/>
        </w:rPr>
        <w:t xml:space="preserve">Begin with a lightweight CRM built into the carinigroup.com admin backend. Capture all inbound enquiries, log source, assign stage, and trigger a basic email auto-response with personalised property suggestions. This alone will eliminate lead leakage and provide the data foundation for all subsequent modules.</w:t>
      </w:r>
    </w:p>
    <w:p>
      <w:pPr>
        <w:pStyle w:val="ListParagraph"/>
        <w:numPr>
          <w:ilvl w:val="0"/>
          <w:numId w:val="2"/>
        </w:numPr>
      </w:pPr>
      <w:r>
        <w:rPr>
          <w:rFonts w:ascii="Arial" w:cs="Arial" w:eastAsia="Arial" w:hAnsi="Arial"/>
          <w:color w:val="5A5A5A"/>
          <w:sz w:val="22"/>
          <w:szCs w:val="22"/>
        </w:rPr>
        <w:t xml:space="preserve">Effort: Medium | Impact: Very High | Dependency: None</w:t>
      </w:r>
    </w:p>
    <w:p>
      <w:pPr>
        <w:pStyle w:val="ListParagraph"/>
        <w:numPr>
          <w:ilvl w:val="0"/>
          <w:numId w:val="2"/>
        </w:numPr>
      </w:pPr>
      <w:r>
        <w:rPr>
          <w:rFonts w:ascii="Arial" w:cs="Arial" w:eastAsia="Arial" w:hAnsi="Arial"/>
          <w:color w:val="5A5A5A"/>
          <w:sz w:val="22"/>
          <w:szCs w:val="22"/>
        </w:rPr>
        <w:t xml:space="preserve">Deliverable: CRM live, all new leads captured and staged within 30 days.</w:t>
      </w:r>
    </w:p>
    <w:p>
      <w:pPr>
        <w:spacing w:after="0" w:before="100"/>
      </w:pPr>
      <w:r>
        <w:t xml:space="preserve"/>
      </w:r>
    </w:p>
    <w:p>
      <w:pPr>
        <w:spacing w:after="80" w:before="200"/>
      </w:pPr>
      <w:r>
        <w:rPr>
          <w:rFonts w:ascii="Arial" w:cs="Arial" w:eastAsia="Arial" w:hAnsi="Arial"/>
          <w:b/>
          <w:bCs/>
          <w:color w:val="1B2A4A"/>
          <w:sz w:val="24"/>
          <w:szCs w:val="24"/>
        </w:rPr>
        <w:t xml:space="preserve">Priority 2: Multilingual SEO &amp; Listing Copy Engine</w:t>
      </w:r>
    </w:p>
    <w:p>
      <w:pPr>
        <w:spacing w:after="160"/>
      </w:pPr>
      <w:r>
        <w:rPr>
          <w:rFonts w:ascii="Arial" w:cs="Arial" w:eastAsia="Arial" w:hAnsi="Arial"/>
          <w:b w:val="false"/>
          <w:bCs w:val="false"/>
          <w:color w:val="5A5A5A"/>
          <w:sz w:val="22"/>
          <w:szCs w:val="22"/>
        </w:rPr>
        <w:t xml:space="preserve">Integrate an AI-assisted (self-hosted) listing description generator into the existing listing upload workflow. Auto-generate English, Italian, and Spanish copy for every new listing. Apply structured data markup across all property pages. Begin neighbourhood guide build-out.</w:t>
      </w:r>
    </w:p>
    <w:p>
      <w:pPr>
        <w:pStyle w:val="ListParagraph"/>
        <w:numPr>
          <w:ilvl w:val="0"/>
          <w:numId w:val="2"/>
        </w:numPr>
      </w:pPr>
      <w:r>
        <w:rPr>
          <w:rFonts w:ascii="Arial" w:cs="Arial" w:eastAsia="Arial" w:hAnsi="Arial"/>
          <w:color w:val="5A5A5A"/>
          <w:sz w:val="22"/>
          <w:szCs w:val="22"/>
        </w:rPr>
        <w:t xml:space="preserve">Effort: Low–Medium | Impact: High (compounds over 6–12 months) | Dependency: CMS access</w:t>
      </w:r>
    </w:p>
    <w:p>
      <w:pPr>
        <w:pStyle w:val="ListParagraph"/>
        <w:numPr>
          <w:ilvl w:val="0"/>
          <w:numId w:val="2"/>
        </w:numPr>
      </w:pPr>
      <w:r>
        <w:rPr>
          <w:rFonts w:ascii="Arial" w:cs="Arial" w:eastAsia="Arial" w:hAnsi="Arial"/>
          <w:color w:val="5A5A5A"/>
          <w:sz w:val="22"/>
          <w:szCs w:val="22"/>
        </w:rPr>
        <w:t xml:space="preserve">Deliverable: All new listings published in 3 languages; structured data deployed sitewide.</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Phase 2 — Core Infrastructure (Months 3–9)</w:t>
      </w:r>
    </w:p>
    <w:p>
      <w:pPr>
        <w:spacing w:after="80" w:before="200"/>
      </w:pPr>
      <w:r>
        <w:rPr>
          <w:rFonts w:ascii="Arial" w:cs="Arial" w:eastAsia="Arial" w:hAnsi="Arial"/>
          <w:b/>
          <w:bCs/>
          <w:color w:val="1B2A4A"/>
          <w:sz w:val="24"/>
          <w:szCs w:val="24"/>
        </w:rPr>
        <w:t xml:space="preserve">Priority 3: International Buyer Digital Portal</w:t>
      </w:r>
    </w:p>
    <w:p>
      <w:pPr>
        <w:spacing w:after="160"/>
      </w:pPr>
      <w:r>
        <w:rPr>
          <w:rFonts w:ascii="Arial" w:cs="Arial" w:eastAsia="Arial" w:hAnsi="Arial"/>
          <w:b w:val="false"/>
          <w:bCs w:val="false"/>
          <w:color w:val="5A5A5A"/>
          <w:sz w:val="22"/>
          <w:szCs w:val="22"/>
        </w:rPr>
        <w:t xml:space="preserve">Build the multilingual buyer portal with virtual tour API integration, neighbourhood intelligence hub, timezone-aware consultation booking, and document upload room. Launch in English and Italian first; Spanish in the following sprint.</w:t>
      </w:r>
    </w:p>
    <w:p>
      <w:pPr>
        <w:pStyle w:val="ListParagraph"/>
        <w:numPr>
          <w:ilvl w:val="0"/>
          <w:numId w:val="2"/>
        </w:numPr>
      </w:pPr>
      <w:r>
        <w:rPr>
          <w:rFonts w:ascii="Arial" w:cs="Arial" w:eastAsia="Arial" w:hAnsi="Arial"/>
          <w:color w:val="5A5A5A"/>
          <w:sz w:val="22"/>
          <w:szCs w:val="22"/>
        </w:rPr>
        <w:t xml:space="preserve">Effort: High | Impact: Very High | Dependency: CRM (for lead capture integration)</w:t>
      </w:r>
    </w:p>
    <w:p>
      <w:pPr>
        <w:pStyle w:val="ListParagraph"/>
        <w:numPr>
          <w:ilvl w:val="0"/>
          <w:numId w:val="2"/>
        </w:numPr>
      </w:pPr>
      <w:r>
        <w:rPr>
          <w:rFonts w:ascii="Arial" w:cs="Arial" w:eastAsia="Arial" w:hAnsi="Arial"/>
          <w:color w:val="5A5A5A"/>
          <w:sz w:val="22"/>
          <w:szCs w:val="22"/>
        </w:rPr>
        <w:t xml:space="preserve">Deliverable: Portal live for international buyers; consultation bookings trackable in CRM.</w:t>
      </w:r>
    </w:p>
    <w:p>
      <w:pPr>
        <w:spacing w:after="0" w:before="100"/>
      </w:pPr>
      <w:r>
        <w:t xml:space="preserve"/>
      </w:r>
    </w:p>
    <w:p>
      <w:pPr>
        <w:spacing w:after="80" w:before="200"/>
      </w:pPr>
      <w:r>
        <w:rPr>
          <w:rFonts w:ascii="Arial" w:cs="Arial" w:eastAsia="Arial" w:hAnsi="Arial"/>
          <w:b/>
          <w:bCs/>
          <w:color w:val="1B2A4A"/>
          <w:sz w:val="24"/>
          <w:szCs w:val="24"/>
        </w:rPr>
        <w:t xml:space="preserve">Priority 4: Deal Room &amp; Transaction Tracker</w:t>
      </w:r>
    </w:p>
    <w:p>
      <w:pPr>
        <w:spacing w:after="160"/>
      </w:pPr>
      <w:r>
        <w:rPr>
          <w:rFonts w:ascii="Arial" w:cs="Arial" w:eastAsia="Arial" w:hAnsi="Arial"/>
          <w:b w:val="false"/>
          <w:bCs w:val="false"/>
          <w:color w:val="5A5A5A"/>
          <w:sz w:val="22"/>
          <w:szCs w:val="22"/>
        </w:rPr>
        <w:t xml:space="preserve">Deploy the per-transaction deal room. Begin with the five most active deal types: buyer purchase, seller listing, standard rental, commercial lease, and investor acquisition. Onboard external attorneys and title companies progressively.</w:t>
      </w:r>
    </w:p>
    <w:p>
      <w:pPr>
        <w:pStyle w:val="ListParagraph"/>
        <w:numPr>
          <w:ilvl w:val="0"/>
          <w:numId w:val="2"/>
        </w:numPr>
      </w:pPr>
      <w:r>
        <w:rPr>
          <w:rFonts w:ascii="Arial" w:cs="Arial" w:eastAsia="Arial" w:hAnsi="Arial"/>
          <w:color w:val="5A5A5A"/>
          <w:sz w:val="22"/>
          <w:szCs w:val="22"/>
        </w:rPr>
        <w:t xml:space="preserve">Effort: High | Impact: Very High | Dependency: Client authentication module</w:t>
      </w:r>
    </w:p>
    <w:p>
      <w:pPr>
        <w:pStyle w:val="ListParagraph"/>
        <w:numPr>
          <w:ilvl w:val="0"/>
          <w:numId w:val="2"/>
        </w:numPr>
      </w:pPr>
      <w:r>
        <w:rPr>
          <w:rFonts w:ascii="Arial" w:cs="Arial" w:eastAsia="Arial" w:hAnsi="Arial"/>
          <w:color w:val="5A5A5A"/>
          <w:sz w:val="22"/>
          <w:szCs w:val="22"/>
        </w:rPr>
        <w:t xml:space="preserve">Deliverable: All active deals managed through the deal room within 60 days of launch.</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Phase 3 — Advanced Capabilities (Months 9–18)</w:t>
      </w:r>
    </w:p>
    <w:p>
      <w:pPr>
        <w:spacing w:after="80" w:before="200"/>
      </w:pPr>
      <w:r>
        <w:rPr>
          <w:rFonts w:ascii="Arial" w:cs="Arial" w:eastAsia="Arial" w:hAnsi="Arial"/>
          <w:b/>
          <w:bCs/>
          <w:color w:val="1B2A4A"/>
          <w:sz w:val="24"/>
          <w:szCs w:val="24"/>
        </w:rPr>
        <w:t xml:space="preserve">Priority 5: Automated Multilingual Outreach Engine</w:t>
      </w:r>
    </w:p>
    <w:p>
      <w:pPr>
        <w:spacing w:after="160"/>
      </w:pPr>
      <w:r>
        <w:rPr>
          <w:rFonts w:ascii="Arial" w:cs="Arial" w:eastAsia="Arial" w:hAnsi="Arial"/>
          <w:b w:val="false"/>
          <w:bCs w:val="false"/>
          <w:color w:val="5A5A5A"/>
          <w:sz w:val="22"/>
          <w:szCs w:val="22"/>
        </w:rPr>
        <w:t xml:space="preserve">Build and activate the post-closing re-engagement sequences, new listing alert engine, and multilingual newsletter system. Integrate with the CRM for dynamic segmentation.</w:t>
      </w:r>
    </w:p>
    <w:p>
      <w:pPr>
        <w:pStyle w:val="ListParagraph"/>
        <w:numPr>
          <w:ilvl w:val="0"/>
          <w:numId w:val="2"/>
        </w:numPr>
      </w:pPr>
      <w:r>
        <w:rPr>
          <w:rFonts w:ascii="Arial" w:cs="Arial" w:eastAsia="Arial" w:hAnsi="Arial"/>
          <w:color w:val="5A5A5A"/>
          <w:sz w:val="22"/>
          <w:szCs w:val="22"/>
        </w:rPr>
        <w:t xml:space="preserve">Effort: Medium | Impact: High | Dependency: CRM, email infrastructure</w:t>
      </w:r>
    </w:p>
    <w:p>
      <w:pPr>
        <w:spacing w:after="0" w:before="100"/>
      </w:pPr>
      <w:r>
        <w:t xml:space="preserve"/>
      </w:r>
    </w:p>
    <w:p>
      <w:pPr>
        <w:spacing w:after="80" w:before="200"/>
      </w:pPr>
      <w:r>
        <w:rPr>
          <w:rFonts w:ascii="Arial" w:cs="Arial" w:eastAsia="Arial" w:hAnsi="Arial"/>
          <w:b/>
          <w:bCs/>
          <w:color w:val="1B2A4A"/>
          <w:sz w:val="24"/>
          <w:szCs w:val="24"/>
        </w:rPr>
        <w:t xml:space="preserve">Priority 6: Investor Intelligence Dashboard</w:t>
      </w:r>
    </w:p>
    <w:p>
      <w:pPr>
        <w:spacing w:after="160"/>
      </w:pPr>
      <w:r>
        <w:rPr>
          <w:rFonts w:ascii="Arial" w:cs="Arial" w:eastAsia="Arial" w:hAnsi="Arial"/>
          <w:b w:val="false"/>
          <w:bCs w:val="false"/>
          <w:color w:val="5A5A5A"/>
          <w:sz w:val="22"/>
          <w:szCs w:val="22"/>
        </w:rPr>
        <w:t xml:space="preserve">Build the private investor portal for recurring advisory clients. Prioritise portfolio overview, market comparables engine, and ROI calculator in the first release; 1031 pipeline tools in a subsequent sprint.</w:t>
      </w:r>
    </w:p>
    <w:p>
      <w:pPr>
        <w:pStyle w:val="ListParagraph"/>
        <w:numPr>
          <w:ilvl w:val="0"/>
          <w:numId w:val="2"/>
        </w:numPr>
      </w:pPr>
      <w:r>
        <w:rPr>
          <w:rFonts w:ascii="Arial" w:cs="Arial" w:eastAsia="Arial" w:hAnsi="Arial"/>
          <w:color w:val="5A5A5A"/>
          <w:sz w:val="22"/>
          <w:szCs w:val="22"/>
        </w:rPr>
        <w:t xml:space="preserve">Effort: High | Impact: High | Dependency: RLS API access, deal room data</w:t>
      </w:r>
    </w:p>
    <w:p>
      <w:pPr>
        <w:spacing w:after="0" w:before="100"/>
      </w:pPr>
      <w:r>
        <w:t xml:space="preserve"/>
      </w:r>
    </w:p>
    <w:p>
      <w:pPr>
        <w:spacing w:after="80" w:before="200"/>
      </w:pPr>
      <w:r>
        <w:rPr>
          <w:rFonts w:ascii="Arial" w:cs="Arial" w:eastAsia="Arial" w:hAnsi="Arial"/>
          <w:b/>
          <w:bCs/>
          <w:color w:val="1B2A4A"/>
          <w:sz w:val="24"/>
          <w:szCs w:val="24"/>
        </w:rPr>
        <w:t xml:space="preserve">Priority 7: Agent Analytics Platform</w:t>
      </w:r>
    </w:p>
    <w:p>
      <w:pPr>
        <w:spacing w:after="160"/>
      </w:pPr>
      <w:r>
        <w:rPr>
          <w:rFonts w:ascii="Arial" w:cs="Arial" w:eastAsia="Arial" w:hAnsi="Arial"/>
          <w:b w:val="false"/>
          <w:bCs w:val="false"/>
          <w:color w:val="5A5A5A"/>
          <w:sz w:val="22"/>
          <w:szCs w:val="22"/>
        </w:rPr>
        <w:t xml:space="preserve">Deploy the internal agent dashboard. Automate the daily briefing, lead attribution reports, and commission forecast. This phase assumes the team has grown and data has accumulated across the preceding modules.</w:t>
      </w:r>
    </w:p>
    <w:p>
      <w:pPr>
        <w:pStyle w:val="ListParagraph"/>
        <w:numPr>
          <w:ilvl w:val="0"/>
          <w:numId w:val="2"/>
        </w:numPr>
      </w:pPr>
      <w:r>
        <w:rPr>
          <w:rFonts w:ascii="Arial" w:cs="Arial" w:eastAsia="Arial" w:hAnsi="Arial"/>
          <w:color w:val="5A5A5A"/>
          <w:sz w:val="22"/>
          <w:szCs w:val="22"/>
        </w:rPr>
        <w:t xml:space="preserve">Effort: Medium | Impact: Medium–High | Dependency: CRM, deal room, outreach engine data</w:t>
      </w:r>
    </w:p>
    <w:p>
      <w:pPr>
        <w:spacing w:after="0" w:before="120"/>
      </w:pPr>
      <w:r>
        <w:t xml:space="preserve"/>
      </w:r>
    </w:p>
    <w:p>
      <w:pPr>
        <w:pStyle w:val="Heading1"/>
        <w:spacing w:after="120" w:before="360"/>
      </w:pPr>
      <w:r>
        <w:rPr>
          <w:rFonts w:ascii="Arial" w:cs="Arial" w:eastAsia="Arial" w:hAnsi="Arial"/>
          <w:b/>
          <w:bCs/>
          <w:color w:val="1B2A4A"/>
          <w:sz w:val="36"/>
          <w:szCs w:val="36"/>
        </w:rPr>
        <w:t xml:space="preserve">7. Conclusion &amp; Next Steps</w:t>
      </w:r>
    </w:p>
    <w:p>
      <w:pPr>
        <w:pBdr>
          <w:bottom w:val="single" w:color="B8960C" w:sz="6" w:space="1"/>
        </w:pBdr>
        <w:spacing w:after="240"/>
      </w:pPr>
    </w:p>
    <w:p>
      <w:pPr>
        <w:spacing w:after="160"/>
      </w:pPr>
      <w:r>
        <w:rPr>
          <w:rFonts w:ascii="Arial" w:cs="Arial" w:eastAsia="Arial" w:hAnsi="Arial"/>
          <w:b w:val="false"/>
          <w:bCs w:val="false"/>
          <w:color w:val="5A5A5A"/>
          <w:sz w:val="22"/>
          <w:szCs w:val="22"/>
        </w:rPr>
        <w:t xml:space="preserve">Carini Group is a high-performance boutique brokerage with a demonstrably differentiated market position — international reach, multilingual service, and a founder brand that generates consistent inbound demand through media and referrals. Its current operational model is effective at the present team size and deal volume, but is not structured to scale without digital infrastructure.</w:t>
      </w:r>
    </w:p>
    <w:p>
      <w:pPr>
        <w:spacing w:after="0" w:before="120"/>
      </w:pPr>
      <w:r>
        <w:t xml:space="preserve"/>
      </w:r>
    </w:p>
    <w:p>
      <w:pPr>
        <w:spacing w:after="160"/>
      </w:pPr>
      <w:r>
        <w:rPr>
          <w:rFonts w:ascii="Arial" w:cs="Arial" w:eastAsia="Arial" w:hAnsi="Arial"/>
          <w:b w:val="false"/>
          <w:bCs w:val="false"/>
          <w:color w:val="5A5A5A"/>
          <w:sz w:val="22"/>
          <w:szCs w:val="22"/>
        </w:rPr>
        <w:t xml:space="preserve">The seven digital solutions recommended in this report are designed to remove the firm's three primary growth constraints: the inability to serve international clients efficiently at scale; the operational overhead of coordinating complex multi-party transactions manually; and the absence of systematic lead nurture and client retention tools.</w:t>
      </w:r>
    </w:p>
    <w:p>
      <w:pPr>
        <w:spacing w:after="0" w:before="120"/>
      </w:pPr>
      <w:r>
        <w:t xml:space="preserve"/>
      </w:r>
    </w:p>
    <w:p>
      <w:pPr>
        <w:spacing w:after="160"/>
      </w:pPr>
      <w:r>
        <w:rPr>
          <w:rFonts w:ascii="Arial" w:cs="Arial" w:eastAsia="Arial" w:hAnsi="Arial"/>
          <w:b w:val="false"/>
          <w:bCs w:val="false"/>
          <w:color w:val="5A5A5A"/>
          <w:sz w:val="22"/>
          <w:szCs w:val="22"/>
        </w:rPr>
        <w:t xml:space="preserve">Critically, every solution recommended is a proprietary, owned asset built within or connected to carinigroup.com. This preserves Carini Group's independence, protects its client data, and reinforces — rather than dilutes — its boutique brand identity. The web platform becomes the central operating system for the business, not a marketing afterthought.</w:t>
      </w:r>
    </w:p>
    <w:p>
      <w:pPr>
        <w:spacing w:after="0" w:before="120"/>
      </w:pPr>
      <w:r>
        <w:t xml:space="preserve"/>
      </w:r>
    </w:p>
    <w:p>
      <w:pPr>
        <w:pStyle w:val="Heading2"/>
        <w:spacing w:after="100" w:before="280"/>
      </w:pPr>
      <w:r>
        <w:rPr>
          <w:rFonts w:ascii="Arial" w:cs="Arial" w:eastAsia="Arial" w:hAnsi="Arial"/>
          <w:b/>
          <w:bCs/>
          <w:color w:val="2E5FA3"/>
          <w:sz w:val="28"/>
          <w:szCs w:val="28"/>
        </w:rPr>
        <w:t xml:space="preserve">Immediate Next Steps</w:t>
      </w:r>
    </w:p>
    <w:p>
      <w:pPr>
        <w:pStyle w:val="ListParagraph"/>
        <w:numPr>
          <w:ilvl w:val="0"/>
          <w:numId w:val="2"/>
        </w:numPr>
      </w:pPr>
      <w:r>
        <w:rPr>
          <w:rFonts w:ascii="Arial" w:cs="Arial" w:eastAsia="Arial" w:hAnsi="Arial"/>
          <w:color w:val="5A5A5A"/>
          <w:sz w:val="22"/>
          <w:szCs w:val="22"/>
        </w:rPr>
        <w:t xml:space="preserve">Appoint a web development partner to conduct a technical audit of carinigroup.com's existing CMS and backend architecture.</w:t>
      </w:r>
    </w:p>
    <w:p>
      <w:pPr>
        <w:pStyle w:val="ListParagraph"/>
        <w:numPr>
          <w:ilvl w:val="0"/>
          <w:numId w:val="2"/>
        </w:numPr>
      </w:pPr>
      <w:r>
        <w:rPr>
          <w:rFonts w:ascii="Arial" w:cs="Arial" w:eastAsia="Arial" w:hAnsi="Arial"/>
          <w:color w:val="5A5A5A"/>
          <w:sz w:val="22"/>
          <w:szCs w:val="22"/>
        </w:rPr>
        <w:t xml:space="preserve">Define CRM data schema: agree on the lead fields, pipeline stages, and language/source tagging conventions required before build.</w:t>
      </w:r>
    </w:p>
    <w:p>
      <w:pPr>
        <w:pStyle w:val="ListParagraph"/>
        <w:numPr>
          <w:ilvl w:val="0"/>
          <w:numId w:val="2"/>
        </w:numPr>
      </w:pPr>
      <w:r>
        <w:rPr>
          <w:rFonts w:ascii="Arial" w:cs="Arial" w:eastAsia="Arial" w:hAnsi="Arial"/>
          <w:color w:val="5A5A5A"/>
          <w:sz w:val="22"/>
          <w:szCs w:val="22"/>
        </w:rPr>
        <w:t xml:space="preserve">Prioritise Phase 1 delivery: CRM module and multilingual listing copy engine can be scoped and delivered within 30–60 days.</w:t>
      </w:r>
    </w:p>
    <w:p>
      <w:pPr>
        <w:pStyle w:val="ListParagraph"/>
        <w:numPr>
          <w:ilvl w:val="0"/>
          <w:numId w:val="2"/>
        </w:numPr>
      </w:pPr>
      <w:r>
        <w:rPr>
          <w:rFonts w:ascii="Arial" w:cs="Arial" w:eastAsia="Arial" w:hAnsi="Arial"/>
          <w:color w:val="5A5A5A"/>
          <w:sz w:val="22"/>
          <w:szCs w:val="22"/>
        </w:rPr>
        <w:t xml:space="preserve">RLS API access review: confirm data rights and API capabilities for pulling live listing data into custom-built modules.</w:t>
      </w:r>
    </w:p>
    <w:p>
      <w:pPr>
        <w:pStyle w:val="ListParagraph"/>
        <w:numPr>
          <w:ilvl w:val="0"/>
          <w:numId w:val="2"/>
        </w:numPr>
      </w:pPr>
      <w:r>
        <w:rPr>
          <w:rFonts w:ascii="Arial" w:cs="Arial" w:eastAsia="Arial" w:hAnsi="Arial"/>
          <w:color w:val="5A5A5A"/>
          <w:sz w:val="22"/>
          <w:szCs w:val="22"/>
        </w:rPr>
        <w:t xml:space="preserve">Internal stakeholder alignment: brief Alex Carini, Eddie Lopez, and Vivek S M on the deal room workflow to ensure adoption from Day 1.</w:t>
      </w:r>
    </w:p>
    <w:p>
      <w:pPr>
        <w:spacing w:after="0" w:before="120"/>
      </w:pPr>
      <w:r>
        <w:t xml:space="preserve"/>
      </w:r>
    </w:p>
    <w:p>
      <w:pPr>
        <w:pBdr>
          <w:bottom w:val="single" w:color="1B2A4A" w:sz="6" w:space="1"/>
        </w:pBdr>
        <w:spacing w:after="240"/>
      </w:pPr>
    </w:p>
    <w:p>
      <w:pPr>
        <w:spacing w:after="120" w:before="240"/>
        <w:jc w:val="center"/>
      </w:pPr>
      <w:r>
        <w:rPr>
          <w:rFonts w:ascii="Arial" w:cs="Arial" w:eastAsia="Arial" w:hAnsi="Arial"/>
          <w:b/>
          <w:bCs/>
          <w:color w:val="1B2A4A"/>
          <w:sz w:val="20"/>
          <w:szCs w:val="20"/>
        </w:rPr>
        <w:t xml:space="preserve">Prepared for Carini Group LLC  |  carinigroup.com</w:t>
      </w:r>
    </w:p>
    <w:p>
      <w:pPr>
        <w:spacing w:after="0"/>
        <w:jc w:val="center"/>
      </w:pPr>
      <w:r>
        <w:rPr>
          <w:rFonts w:ascii="Arial" w:cs="Arial" w:eastAsia="Arial" w:hAnsi="Arial"/>
          <w:color w:val="5A5A5A"/>
          <w:sz w:val="20"/>
          <w:szCs w:val="20"/>
        </w:rPr>
        <w:t xml:space="preserve">Alex@CariniGroup.com  |  917-833-4388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4" w:space="1"/>
      </w:pBdr>
      <w:tabs>
        <w:tab w:val="right" w:pos="9026"/>
      </w:tabs>
      <w:spacing w:before="100"/>
    </w:pPr>
    <w:r>
      <w:rPr>
        <w:rFonts w:ascii="Arial" w:cs="Arial" w:eastAsia="Arial" w:hAnsi="Arial"/>
        <w:color w:val="5A5A5A"/>
        <w:sz w:val="18"/>
        <w:szCs w:val="18"/>
      </w:rPr>
      <w:t xml:space="preserve">carinigroup.com  |  March 2026</w:t>
    </w:r>
    <w:r>
      <w:rPr>
        <w:rFonts w:ascii="Arial" w:cs="Arial" w:eastAsia="Arial" w:hAnsi="Arial"/>
        <w:color w:val="5A5A5A"/>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4" w:space="1"/>
      </w:pBdr>
      <w:spacing w:after="100"/>
    </w:pPr>
    <w:r>
      <w:rPr>
        <w:rFonts w:ascii="Arial" w:cs="Arial" w:eastAsia="Arial" w:hAnsi="Arial"/>
        <w:b/>
        <w:bCs/>
        <w:color w:val="1B2A4A"/>
        <w:sz w:val="18"/>
        <w:szCs w:val="18"/>
      </w:rPr>
      <w:t xml:space="preserve">CARINI GROUP  </w:t>
    </w:r>
    <w:r>
      <w:rPr>
        <w:rFonts w:ascii="Arial" w:cs="Arial" w:eastAsia="Arial" w:hAnsi="Arial"/>
        <w:color w:val="5A5A5A"/>
        <w:sz w:val="18"/>
        <w:szCs w:val="18"/>
      </w:rPr>
      <w:t xml:space="preserve">Digital Transformation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2026-03-16T19:27:33.116Z</dcterms:created>
  <dcterms:modified xsi:type="dcterms:W3CDTF">2026-03-16T19:27:33.117Z</dcterms:modified>
</cp:coreProperties>
</file>

<file path=docProps/custom.xml><?xml version="1.0" encoding="utf-8"?>
<Properties xmlns="http://schemas.openxmlformats.org/officeDocument/2006/custom-properties" xmlns:vt="http://schemas.openxmlformats.org/officeDocument/2006/docPropsVTypes"/>
</file>