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640"/>
      </w:pPr>
    </w:p>
    <w:p>
      <w:pPr>
        <w:spacing w:after="120" w:before="0"/>
        <w:jc w:val="center"/>
      </w:pPr>
      <w:r>
        <w:rPr>
          <w:rFonts w:ascii="Arial" w:cs="Arial" w:eastAsia="Arial" w:hAnsi="Arial"/>
          <w:b/>
          <w:bCs/>
          <w:color w:val="2E5E41"/>
          <w:sz w:val="60"/>
          <w:szCs w:val="60"/>
        </w:rPr>
        <w:t xml:space="preserve">Digital Transformation Report</w:t>
      </w:r>
    </w:p>
    <w:p>
      <w:pPr>
        <w:spacing w:after="80" w:before="0"/>
        <w:jc w:val="center"/>
      </w:pPr>
      <w:r>
        <w:rPr>
          <w:rFonts w:ascii="Arial" w:cs="Arial" w:eastAsia="Arial" w:hAnsi="Arial"/>
          <w:b/>
          <w:bCs/>
          <w:color w:val="2A6B5E"/>
          <w:sz w:val="38"/>
          <w:szCs w:val="38"/>
        </w:rPr>
        <w:t xml:space="preserve">A Human Sanctuary</w:t>
      </w:r>
    </w:p>
    <w:p>
      <w:pPr>
        <w:spacing w:after="60" w:before="0"/>
        <w:jc w:val="center"/>
      </w:pPr>
      <w:r>
        <w:rPr>
          <w:rFonts w:ascii="Arial" w:cs="Arial" w:eastAsia="Arial" w:hAnsi="Arial"/>
          <w:color w:val="555555"/>
          <w:sz w:val="24"/>
          <w:szCs w:val="24"/>
        </w:rPr>
        <w:t xml:space="preserve">Idyllwild, California  ·  ahumansanctuary.com</w:t>
      </w:r>
    </w:p>
    <w:p>
      <w:pPr>
        <w:spacing w:after="60" w:before="0"/>
        <w:jc w:val="center"/>
      </w:pPr>
      <w:r>
        <w:rPr>
          <w:rFonts w:ascii="Arial" w:cs="Arial" w:eastAsia="Arial" w:hAnsi="Arial"/>
          <w:i/>
          <w:iCs/>
          <w:color w:val="555555"/>
          <w:sz w:val="20"/>
          <w:szCs w:val="20"/>
        </w:rPr>
        <w:t xml:space="preserve">May 2026  ·  Confidential — For Decision-Maker Review</w:t>
      </w:r>
    </w:p>
    <w:p>
      <w:pPr>
        <w:pBdr>
          <w:bottom w:val="single" w:color="2E5E41" w:sz="4" w:space="1"/>
        </w:pBdr>
        <w:spacing w:after="280" w:before="280"/>
      </w:pPr>
    </w:p>
    <w:p>
      <w:pPr>
        <w:spacing w:after="80" w:before="80"/>
        <w:jc w:val="center"/>
      </w:pPr>
      <w:r>
        <w:rPr>
          <w:rFonts w:ascii="Arial" w:cs="Arial" w:eastAsia="Arial" w:hAnsi="Arial"/>
          <w:i/>
          <w:iCs/>
          <w:color w:val="555555"/>
          <w:sz w:val="22"/>
          <w:szCs w:val="22"/>
        </w:rPr>
        <w:t xml:space="preserve">Prepared to evaluate how custom web services and digital infrastructure can extend A Human Sanctuary's proprietary ecosystem, increase reach, and support the founder's mission-driven growth.</w:t>
      </w:r>
    </w:p>
    <w:p>
      <w:pPr>
        <w:pBdr>
          <w:bottom w:val="single" w:color="CCCCCC" w:sz="4" w:space="1"/>
        </w:pBdr>
        <w:spacing w:after="280" w:before="280"/>
      </w:pPr>
    </w:p>
    <w:p>
      <w:pPr>
        <w:pStyle w:val="Heading1"/>
        <w:pBdr>
          <w:bottom w:val="single" w:color="2E5E41" w:sz="10" w:space="6"/>
        </w:pBdr>
        <w:spacing w:after="160" w:before="560"/>
      </w:pPr>
      <w:r>
        <w:rPr>
          <w:rFonts w:ascii="Arial" w:cs="Arial" w:eastAsia="Arial" w:hAnsi="Arial"/>
          <w:b/>
          <w:bCs/>
          <w:color w:val="2E5E41"/>
          <w:sz w:val="34"/>
          <w:szCs w:val="34"/>
        </w:rPr>
        <w:t xml:space="preserve">Executive Summary</w:t>
      </w:r>
    </w:p>
    <w:p>
      <w:pPr>
        <w:spacing w:after="120" w:before="60"/>
      </w:pPr>
      <w:r>
        <w:rPr>
          <w:rFonts w:ascii="Arial" w:cs="Arial" w:eastAsia="Arial" w:hAnsi="Arial"/>
          <w:color w:val="1E1E1E"/>
          <w:sz w:val="22"/>
          <w:szCs w:val="22"/>
        </w:rPr>
        <w:t xml:space="preserve">A Human Sanctuary is a trauma-informed mental health practice founded by Julie Anne Steiger, LCSW, SEP, operating from a mountain forest setting in Idyllwild, California. Since launching in August 2024, the practice has established a clear and differentiated clinical identity — rare specializations in eco-anxiety, climate grief, somatic healing, and collapse-aware therapy — and is actively developing a suite of community programs, online courses, and a membership platform.</w:t>
      </w:r>
    </w:p>
    <w:p>
      <w:pPr>
        <w:spacing w:after="120" w:before="60"/>
      </w:pPr>
      <w:r>
        <w:rPr>
          <w:rFonts w:ascii="Arial" w:cs="Arial" w:eastAsia="Arial" w:hAnsi="Arial"/>
          <w:color w:val="1E1E1E"/>
          <w:sz w:val="22"/>
          <w:szCs w:val="22"/>
        </w:rPr>
        <w:t xml:space="preserve">The practice's digital presence is foundational but incomplete. The website (ahumansanctuary.com) serves as the primary discovery and conversion channel, yet many pages remain empty, the content strategy is underdeveloped, and several critical user flows — insurance verification, client intake, course enrollment, and membership management — are either manual or absent. The business is scaling its service offerings faster than its digital infrastructure can support.</w:t>
      </w:r>
    </w:p>
    <w:p>
      <w:pPr>
        <w:spacing w:after="120" w:before="60"/>
      </w:pPr>
      <w:r>
        <w:rPr>
          <w:rFonts w:ascii="Arial" w:cs="Arial" w:eastAsia="Arial" w:hAnsi="Arial"/>
          <w:color w:val="1E1E1E"/>
          <w:sz w:val="22"/>
          <w:szCs w:val="22"/>
        </w:rPr>
        <w:t xml:space="preserve">This report identifies the highest-leverage web service opportunities, prioritized by impact and aligned with the practice's mission. All recommendations are designed to be custom-built or API-integrated within the AHS digital ecosystem — reinforcing proprietary ownership and long-term control.</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C" w:val="clear"/>
            <w:tcMar>
              <w:top w:type="dxa" w:w="160"/>
              <w:left w:type="dxa" w:w="200"/>
              <w:bottom w:type="dxa" w:w="160"/>
              <w:right w:type="dxa" w:w="200"/>
            </w:tcMar>
          </w:tcPr>
          <w:p>
            <w:pPr>
              <w:spacing w:after="80" w:before="0"/>
            </w:pPr>
            <w:r>
              <w:rPr>
                <w:rFonts w:ascii="Arial" w:cs="Arial" w:eastAsia="Arial" w:hAnsi="Arial"/>
                <w:b/>
                <w:bCs/>
                <w:color w:val="2E5E41"/>
                <w:sz w:val="22"/>
                <w:szCs w:val="22"/>
              </w:rPr>
              <w:t xml:space="preserve">Key Findings at a Glance</w:t>
            </w:r>
          </w:p>
          <w:p>
            <w:pPr>
              <w:pStyle w:val="ListParagraph"/>
              <w:numPr>
                <w:ilvl w:val="0"/>
                <w:numId w:val="2"/>
              </w:numPr>
              <w:spacing w:after="40" w:before="40"/>
            </w:pPr>
            <w:r>
              <w:rPr>
                <w:rFonts w:ascii="Arial" w:cs="Arial" w:eastAsia="Arial" w:hAnsi="Arial"/>
                <w:color w:val="1E1E1E"/>
                <w:sz w:val="20"/>
                <w:szCs w:val="20"/>
              </w:rPr>
              <w:t xml:space="preserve">The website is the #1 revenue driver — yet most pages have no content and no SEO value</w:t>
            </w:r>
          </w:p>
          <w:p>
            <w:pPr>
              <w:pStyle w:val="ListParagraph"/>
              <w:numPr>
                <w:ilvl w:val="0"/>
                <w:numId w:val="2"/>
              </w:numPr>
              <w:spacing w:after="40" w:before="40"/>
            </w:pPr>
            <w:r>
              <w:rPr>
                <w:rFonts w:ascii="Arial" w:cs="Arial" w:eastAsia="Arial" w:hAnsi="Arial"/>
                <w:color w:val="1E1E1E"/>
                <w:sz w:val="20"/>
                <w:szCs w:val="20"/>
              </w:rPr>
              <w:t xml:space="preserve">The client intake and insurance verification process is manual and creates friction</w:t>
            </w:r>
          </w:p>
          <w:p>
            <w:pPr>
              <w:pStyle w:val="ListParagraph"/>
              <w:numPr>
                <w:ilvl w:val="0"/>
                <w:numId w:val="2"/>
              </w:numPr>
              <w:spacing w:after="40" w:before="40"/>
            </w:pPr>
            <w:r>
              <w:rPr>
                <w:rFonts w:ascii="Arial" w:cs="Arial" w:eastAsia="Arial" w:hAnsi="Arial"/>
                <w:color w:val="1E1E1E"/>
                <w:sz w:val="20"/>
                <w:szCs w:val="20"/>
              </w:rPr>
              <w:t xml:space="preserve">No email marketing system exists — the practice cannot re-engage its growing audience</w:t>
            </w:r>
          </w:p>
          <w:p>
            <w:pPr>
              <w:pStyle w:val="ListParagraph"/>
              <w:numPr>
                <w:ilvl w:val="0"/>
                <w:numId w:val="2"/>
              </w:numPr>
              <w:spacing w:after="40" w:before="40"/>
            </w:pPr>
            <w:r>
              <w:rPr>
                <w:rFonts w:ascii="Arial" w:cs="Arial" w:eastAsia="Arial" w:hAnsi="Arial"/>
                <w:color w:val="1E1E1E"/>
                <w:sz w:val="20"/>
                <w:szCs w:val="20"/>
              </w:rPr>
              <w:t xml:space="preserve">Five revenue programs are in development simultaneously with no digital infrastructure in place</w:t>
            </w:r>
          </w:p>
          <w:p>
            <w:pPr>
              <w:pStyle w:val="ListParagraph"/>
              <w:numPr>
                <w:ilvl w:val="0"/>
                <w:numId w:val="2"/>
              </w:numPr>
              <w:spacing w:after="40" w:before="40"/>
            </w:pPr>
            <w:r>
              <w:rPr>
                <w:rFonts w:ascii="Arial" w:cs="Arial" w:eastAsia="Arial" w:hAnsi="Arial"/>
                <w:color w:val="1E1E1E"/>
                <w:sz w:val="20"/>
                <w:szCs w:val="20"/>
              </w:rPr>
              <w:t xml:space="preserve">The founder is the sole clinician — all growth must be scalable without increasing her clinical hours beyond capacity</w:t>
            </w:r>
          </w:p>
          <w:p>
            <w:pPr>
              <w:pStyle w:val="ListParagraph"/>
              <w:numPr>
                <w:ilvl w:val="0"/>
                <w:numId w:val="2"/>
              </w:numPr>
              <w:spacing w:after="40" w:before="40"/>
            </w:pPr>
            <w:r>
              <w:rPr>
                <w:rFonts w:ascii="Arial" w:cs="Arial" w:eastAsia="Arial" w:hAnsi="Arial"/>
                <w:color w:val="1E1E1E"/>
                <w:sz w:val="20"/>
                <w:szCs w:val="20"/>
              </w:rPr>
              <w:t xml:space="preserve">The eco-anxiety and climate grief specialization is a nationally underserved niche with growing demand</w:t>
            </w:r>
          </w:p>
        </w:tc>
      </w:tr>
    </w:tbl>
    <w:p>
      <w:pPr>
        <w:spacing w:before="120"/>
      </w:pPr>
    </w:p>
    <w:p>
      <w:r>
        <w:br w:type="page"/>
      </w:r>
    </w:p>
    <w:p>
      <w:pPr>
        <w:pStyle w:val="Heading1"/>
        <w:pBdr>
          <w:bottom w:val="single" w:color="2E5E41" w:sz="10" w:space="6"/>
        </w:pBdr>
        <w:spacing w:after="160" w:before="560"/>
      </w:pPr>
      <w:r>
        <w:rPr>
          <w:rFonts w:ascii="Arial" w:cs="Arial" w:eastAsia="Arial" w:hAnsi="Arial"/>
          <w:b/>
          <w:bCs/>
          <w:color w:val="2E5E41"/>
          <w:sz w:val="34"/>
          <w:szCs w:val="34"/>
        </w:rPr>
        <w:t xml:space="preserve">1. Company Overview</w:t>
      </w:r>
    </w:p>
    <w:p>
      <w:pPr>
        <w:pStyle w:val="Heading2"/>
        <w:spacing w:after="100" w:before="320"/>
      </w:pPr>
      <w:r>
        <w:rPr>
          <w:rFonts w:ascii="Arial" w:cs="Arial" w:eastAsia="Arial" w:hAnsi="Arial"/>
          <w:b/>
          <w:bCs/>
          <w:color w:val="2A6B5E"/>
          <w:sz w:val="26"/>
          <w:szCs w:val="26"/>
        </w:rPr>
        <w:t xml:space="preserve">Mission &amp; Vision</w:t>
      </w:r>
    </w:p>
    <w:p>
      <w:pPr>
        <w:spacing w:after="120" w:before="60"/>
      </w:pPr>
      <w:r>
        <w:rPr>
          <w:rFonts w:ascii="Arial" w:cs="Arial" w:eastAsia="Arial" w:hAnsi="Arial"/>
          <w:color w:val="1E1E1E"/>
          <w:sz w:val="22"/>
          <w:szCs w:val="22"/>
        </w:rPr>
        <w:t xml:space="preserve">A Human Sanctuary's mission is to offer trauma-informed, nature-connected healing to people who have not found relief through conventional therapy. The practice envisions becoming a regenerative community hub — one that offers not just individual therapy, but circles, courses, retreats, and membership for people building resilience in the face of personal and planetary uncertainty.</w:t>
      </w:r>
    </w:p>
    <w:p>
      <w:pPr>
        <w:pStyle w:val="Heading2"/>
        <w:spacing w:after="100" w:before="320"/>
      </w:pPr>
      <w:r>
        <w:rPr>
          <w:rFonts w:ascii="Arial" w:cs="Arial" w:eastAsia="Arial" w:hAnsi="Arial"/>
          <w:b/>
          <w:bCs/>
          <w:color w:val="2A6B5E"/>
          <w:sz w:val="26"/>
          <w:szCs w:val="26"/>
        </w:rPr>
        <w:t xml:space="preserve">Products &amp; Services</w:t>
      </w:r>
    </w:p>
    <w:p>
      <w:pPr>
        <w:spacing w:after="120" w:before="60"/>
      </w:pPr>
      <w:r>
        <w:rPr>
          <w:rFonts w:ascii="Arial" w:cs="Arial" w:eastAsia="Arial" w:hAnsi="Arial"/>
          <w:color w:val="1E1E1E"/>
          <w:sz w:val="22"/>
          <w:szCs w:val="22"/>
        </w:rPr>
        <w:t xml:space="preserve">The practice offers a layered suite of services across individual care, professional development, and community:</w:t>
      </w:r>
    </w:p>
    <w:p>
      <w:pPr>
        <w:pStyle w:val="ListParagraph"/>
        <w:numPr>
          <w:ilvl w:val="0"/>
          <w:numId w:val="2"/>
        </w:numPr>
        <w:spacing w:after="40" w:before="40"/>
      </w:pPr>
      <w:r>
        <w:rPr>
          <w:rFonts w:ascii="Arial" w:cs="Arial" w:eastAsia="Arial" w:hAnsi="Arial"/>
          <w:b w:val="false"/>
          <w:bCs w:val="false"/>
          <w:color w:val="1E1E1E"/>
          <w:sz w:val="22"/>
          <w:szCs w:val="22"/>
        </w:rPr>
        <w:t xml:space="preserve">Individual psychotherapy ($180–$250/hr) — trauma, somatic, eco-therapy, expressive arts, EMDR</w:t>
      </w:r>
    </w:p>
    <w:p>
      <w:pPr>
        <w:pStyle w:val="ListParagraph"/>
        <w:numPr>
          <w:ilvl w:val="0"/>
          <w:numId w:val="2"/>
        </w:numPr>
        <w:spacing w:after="40" w:before="40"/>
      </w:pPr>
      <w:r>
        <w:rPr>
          <w:rFonts w:ascii="Arial" w:cs="Arial" w:eastAsia="Arial" w:hAnsi="Arial"/>
          <w:b w:val="false"/>
          <w:bCs w:val="false"/>
          <w:color w:val="1E1E1E"/>
          <w:sz w:val="22"/>
          <w:szCs w:val="22"/>
        </w:rPr>
        <w:t xml:space="preserve">Clinical supervision ($180/session) — for associate therapists in California and Texas</w:t>
      </w:r>
    </w:p>
    <w:p>
      <w:pPr>
        <w:pStyle w:val="ListParagraph"/>
        <w:numPr>
          <w:ilvl w:val="0"/>
          <w:numId w:val="2"/>
        </w:numPr>
        <w:spacing w:after="40" w:before="40"/>
      </w:pPr>
      <w:r>
        <w:rPr>
          <w:rFonts w:ascii="Arial" w:cs="Arial" w:eastAsia="Arial" w:hAnsi="Arial"/>
          <w:b w:val="false"/>
          <w:bCs w:val="false"/>
          <w:color w:val="1E1E1E"/>
          <w:sz w:val="22"/>
          <w:szCs w:val="22"/>
        </w:rPr>
        <w:t xml:space="preserve">Community programs — The Acorn Circle, group workshops, seasonal retreats</w:t>
      </w:r>
    </w:p>
    <w:p>
      <w:pPr>
        <w:pStyle w:val="ListParagraph"/>
        <w:numPr>
          <w:ilvl w:val="0"/>
          <w:numId w:val="2"/>
        </w:numPr>
        <w:spacing w:after="40" w:before="40"/>
      </w:pPr>
      <w:r>
        <w:rPr>
          <w:rFonts w:ascii="Arial" w:cs="Arial" w:eastAsia="Arial" w:hAnsi="Arial"/>
          <w:b w:val="false"/>
          <w:bCs w:val="false"/>
          <w:color w:val="1E1E1E"/>
          <w:sz w:val="22"/>
          <w:szCs w:val="22"/>
        </w:rPr>
        <w:t xml:space="preserve">Trauma intensives &amp; immersives — multi-day healing experiences (in development)</w:t>
      </w:r>
    </w:p>
    <w:p>
      <w:pPr>
        <w:pStyle w:val="ListParagraph"/>
        <w:numPr>
          <w:ilvl w:val="0"/>
          <w:numId w:val="2"/>
        </w:numPr>
        <w:spacing w:after="40" w:before="40"/>
      </w:pPr>
      <w:r>
        <w:rPr>
          <w:rFonts w:ascii="Arial" w:cs="Arial" w:eastAsia="Arial" w:hAnsi="Arial"/>
          <w:b w:val="false"/>
          <w:bCs w:val="false"/>
          <w:color w:val="1E1E1E"/>
          <w:sz w:val="22"/>
          <w:szCs w:val="22"/>
        </w:rPr>
        <w:t xml:space="preserve">Animal-assisted healing — rescue animals integrated into sessions</w:t>
      </w:r>
    </w:p>
    <w:p>
      <w:pPr>
        <w:pStyle w:val="ListParagraph"/>
        <w:numPr>
          <w:ilvl w:val="0"/>
          <w:numId w:val="2"/>
        </w:numPr>
        <w:spacing w:after="40" w:before="40"/>
      </w:pPr>
      <w:r>
        <w:rPr>
          <w:rFonts w:ascii="Arial" w:cs="Arial" w:eastAsia="Arial" w:hAnsi="Arial"/>
          <w:b w:val="false"/>
          <w:bCs w:val="false"/>
          <w:color w:val="1E1E1E"/>
          <w:sz w:val="22"/>
          <w:szCs w:val="22"/>
        </w:rPr>
        <w:t xml:space="preserve">Youth programming — FireKeeper program (in development)</w:t>
      </w:r>
    </w:p>
    <w:p>
      <w:pPr>
        <w:pStyle w:val="ListParagraph"/>
        <w:numPr>
          <w:ilvl w:val="0"/>
          <w:numId w:val="2"/>
        </w:numPr>
        <w:spacing w:after="40" w:before="40"/>
      </w:pPr>
      <w:r>
        <w:rPr>
          <w:rFonts w:ascii="Arial" w:cs="Arial" w:eastAsia="Arial" w:hAnsi="Arial"/>
          <w:b w:val="false"/>
          <w:bCs w:val="false"/>
          <w:color w:val="1E1E1E"/>
          <w:sz w:val="22"/>
          <w:szCs w:val="22"/>
        </w:rPr>
        <w:t xml:space="preserve">Self-led online coursework — eco-resiliency, collapse-aware living (launching mid-2025)</w:t>
      </w:r>
    </w:p>
    <w:p>
      <w:pPr>
        <w:pStyle w:val="ListParagraph"/>
        <w:numPr>
          <w:ilvl w:val="0"/>
          <w:numId w:val="2"/>
        </w:numPr>
        <w:spacing w:after="40" w:before="40"/>
      </w:pPr>
      <w:r>
        <w:rPr>
          <w:rFonts w:ascii="Arial" w:cs="Arial" w:eastAsia="Arial" w:hAnsi="Arial"/>
          <w:b w:val="false"/>
          <w:bCs w:val="false"/>
          <w:color w:val="1E1E1E"/>
          <w:sz w:val="22"/>
          <w:szCs w:val="22"/>
        </w:rPr>
        <w:t xml:space="preserve">AHS Membership — $10–$20/month tiered subscription (in development)</w:t>
      </w:r>
    </w:p>
    <w:p>
      <w:pPr>
        <w:pStyle w:val="Heading2"/>
        <w:spacing w:after="100" w:before="320"/>
      </w:pPr>
      <w:r>
        <w:rPr>
          <w:rFonts w:ascii="Arial" w:cs="Arial" w:eastAsia="Arial" w:hAnsi="Arial"/>
          <w:b/>
          <w:bCs/>
          <w:color w:val="2A6B5E"/>
          <w:sz w:val="26"/>
          <w:szCs w:val="26"/>
        </w:rPr>
        <w:t xml:space="preserve">Market Positioning</w:t>
      </w:r>
    </w:p>
    <w:p>
      <w:pPr>
        <w:spacing w:after="120" w:before="60"/>
      </w:pPr>
      <w:r>
        <w:rPr>
          <w:rFonts w:ascii="Arial" w:cs="Arial" w:eastAsia="Arial" w:hAnsi="Arial"/>
          <w:color w:val="1E1E1E"/>
          <w:sz w:val="22"/>
          <w:szCs w:val="22"/>
        </w:rPr>
        <w:t xml:space="preserve">The practice occupies an intentionally narrow but nationally underserved niche: climate-aware, somatic, trauma-informed therapy in a nature setting. There is no direct local competitor with this combination. The closest competitors are large urban group practices or online therapy platforms that lack the depth, setting, or specialization of AHS.</w:t>
      </w:r>
    </w:p>
    <w:p>
      <w:pPr>
        <w:spacing w:after="120" w:before="60"/>
      </w:pPr>
      <w:r>
        <w:rPr>
          <w:rFonts w:ascii="Arial" w:cs="Arial" w:eastAsia="Arial" w:hAnsi="Arial"/>
          <w:color w:val="1E1E1E"/>
          <w:sz w:val="22"/>
          <w:szCs w:val="22"/>
        </w:rPr>
        <w:t xml:space="preserve">The practice's mountain location in the San Bernardino National Forest is itself a therapeutic differentiator. The founders' training credentials (10+ years EMDR, certified SEP, Ecotherapy, Expressive Arts) are rarely found in a solo practice.</w:t>
      </w:r>
    </w:p>
    <w:p>
      <w:pPr>
        <w:pStyle w:val="Heading2"/>
        <w:spacing w:after="100" w:before="320"/>
      </w:pPr>
      <w:r>
        <w:rPr>
          <w:rFonts w:ascii="Arial" w:cs="Arial" w:eastAsia="Arial" w:hAnsi="Arial"/>
          <w:b/>
          <w:bCs/>
          <w:color w:val="2A6B5E"/>
          <w:sz w:val="26"/>
          <w:szCs w:val="26"/>
        </w:rPr>
        <w:t xml:space="preserve">Key Stakeholders</w:t>
      </w:r>
    </w:p>
    <w:p>
      <w:pPr>
        <w:pStyle w:val="ListParagraph"/>
        <w:numPr>
          <w:ilvl w:val="0"/>
          <w:numId w:val="2"/>
        </w:numPr>
        <w:spacing w:after="40" w:before="40"/>
      </w:pPr>
      <w:r>
        <w:rPr>
          <w:rFonts w:ascii="Arial" w:cs="Arial" w:eastAsia="Arial" w:hAnsi="Arial"/>
          <w:b w:val="false"/>
          <w:bCs w:val="false"/>
          <w:color w:val="1E1E1E"/>
          <w:sz w:val="22"/>
          <w:szCs w:val="22"/>
        </w:rPr>
        <w:t xml:space="preserve">Julie Anne Steiger, LCSW, SEP — Founder, lead clinician, program architect, and primary decision-maker</w:t>
      </w:r>
    </w:p>
    <w:p>
      <w:pPr>
        <w:pStyle w:val="ListParagraph"/>
        <w:numPr>
          <w:ilvl w:val="0"/>
          <w:numId w:val="2"/>
        </w:numPr>
        <w:spacing w:after="40" w:before="40"/>
      </w:pPr>
      <w:r>
        <w:rPr>
          <w:rFonts w:ascii="Arial" w:cs="Arial" w:eastAsia="Arial" w:hAnsi="Arial"/>
          <w:b w:val="false"/>
          <w:bCs w:val="false"/>
          <w:color w:val="1E1E1E"/>
          <w:sz w:val="22"/>
          <w:szCs w:val="22"/>
        </w:rPr>
        <w:t xml:space="preserve">Current therapy clients — adults, teens, and children in California and Texas</w:t>
      </w:r>
    </w:p>
    <w:p>
      <w:pPr>
        <w:pStyle w:val="ListParagraph"/>
        <w:numPr>
          <w:ilvl w:val="0"/>
          <w:numId w:val="2"/>
        </w:numPr>
        <w:spacing w:after="40" w:before="40"/>
      </w:pPr>
      <w:r>
        <w:rPr>
          <w:rFonts w:ascii="Arial" w:cs="Arial" w:eastAsia="Arial" w:hAnsi="Arial"/>
          <w:b w:val="false"/>
          <w:bCs w:val="false"/>
          <w:color w:val="1E1E1E"/>
          <w:sz w:val="22"/>
          <w:szCs w:val="22"/>
        </w:rPr>
        <w:t xml:space="preserve">Associate therapist supervisees — in California (telehealth) and Texas (in-person)</w:t>
      </w:r>
    </w:p>
    <w:p>
      <w:pPr>
        <w:pStyle w:val="ListParagraph"/>
        <w:numPr>
          <w:ilvl w:val="0"/>
          <w:numId w:val="2"/>
        </w:numPr>
        <w:spacing w:after="40" w:before="40"/>
      </w:pPr>
      <w:r>
        <w:rPr>
          <w:rFonts w:ascii="Arial" w:cs="Arial" w:eastAsia="Arial" w:hAnsi="Arial"/>
          <w:b w:val="false"/>
          <w:bCs w:val="false"/>
          <w:color w:val="1E1E1E"/>
          <w:sz w:val="22"/>
          <w:szCs w:val="22"/>
        </w:rPr>
        <w:t xml:space="preserve">Future course participants and community members — the growing AHS audience</w:t>
      </w:r>
    </w:p>
    <w:p>
      <w:pPr>
        <w:pStyle w:val="ListParagraph"/>
        <w:numPr>
          <w:ilvl w:val="0"/>
          <w:numId w:val="2"/>
        </w:numPr>
        <w:spacing w:after="40" w:before="40"/>
      </w:pPr>
      <w:r>
        <w:rPr>
          <w:rFonts w:ascii="Arial" w:cs="Arial" w:eastAsia="Arial" w:hAnsi="Arial"/>
          <w:b w:val="false"/>
          <w:bCs w:val="false"/>
          <w:color w:val="1E1E1E"/>
          <w:sz w:val="22"/>
          <w:szCs w:val="22"/>
        </w:rPr>
        <w:t xml:space="preserve">Insurance carriers — Blue Cross, Cigna, Aetna, United Healthcare, and others currently billed</w:t>
      </w:r>
    </w:p>
    <w:p>
      <w:pPr>
        <w:pStyle w:val="ListParagraph"/>
        <w:numPr>
          <w:ilvl w:val="0"/>
          <w:numId w:val="2"/>
        </w:numPr>
        <w:spacing w:after="40" w:before="40"/>
      </w:pPr>
      <w:r>
        <w:rPr>
          <w:rFonts w:ascii="Arial" w:cs="Arial" w:eastAsia="Arial" w:hAnsi="Arial"/>
          <w:b w:val="false"/>
          <w:bCs w:val="false"/>
          <w:color w:val="1E1E1E"/>
          <w:sz w:val="22"/>
          <w:szCs w:val="22"/>
        </w:rPr>
        <w:t xml:space="preserve">Admin / onboarding team member — supports insurance verification and scheduling</w:t>
      </w:r>
    </w:p>
    <w:p>
      <w:pPr>
        <w:pBdr>
          <w:bottom w:val="single" w:color="CCCCCC" w:sz="4" w:space="1"/>
        </w:pBdr>
        <w:spacing w:after="280" w:before="280"/>
      </w:pPr>
    </w:p>
    <w:p>
      <w:pPr>
        <w:pStyle w:val="Heading1"/>
        <w:pBdr>
          <w:bottom w:val="single" w:color="2E5E41" w:sz="10" w:space="6"/>
        </w:pBdr>
        <w:spacing w:after="160" w:before="560"/>
      </w:pPr>
      <w:r>
        <w:rPr>
          <w:rFonts w:ascii="Arial" w:cs="Arial" w:eastAsia="Arial" w:hAnsi="Arial"/>
          <w:b/>
          <w:bCs/>
          <w:color w:val="2E5E41"/>
          <w:sz w:val="34"/>
          <w:szCs w:val="34"/>
        </w:rPr>
        <w:t xml:space="preserve">2. Operational Workflow</w:t>
      </w:r>
    </w:p>
    <w:p>
      <w:pPr>
        <w:pStyle w:val="Heading2"/>
        <w:spacing w:after="100" w:before="320"/>
      </w:pPr>
      <w:r>
        <w:rPr>
          <w:rFonts w:ascii="Arial" w:cs="Arial" w:eastAsia="Arial" w:hAnsi="Arial"/>
          <w:b/>
          <w:bCs/>
          <w:color w:val="2A6B5E"/>
          <w:sz w:val="26"/>
          <w:szCs w:val="26"/>
        </w:rPr>
        <w:t xml:space="preserve">Client Discovery &amp; Intake</w:t>
      </w:r>
    </w:p>
    <w:p>
      <w:pPr>
        <w:spacing w:after="120" w:before="60"/>
      </w:pPr>
      <w:r>
        <w:rPr>
          <w:rFonts w:ascii="Arial" w:cs="Arial" w:eastAsia="Arial" w:hAnsi="Arial"/>
          <w:color w:val="1E1E1E"/>
          <w:sz w:val="22"/>
          <w:szCs w:val="22"/>
        </w:rPr>
        <w:t xml:space="preserve">A prospective client discovers AHS via the website or word of mouth. They review services and submit a contact form or call. For insurance clients, they upload insurance card images through a web form; a team member verifies coverage manually and responds within 1–2 business days. The client reviews practice policies and books their first session through an online booking page.</w:t>
      </w:r>
    </w:p>
    <w:p>
      <w:pPr>
        <w:pStyle w:val="Heading2"/>
        <w:spacing w:after="100" w:before="320"/>
      </w:pPr>
      <w:r>
        <w:rPr>
          <w:rFonts w:ascii="Arial" w:cs="Arial" w:eastAsia="Arial" w:hAnsi="Arial"/>
          <w:b/>
          <w:bCs/>
          <w:color w:val="2A6B5E"/>
          <w:sz w:val="26"/>
          <w:szCs w:val="26"/>
        </w:rPr>
        <w:t xml:space="preserve">Session Delivery</w:t>
      </w:r>
    </w:p>
    <w:p>
      <w:pPr>
        <w:spacing w:after="120" w:before="60"/>
      </w:pPr>
      <w:r>
        <w:rPr>
          <w:rFonts w:ascii="Arial" w:cs="Arial" w:eastAsia="Arial" w:hAnsi="Arial"/>
          <w:color w:val="1E1E1E"/>
          <w:sz w:val="22"/>
          <w:szCs w:val="22"/>
        </w:rPr>
        <w:t xml:space="preserve">Julie Anne personally delivers all individual psychotherapy and supervision sessions, both in-person at the Idyllwild location and via telehealth. She prepares for each session, documents it in a HIPAA-compliant system, and manages the therapeutic relationship entirely. There is no clinical support staff.</w:t>
      </w:r>
    </w:p>
    <w:p>
      <w:pPr>
        <w:pStyle w:val="Heading2"/>
        <w:spacing w:after="100" w:before="320"/>
      </w:pPr>
      <w:r>
        <w:rPr>
          <w:rFonts w:ascii="Arial" w:cs="Arial" w:eastAsia="Arial" w:hAnsi="Arial"/>
          <w:b/>
          <w:bCs/>
          <w:color w:val="2A6B5E"/>
          <w:sz w:val="26"/>
          <w:szCs w:val="26"/>
        </w:rPr>
        <w:t xml:space="preserve">Community Programs</w:t>
      </w:r>
    </w:p>
    <w:p>
      <w:pPr>
        <w:spacing w:after="120" w:before="60"/>
      </w:pPr>
      <w:r>
        <w:rPr>
          <w:rFonts w:ascii="Arial" w:cs="Arial" w:eastAsia="Arial" w:hAnsi="Arial"/>
          <w:color w:val="1E1E1E"/>
          <w:sz w:val="22"/>
          <w:szCs w:val="22"/>
        </w:rPr>
        <w:t xml:space="preserve">Group circles and workshops are facilitated separately, likely with co-facilitators as the practice scales. Scheduling, enrollment, and payment for these programs are not yet systematized on the website.</w:t>
      </w:r>
    </w:p>
    <w:p>
      <w:pPr>
        <w:pStyle w:val="Heading2"/>
        <w:spacing w:after="100" w:before="320"/>
      </w:pPr>
      <w:r>
        <w:rPr>
          <w:rFonts w:ascii="Arial" w:cs="Arial" w:eastAsia="Arial" w:hAnsi="Arial"/>
          <w:b/>
          <w:bCs/>
          <w:color w:val="2A6B5E"/>
          <w:sz w:val="26"/>
          <w:szCs w:val="26"/>
        </w:rPr>
        <w:t xml:space="preserve">Administrative Operations</w:t>
      </w:r>
    </w:p>
    <w:p>
      <w:pPr>
        <w:spacing w:after="120" w:before="60"/>
      </w:pPr>
      <w:r>
        <w:rPr>
          <w:rFonts w:ascii="Arial" w:cs="Arial" w:eastAsia="Arial" w:hAnsi="Arial"/>
          <w:color w:val="1E1E1E"/>
          <w:sz w:val="22"/>
          <w:szCs w:val="22"/>
        </w:rPr>
        <w:t xml:space="preserve">An onboarding team member handles insurance verification, scheduling inquiries, and initial client communication. Billing and insurance processing occurs monthly. The founder handles all content creation, program development, and strategic planning in addition to her clinical caseload.</w:t>
      </w:r>
    </w:p>
    <w:p>
      <w:pPr>
        <w:pStyle w:val="Heading2"/>
        <w:spacing w:after="100" w:before="320"/>
      </w:pPr>
      <w:r>
        <w:rPr>
          <w:rFonts w:ascii="Arial" w:cs="Arial" w:eastAsia="Arial" w:hAnsi="Arial"/>
          <w:b/>
          <w:bCs/>
          <w:color w:val="2A6B5E"/>
          <w:sz w:val="26"/>
          <w:szCs w:val="26"/>
        </w:rPr>
        <w:t xml:space="preserve">Current Technology Stack</w:t>
      </w:r>
    </w:p>
    <w:p>
      <w:pPr>
        <w:pStyle w:val="ListParagraph"/>
        <w:numPr>
          <w:ilvl w:val="0"/>
          <w:numId w:val="2"/>
        </w:numPr>
        <w:spacing w:after="40" w:before="40"/>
      </w:pPr>
      <w:r>
        <w:rPr>
          <w:rFonts w:ascii="Arial" w:cs="Arial" w:eastAsia="Arial" w:hAnsi="Arial"/>
          <w:b w:val="false"/>
          <w:bCs w:val="false"/>
          <w:color w:val="1E1E1E"/>
          <w:sz w:val="22"/>
          <w:szCs w:val="22"/>
        </w:rPr>
        <w:t xml:space="preserve">Website: ahumansanctuary.com — early-stage, many pages empty</w:t>
      </w:r>
    </w:p>
    <w:p>
      <w:pPr>
        <w:pStyle w:val="ListParagraph"/>
        <w:numPr>
          <w:ilvl w:val="0"/>
          <w:numId w:val="2"/>
        </w:numPr>
        <w:spacing w:after="40" w:before="40"/>
      </w:pPr>
      <w:r>
        <w:rPr>
          <w:rFonts w:ascii="Arial" w:cs="Arial" w:eastAsia="Arial" w:hAnsi="Arial"/>
          <w:b w:val="false"/>
          <w:bCs w:val="false"/>
          <w:color w:val="1E1E1E"/>
          <w:sz w:val="22"/>
          <w:szCs w:val="22"/>
        </w:rPr>
        <w:t xml:space="preserve">Booking system: Online scheduler embedded in the website</w:t>
      </w:r>
    </w:p>
    <w:p>
      <w:pPr>
        <w:pStyle w:val="ListParagraph"/>
        <w:numPr>
          <w:ilvl w:val="0"/>
          <w:numId w:val="2"/>
        </w:numPr>
        <w:spacing w:after="40" w:before="40"/>
      </w:pPr>
      <w:r>
        <w:rPr>
          <w:rFonts w:ascii="Arial" w:cs="Arial" w:eastAsia="Arial" w:hAnsi="Arial"/>
          <w:b w:val="false"/>
          <w:bCs w:val="false"/>
          <w:color w:val="1E1E1E"/>
          <w:sz w:val="22"/>
          <w:szCs w:val="22"/>
        </w:rPr>
        <w:t xml:space="preserve">Insurance verification: Manual form-based process (photo upload)</w:t>
      </w:r>
    </w:p>
    <w:p>
      <w:pPr>
        <w:pStyle w:val="ListParagraph"/>
        <w:numPr>
          <w:ilvl w:val="0"/>
          <w:numId w:val="2"/>
        </w:numPr>
        <w:spacing w:after="40" w:before="40"/>
      </w:pPr>
      <w:r>
        <w:rPr>
          <w:rFonts w:ascii="Arial" w:cs="Arial" w:eastAsia="Arial" w:hAnsi="Arial"/>
          <w:b w:val="false"/>
          <w:bCs w:val="false"/>
          <w:color w:val="1E1E1E"/>
          <w:sz w:val="22"/>
          <w:szCs w:val="22"/>
        </w:rPr>
        <w:t xml:space="preserve">Telehealth: Unnamed video platform (likely SimplePractice or Zoom for Healthcare)</w:t>
      </w:r>
    </w:p>
    <w:p>
      <w:pPr>
        <w:pStyle w:val="ListParagraph"/>
        <w:numPr>
          <w:ilvl w:val="0"/>
          <w:numId w:val="2"/>
        </w:numPr>
        <w:spacing w:after="40" w:before="40"/>
      </w:pPr>
      <w:r>
        <w:rPr>
          <w:rFonts w:ascii="Arial" w:cs="Arial" w:eastAsia="Arial" w:hAnsi="Arial"/>
          <w:b w:val="false"/>
          <w:bCs w:val="false"/>
          <w:color w:val="1E1E1E"/>
          <w:sz w:val="22"/>
          <w:szCs w:val="22"/>
        </w:rPr>
        <w:t xml:space="preserve">EHR: HIPAA-compliant record system (unnamed)</w:t>
      </w:r>
    </w:p>
    <w:p>
      <w:pPr>
        <w:pStyle w:val="ListParagraph"/>
        <w:numPr>
          <w:ilvl w:val="0"/>
          <w:numId w:val="2"/>
        </w:numPr>
        <w:spacing w:after="40" w:before="40"/>
      </w:pPr>
      <w:r>
        <w:rPr>
          <w:rFonts w:ascii="Arial" w:cs="Arial" w:eastAsia="Arial" w:hAnsi="Arial"/>
          <w:b w:val="false"/>
          <w:bCs w:val="false"/>
          <w:color w:val="1E1E1E"/>
          <w:sz w:val="22"/>
          <w:szCs w:val="22"/>
        </w:rPr>
        <w:t xml:space="preserve">Social media: Facebook and Instagram (active); LinkedIn (minimal)</w:t>
      </w:r>
    </w:p>
    <w:p>
      <w:pPr>
        <w:pStyle w:val="ListParagraph"/>
        <w:numPr>
          <w:ilvl w:val="0"/>
          <w:numId w:val="2"/>
        </w:numPr>
        <w:spacing w:after="40" w:before="40"/>
      </w:pPr>
      <w:r>
        <w:rPr>
          <w:rFonts w:ascii="Arial" w:cs="Arial" w:eastAsia="Arial" w:hAnsi="Arial"/>
          <w:b w:val="false"/>
          <w:bCs w:val="false"/>
          <w:color w:val="1E1E1E"/>
          <w:sz w:val="22"/>
          <w:szCs w:val="22"/>
        </w:rPr>
        <w:t xml:space="preserve">Email: info@ahumansanctuary.com — no marketing automation in place</w:t>
      </w:r>
    </w:p>
    <w:p>
      <w:pPr>
        <w:pStyle w:val="ListParagraph"/>
        <w:numPr>
          <w:ilvl w:val="0"/>
          <w:numId w:val="2"/>
        </w:numPr>
        <w:spacing w:after="40" w:before="40"/>
      </w:pPr>
      <w:r>
        <w:rPr>
          <w:rFonts w:ascii="Arial" w:cs="Arial" w:eastAsia="Arial" w:hAnsi="Arial"/>
          <w:b w:val="false"/>
          <w:bCs w:val="false"/>
          <w:color w:val="1E1E1E"/>
          <w:sz w:val="22"/>
          <w:szCs w:val="22"/>
        </w:rPr>
        <w:t xml:space="preserve">Membership: Placeholder tiers on website — not yet functional</w:t>
      </w:r>
    </w:p>
    <w:p>
      <w:pPr>
        <w:pBdr>
          <w:bottom w:val="single" w:color="CCCCCC" w:sz="4" w:space="1"/>
        </w:pBdr>
        <w:spacing w:after="280" w:before="280"/>
      </w:pPr>
    </w:p>
    <w:p>
      <w:pPr>
        <w:pStyle w:val="Heading1"/>
        <w:pBdr>
          <w:bottom w:val="single" w:color="2E5E41" w:sz="10" w:space="6"/>
        </w:pBdr>
        <w:spacing w:after="160" w:before="560"/>
      </w:pPr>
      <w:r>
        <w:rPr>
          <w:rFonts w:ascii="Arial" w:cs="Arial" w:eastAsia="Arial" w:hAnsi="Arial"/>
          <w:b/>
          <w:bCs/>
          <w:color w:val="2E5E41"/>
          <w:sz w:val="34"/>
          <w:szCs w:val="34"/>
        </w:rPr>
        <w:t xml:space="preserve">3. Pain Points &amp; Challenges</w:t>
      </w:r>
    </w:p>
    <w:p>
      <w:pPr>
        <w:pStyle w:val="Heading2"/>
        <w:spacing w:after="100" w:before="320"/>
      </w:pPr>
      <w:r>
        <w:rPr>
          <w:rFonts w:ascii="Arial" w:cs="Arial" w:eastAsia="Arial" w:hAnsi="Arial"/>
          <w:b/>
          <w:bCs/>
          <w:color w:val="2A6B5E"/>
          <w:sz w:val="26"/>
          <w:szCs w:val="26"/>
        </w:rPr>
        <w:t xml:space="preserve">3.1 Website Incompleteness — Lost Revenue</w:t>
      </w:r>
    </w:p>
    <w:p>
      <w:pPr>
        <w:spacing w:after="120" w:before="60"/>
      </w:pPr>
      <w:r>
        <w:rPr>
          <w:rFonts w:ascii="Arial" w:cs="Arial" w:eastAsia="Arial" w:hAnsi="Arial"/>
          <w:color w:val="1E1E1E"/>
          <w:sz w:val="22"/>
          <w:szCs w:val="22"/>
        </w:rPr>
        <w:t xml:space="preserve">The website has multiple pages with no content. Every empty page is a missed opportunity for search discovery, client education, and program enrollment. Pages for courses, the FireKeeper youth program, community groups, and the membership portal are visible in navigation but contain no information. Prospective clients who land on empty pages will leave.</w:t>
      </w:r>
    </w:p>
    <w:p>
      <w:pPr>
        <w:pStyle w:val="Heading2"/>
        <w:spacing w:after="100" w:before="320"/>
      </w:pPr>
      <w:r>
        <w:rPr>
          <w:rFonts w:ascii="Arial" w:cs="Arial" w:eastAsia="Arial" w:hAnsi="Arial"/>
          <w:b/>
          <w:bCs/>
          <w:color w:val="2A6B5E"/>
          <w:sz w:val="26"/>
          <w:szCs w:val="26"/>
        </w:rPr>
        <w:t xml:space="preserve">3.2 Manual Insurance Verification — Operational Bottleneck</w:t>
      </w:r>
    </w:p>
    <w:p>
      <w:pPr>
        <w:spacing w:after="120" w:before="60"/>
      </w:pPr>
      <w:r>
        <w:rPr>
          <w:rFonts w:ascii="Arial" w:cs="Arial" w:eastAsia="Arial" w:hAnsi="Arial"/>
          <w:color w:val="1E1E1E"/>
          <w:sz w:val="22"/>
          <w:szCs w:val="22"/>
        </w:rPr>
        <w:t xml:space="preserve">The current workflow requires a client to photograph their insurance card, upload it, wait 1–2 business days for a human to verify it, and receive a manual reply. This 3-step manual process creates delay, friction, and administrative burden. In a competitive market where clients may be researching multiple therapists simultaneously, a 24–48 hour wait for basic eligibility information can result in losing the client to a faster-responding practice.</w:t>
      </w:r>
    </w:p>
    <w:p>
      <w:pPr>
        <w:pStyle w:val="Heading2"/>
        <w:spacing w:after="100" w:before="320"/>
      </w:pPr>
      <w:r>
        <w:rPr>
          <w:rFonts w:ascii="Arial" w:cs="Arial" w:eastAsia="Arial" w:hAnsi="Arial"/>
          <w:b/>
          <w:bCs/>
          <w:color w:val="2A6B5E"/>
          <w:sz w:val="26"/>
          <w:szCs w:val="26"/>
        </w:rPr>
        <w:t xml:space="preserve">3.3 No Email Marketing System — Audience Leakage</w:t>
      </w:r>
    </w:p>
    <w:p>
      <w:pPr>
        <w:spacing w:after="120" w:before="60"/>
      </w:pPr>
      <w:r>
        <w:rPr>
          <w:rFonts w:ascii="Arial" w:cs="Arial" w:eastAsia="Arial" w:hAnsi="Arial"/>
          <w:color w:val="1E1E1E"/>
          <w:sz w:val="22"/>
          <w:szCs w:val="22"/>
        </w:rPr>
        <w:t xml:space="preserve">The practice has no email list, no email marketing platform, and no mechanism to re-engage website visitors who don't convert immediately. This means that every person who visits the site and leaves without booking is permanently lost. As the practice builds community programs, courses, and membership offerings, this is an increasingly critical gap — these products depend on audience cultivation over time.</w:t>
      </w:r>
    </w:p>
    <w:p>
      <w:pPr>
        <w:pStyle w:val="Heading2"/>
        <w:spacing w:after="100" w:before="320"/>
      </w:pPr>
      <w:r>
        <w:rPr>
          <w:rFonts w:ascii="Arial" w:cs="Arial" w:eastAsia="Arial" w:hAnsi="Arial"/>
          <w:b/>
          <w:bCs/>
          <w:color w:val="2A6B5E"/>
          <w:sz w:val="26"/>
          <w:szCs w:val="26"/>
        </w:rPr>
        <w:t xml:space="preserve">3.4 Founder Dependency — Scaling Ceiling</w:t>
      </w:r>
    </w:p>
    <w:p>
      <w:pPr>
        <w:spacing w:after="120" w:before="60"/>
      </w:pPr>
      <w:r>
        <w:rPr>
          <w:rFonts w:ascii="Arial" w:cs="Arial" w:eastAsia="Arial" w:hAnsi="Arial"/>
          <w:color w:val="1E1E1E"/>
          <w:sz w:val="22"/>
          <w:szCs w:val="22"/>
        </w:rPr>
        <w:t xml:space="preserve">All revenue currently depends on Julie Anne's direct clinical hours. There are only so many hours in a week she can spend in sessions. The entire growth strategy — courses, membership, groups, intensives — exists to create revenue streams that do not require her to be in a 1:1 session. But none of those channels have functional digital infrastructure yet, meaning the growth strategy exists only on paper.</w:t>
      </w:r>
    </w:p>
    <w:p>
      <w:pPr>
        <w:pStyle w:val="Heading2"/>
        <w:spacing w:after="100" w:before="320"/>
      </w:pPr>
      <w:r>
        <w:rPr>
          <w:rFonts w:ascii="Arial" w:cs="Arial" w:eastAsia="Arial" w:hAnsi="Arial"/>
          <w:b/>
          <w:bCs/>
          <w:color w:val="2A6B5E"/>
          <w:sz w:val="26"/>
          <w:szCs w:val="26"/>
        </w:rPr>
        <w:t xml:space="preserve">3.5 No Client Portal — Communication Friction</w:t>
      </w:r>
    </w:p>
    <w:p>
      <w:pPr>
        <w:spacing w:after="120" w:before="60"/>
      </w:pPr>
      <w:r>
        <w:rPr>
          <w:rFonts w:ascii="Arial" w:cs="Arial" w:eastAsia="Arial" w:hAnsi="Arial"/>
          <w:color w:val="1E1E1E"/>
          <w:sz w:val="22"/>
          <w:szCs w:val="22"/>
        </w:rPr>
        <w:t xml:space="preserve">Clients communicate via voicemail and email, which is appropriate for clinical boundaries. However, there is no client-facing portal for viewing appointment details, completing intake paperwork digitally, accessing psychoeducation resources, or self-scheduling. This creates unnecessary administrative overhead and a lower-quality client experience compared to modern practice standards.</w:t>
      </w:r>
    </w:p>
    <w:p>
      <w:pPr>
        <w:pStyle w:val="Heading2"/>
        <w:spacing w:after="100" w:before="320"/>
      </w:pPr>
      <w:r>
        <w:rPr>
          <w:rFonts w:ascii="Arial" w:cs="Arial" w:eastAsia="Arial" w:hAnsi="Arial"/>
          <w:b/>
          <w:bCs/>
          <w:color w:val="2A6B5E"/>
          <w:sz w:val="26"/>
          <w:szCs w:val="26"/>
        </w:rPr>
        <w:t xml:space="preserve">3.6 No Community / Membership Infrastructure</w:t>
      </w:r>
    </w:p>
    <w:p>
      <w:pPr>
        <w:spacing w:after="120" w:before="60"/>
      </w:pPr>
      <w:r>
        <w:rPr>
          <w:rFonts w:ascii="Arial" w:cs="Arial" w:eastAsia="Arial" w:hAnsi="Arial"/>
          <w:color w:val="1E1E1E"/>
          <w:sz w:val="22"/>
          <w:szCs w:val="22"/>
        </w:rPr>
        <w:t xml:space="preserve">The AHS Membership program and community circles are core to the practice's long-term vision, but there is no platform to support them. Membership tiers are listed (Basic $10, Standard $15, Premium $20/month) but are not functional. There is no gating of content, no member-only space, no community forum, and no automated billing for subscribers.</w:t>
      </w:r>
    </w:p>
    <w:p>
      <w:pPr>
        <w:pStyle w:val="Heading2"/>
        <w:spacing w:after="100" w:before="320"/>
      </w:pPr>
      <w:r>
        <w:rPr>
          <w:rFonts w:ascii="Arial" w:cs="Arial" w:eastAsia="Arial" w:hAnsi="Arial"/>
          <w:b/>
          <w:bCs/>
          <w:color w:val="2A6B5E"/>
          <w:sz w:val="26"/>
          <w:szCs w:val="26"/>
        </w:rPr>
        <w:t xml:space="preserve">3.7 Underdeveloped SEO &amp; Content Strategy</w:t>
      </w:r>
    </w:p>
    <w:p>
      <w:pPr>
        <w:spacing w:after="120" w:before="60"/>
      </w:pPr>
      <w:r>
        <w:rPr>
          <w:rFonts w:ascii="Arial" w:cs="Arial" w:eastAsia="Arial" w:hAnsi="Arial"/>
          <w:color w:val="1E1E1E"/>
          <w:sz w:val="22"/>
          <w:szCs w:val="22"/>
        </w:rPr>
        <w:t xml:space="preserve">The practice's meta descriptions show SEO awareness, but the absence of actual page content means there is nothing for search engines to index. The practice has an extraordinary story and rare specialty — but it is nearly invisible in search results beyond branded searches for its own name. Given the rising public interest in eco-anxiety and climate mental health, this represents a significant missed growth opportunity.</w:t>
      </w:r>
    </w:p>
    <w:p>
      <w:pPr>
        <w:pStyle w:val="Heading2"/>
        <w:spacing w:after="100" w:before="320"/>
      </w:pPr>
      <w:r>
        <w:rPr>
          <w:rFonts w:ascii="Arial" w:cs="Arial" w:eastAsia="Arial" w:hAnsi="Arial"/>
          <w:b/>
          <w:bCs/>
          <w:color w:val="2A6B5E"/>
          <w:sz w:val="26"/>
          <w:szCs w:val="26"/>
        </w:rPr>
        <w:t xml:space="preserve">3.8 No Analytics or Performance Visibility</w:t>
      </w:r>
    </w:p>
    <w:p>
      <w:pPr>
        <w:spacing w:after="120" w:before="60"/>
      </w:pPr>
      <w:r>
        <w:rPr>
          <w:rFonts w:ascii="Arial" w:cs="Arial" w:eastAsia="Arial" w:hAnsi="Arial"/>
          <w:color w:val="1E1E1E"/>
          <w:sz w:val="22"/>
          <w:szCs w:val="22"/>
        </w:rPr>
        <w:t xml:space="preserve">There is no evidence of web analytics, conversion tracking, or performance measurement. The practice cannot currently answer: How many people visit the site each month? Where do they come from? Which pages cause them to leave? Which services pages drive the most bookings? Without this data, every growth decision is made blind.</w:t>
      </w:r>
    </w:p>
    <w:p>
      <w:pPr>
        <w:pBdr>
          <w:bottom w:val="single" w:color="CCCCCC" w:sz="4" w:space="1"/>
        </w:pBdr>
        <w:spacing w:after="280" w:before="280"/>
      </w:pPr>
    </w:p>
    <w:p>
      <w:pPr>
        <w:pStyle w:val="Heading1"/>
        <w:pBdr>
          <w:bottom w:val="single" w:color="2E5E41" w:sz="10" w:space="6"/>
        </w:pBdr>
        <w:spacing w:after="160" w:before="560"/>
      </w:pPr>
      <w:r>
        <w:rPr>
          <w:rFonts w:ascii="Arial" w:cs="Arial" w:eastAsia="Arial" w:hAnsi="Arial"/>
          <w:b/>
          <w:bCs/>
          <w:color w:val="2E5E41"/>
          <w:sz w:val="34"/>
          <w:szCs w:val="34"/>
        </w:rPr>
        <w:t xml:space="preserve">4. Digital Transformation Opportunities</w:t>
      </w:r>
    </w:p>
    <w:p>
      <w:pPr>
        <w:spacing w:after="120" w:before="60"/>
      </w:pPr>
      <w:r>
        <w:rPr>
          <w:rFonts w:ascii="Arial" w:cs="Arial" w:eastAsia="Arial" w:hAnsi="Arial"/>
          <w:i/>
          <w:iCs/>
          <w:color w:val="555555"/>
          <w:sz w:val="22"/>
          <w:szCs w:val="22"/>
        </w:rPr>
        <w:t xml:space="preserve">All solutions below are designed as custom-built or API-integrated features within the AHS web ecosystem. No third-party SaaS platforms are recommended as replacements for proprietary services. Ownership and control remain with A Human Sanctuary.</w:t>
      </w:r>
    </w:p>
    <w:p>
      <w:pPr>
        <w:pStyle w:val="Heading2"/>
        <w:spacing w:after="100" w:before="320"/>
      </w:pPr>
      <w:r>
        <w:rPr>
          <w:rFonts w:ascii="Arial" w:cs="Arial" w:eastAsia="Arial" w:hAnsi="Arial"/>
          <w:b/>
          <w:bCs/>
          <w:color w:val="2A6B5E"/>
          <w:sz w:val="26"/>
          <w:szCs w:val="26"/>
        </w:rPr>
        <w:t xml:space="preserve">4.1 Content &amp; SEO Engine — Foundation of Organic Growth</w:t>
      </w:r>
    </w:p>
    <w:p>
      <w:pPr>
        <w:spacing w:after="120" w:before="60"/>
      </w:pPr>
      <w:r>
        <w:rPr>
          <w:rFonts w:ascii="Arial" w:cs="Arial" w:eastAsia="Arial" w:hAnsi="Arial"/>
          <w:color w:val="1E1E1E"/>
          <w:sz w:val="22"/>
          <w:szCs w:val="22"/>
        </w:rPr>
        <w:t xml:space="preserve">Build out all empty website pages with professionally written, SEO-optimized content covering each service, program, and specialty area. Develop a content publishing system with a practitioner blog, resource library, and searchable glossary of healing modalities. Target high-intent local search terms (trauma therapy Idyllwild CA, eco-anxiety therapist California, EMDR therapist Southern California) as well as national long-tail terms around the eco-anxiety and climate grief specialty.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4F0EE" w:val="clear"/>
            <w:tcMar>
              <w:top w:type="dxa" w:w="160"/>
              <w:left w:type="dxa" w:w="200"/>
              <w:bottom w:type="dxa" w:w="160"/>
              <w:right w:type="dxa" w:w="200"/>
            </w:tcMar>
          </w:tcPr>
          <w:p>
            <w:pPr>
              <w:spacing w:after="80" w:before="0"/>
            </w:pPr>
            <w:r>
              <w:rPr>
                <w:rFonts w:ascii="Arial" w:cs="Arial" w:eastAsia="Arial" w:hAnsi="Arial"/>
                <w:b/>
                <w:bCs/>
                <w:color w:val="2A6B5E"/>
                <w:sz w:val="22"/>
                <w:szCs w:val="22"/>
              </w:rPr>
              <w:t xml:space="preserve">Specific Deliverables</w:t>
            </w:r>
          </w:p>
          <w:p>
            <w:pPr>
              <w:pStyle w:val="ListParagraph"/>
              <w:numPr>
                <w:ilvl w:val="0"/>
                <w:numId w:val="2"/>
              </w:numPr>
              <w:spacing w:after="40" w:before="40"/>
            </w:pPr>
            <w:r>
              <w:rPr>
                <w:rFonts w:ascii="Arial" w:cs="Arial" w:eastAsia="Arial" w:hAnsi="Arial"/>
                <w:color w:val="1E1E1E"/>
                <w:sz w:val="20"/>
                <w:szCs w:val="20"/>
              </w:rPr>
              <w:t xml:space="preserve">Complete service pages for all offerings (therapy, supervision, groups, intensives, FireKeeper, Acorn Circle)</w:t>
            </w:r>
          </w:p>
          <w:p>
            <w:pPr>
              <w:pStyle w:val="ListParagraph"/>
              <w:numPr>
                <w:ilvl w:val="0"/>
                <w:numId w:val="2"/>
              </w:numPr>
              <w:spacing w:after="40" w:before="40"/>
            </w:pPr>
            <w:r>
              <w:rPr>
                <w:rFonts w:ascii="Arial" w:cs="Arial" w:eastAsia="Arial" w:hAnsi="Arial"/>
                <w:color w:val="1E1E1E"/>
                <w:sz w:val="20"/>
                <w:szCs w:val="20"/>
              </w:rPr>
              <w:t xml:space="preserve">A practitioner blog with 12–24 SEO-targeted articles published over 6 months</w:t>
            </w:r>
          </w:p>
          <w:p>
            <w:pPr>
              <w:pStyle w:val="ListParagraph"/>
              <w:numPr>
                <w:ilvl w:val="0"/>
                <w:numId w:val="2"/>
              </w:numPr>
              <w:spacing w:after="40" w:before="40"/>
            </w:pPr>
            <w:r>
              <w:rPr>
                <w:rFonts w:ascii="Arial" w:cs="Arial" w:eastAsia="Arial" w:hAnsi="Arial"/>
                <w:color w:val="1E1E1E"/>
                <w:sz w:val="20"/>
                <w:szCs w:val="20"/>
              </w:rPr>
              <w:t xml:space="preserve">A Healing Modalities resource library (internal glossary pages — each earns search traffic)</w:t>
            </w:r>
          </w:p>
          <w:p>
            <w:pPr>
              <w:pStyle w:val="ListParagraph"/>
              <w:numPr>
                <w:ilvl w:val="0"/>
                <w:numId w:val="2"/>
              </w:numPr>
              <w:spacing w:after="40" w:before="40"/>
            </w:pPr>
            <w:r>
              <w:rPr>
                <w:rFonts w:ascii="Arial" w:cs="Arial" w:eastAsia="Arial" w:hAnsi="Arial"/>
                <w:color w:val="1E1E1E"/>
                <w:sz w:val="20"/>
                <w:szCs w:val="20"/>
              </w:rPr>
              <w:t xml:space="preserve">Local SEO structured data (schema markup for the practice location, practitioner, and services)</w:t>
            </w:r>
          </w:p>
          <w:p>
            <w:pPr>
              <w:pStyle w:val="ListParagraph"/>
              <w:numPr>
                <w:ilvl w:val="0"/>
                <w:numId w:val="2"/>
              </w:numPr>
              <w:spacing w:after="40" w:before="40"/>
            </w:pPr>
            <w:r>
              <w:rPr>
                <w:rFonts w:ascii="Arial" w:cs="Arial" w:eastAsia="Arial" w:hAnsi="Arial"/>
                <w:color w:val="1E1E1E"/>
                <w:sz w:val="20"/>
                <w:szCs w:val="20"/>
              </w:rPr>
              <w:t xml:space="preserve">A Specialty Hub page for eco-anxiety / climate grief (pillar content strategy)</w:t>
            </w:r>
          </w:p>
          <w:p>
            <w:pPr>
              <w:pStyle w:val="ListParagraph"/>
              <w:numPr>
                <w:ilvl w:val="0"/>
                <w:numId w:val="2"/>
              </w:numPr>
              <w:spacing w:after="40" w:before="40"/>
            </w:pPr>
            <w:r>
              <w:rPr>
                <w:rFonts w:ascii="Arial" w:cs="Arial" w:eastAsia="Arial" w:hAnsi="Arial"/>
                <w:color w:val="1E1E1E"/>
                <w:sz w:val="20"/>
                <w:szCs w:val="20"/>
              </w:rPr>
              <w:t xml:space="preserve">Analytics integration: custom dashboard showing visitor sources, page performance, and booking conversions</w:t>
            </w:r>
          </w:p>
        </w:tc>
      </w:tr>
    </w:tbl>
    <w:p>
      <w:pPr>
        <w:spacing w:before="120"/>
      </w:pPr>
    </w:p>
    <w:p>
      <w:pPr>
        <w:pStyle w:val="Heading2"/>
        <w:spacing w:after="100" w:before="320"/>
      </w:pPr>
      <w:r>
        <w:rPr>
          <w:rFonts w:ascii="Arial" w:cs="Arial" w:eastAsia="Arial" w:hAnsi="Arial"/>
          <w:b/>
          <w:bCs/>
          <w:color w:val="2A6B5E"/>
          <w:sz w:val="26"/>
          <w:szCs w:val="26"/>
        </w:rPr>
        <w:t xml:space="preserve">4.2 Automated Insurance Verification API</w:t>
      </w:r>
    </w:p>
    <w:p>
      <w:pPr>
        <w:spacing w:after="120" w:before="60"/>
      </w:pPr>
      <w:r>
        <w:rPr>
          <w:rFonts w:ascii="Arial" w:cs="Arial" w:eastAsia="Arial" w:hAnsi="Arial"/>
          <w:color w:val="1E1E1E"/>
          <w:sz w:val="22"/>
          <w:szCs w:val="22"/>
        </w:rPr>
        <w:t xml:space="preserve">Replace the manual insurance card photo upload with a real-time eligibility verification API integrated directly into the AHS website. The client enters their insurance information; the system queries the payer in real time and returns their coverage status, copay, and deductible in seconds — not days. This eliminates the 1–2 day lag, reduces admin burden, and dramatically improves the prospective client experience.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BF3E4" w:val="clear"/>
            <w:tcMar>
              <w:top w:type="dxa" w:w="160"/>
              <w:left w:type="dxa" w:w="200"/>
              <w:bottom w:type="dxa" w:w="160"/>
              <w:right w:type="dxa" w:w="200"/>
            </w:tcMar>
          </w:tcPr>
          <w:p>
            <w:pPr>
              <w:spacing w:after="80" w:before="0"/>
            </w:pPr>
            <w:r>
              <w:rPr>
                <w:rFonts w:ascii="Arial" w:cs="Arial" w:eastAsia="Arial" w:hAnsi="Arial"/>
                <w:b/>
                <w:bCs/>
                <w:color w:val="8C6D2F"/>
                <w:sz w:val="22"/>
                <w:szCs w:val="22"/>
              </w:rPr>
              <w:t xml:space="preserve">Implementation Notes</w:t>
            </w:r>
          </w:p>
          <w:p>
            <w:pPr>
              <w:pStyle w:val="ListParagraph"/>
              <w:numPr>
                <w:ilvl w:val="0"/>
                <w:numId w:val="2"/>
              </w:numPr>
              <w:spacing w:after="40" w:before="40"/>
            </w:pPr>
            <w:r>
              <w:rPr>
                <w:rFonts w:ascii="Arial" w:cs="Arial" w:eastAsia="Arial" w:hAnsi="Arial"/>
                <w:color w:val="1E1E1E"/>
                <w:sz w:val="20"/>
                <w:szCs w:val="20"/>
              </w:rPr>
              <w:t xml:space="preserve">API integration with a healthcare eligibility service (e.g., Change Healthcare, Waystar, or Availity API)</w:t>
            </w:r>
          </w:p>
          <w:p>
            <w:pPr>
              <w:pStyle w:val="ListParagraph"/>
              <w:numPr>
                <w:ilvl w:val="0"/>
                <w:numId w:val="2"/>
              </w:numPr>
              <w:spacing w:after="40" w:before="40"/>
            </w:pPr>
            <w:r>
              <w:rPr>
                <w:rFonts w:ascii="Arial" w:cs="Arial" w:eastAsia="Arial" w:hAnsi="Arial"/>
                <w:color w:val="1E1E1E"/>
                <w:sz w:val="20"/>
                <w:szCs w:val="20"/>
              </w:rPr>
              <w:t xml:space="preserve">Custom-built front-end form within the AHS website — branded and HIPAA-compliant</w:t>
            </w:r>
          </w:p>
          <w:p>
            <w:pPr>
              <w:pStyle w:val="ListParagraph"/>
              <w:numPr>
                <w:ilvl w:val="0"/>
                <w:numId w:val="2"/>
              </w:numPr>
              <w:spacing w:after="40" w:before="40"/>
            </w:pPr>
            <w:r>
              <w:rPr>
                <w:rFonts w:ascii="Arial" w:cs="Arial" w:eastAsia="Arial" w:hAnsi="Arial"/>
                <w:color w:val="1E1E1E"/>
                <w:sz w:val="20"/>
                <w:szCs w:val="20"/>
              </w:rPr>
              <w:t xml:space="preserve">Results displayed immediately to the client on-screen and logged to the EHR</w:t>
            </w:r>
          </w:p>
          <w:p>
            <w:pPr>
              <w:pStyle w:val="ListParagraph"/>
              <w:numPr>
                <w:ilvl w:val="0"/>
                <w:numId w:val="2"/>
              </w:numPr>
              <w:spacing w:after="40" w:before="40"/>
            </w:pPr>
            <w:r>
              <w:rPr>
                <w:rFonts w:ascii="Arial" w:cs="Arial" w:eastAsia="Arial" w:hAnsi="Arial"/>
                <w:color w:val="1E1E1E"/>
                <w:sz w:val="20"/>
                <w:szCs w:val="20"/>
              </w:rPr>
              <w:t xml:space="preserve">Reduces admin time spent on manual verification by an estimated 3–5 hours per week</w:t>
            </w:r>
          </w:p>
          <w:p>
            <w:pPr>
              <w:pStyle w:val="ListParagraph"/>
              <w:numPr>
                <w:ilvl w:val="0"/>
                <w:numId w:val="2"/>
              </w:numPr>
              <w:spacing w:after="40" w:before="40"/>
            </w:pPr>
            <w:r>
              <w:rPr>
                <w:rFonts w:ascii="Arial" w:cs="Arial" w:eastAsia="Arial" w:hAnsi="Arial"/>
                <w:color w:val="1E1E1E"/>
                <w:sz w:val="20"/>
                <w:szCs w:val="20"/>
              </w:rPr>
              <w:t xml:space="preserve">Positions AHS as a more responsive practice vs. competitors still using manual processes</w:t>
            </w:r>
          </w:p>
        </w:tc>
      </w:tr>
    </w:tbl>
    <w:p>
      <w:pPr>
        <w:spacing w:before="120"/>
      </w:pPr>
    </w:p>
    <w:p>
      <w:pPr>
        <w:pStyle w:val="Heading2"/>
        <w:spacing w:after="100" w:before="320"/>
      </w:pPr>
      <w:r>
        <w:rPr>
          <w:rFonts w:ascii="Arial" w:cs="Arial" w:eastAsia="Arial" w:hAnsi="Arial"/>
          <w:b/>
          <w:bCs/>
          <w:color w:val="2A6B5E"/>
          <w:sz w:val="26"/>
          <w:szCs w:val="26"/>
        </w:rPr>
        <w:t xml:space="preserve">4.3 AHS Client Portal</w:t>
      </w:r>
    </w:p>
    <w:p>
      <w:pPr>
        <w:spacing w:after="120" w:before="60"/>
      </w:pPr>
      <w:r>
        <w:rPr>
          <w:rFonts w:ascii="Arial" w:cs="Arial" w:eastAsia="Arial" w:hAnsi="Arial"/>
          <w:color w:val="1E1E1E"/>
          <w:sz w:val="22"/>
          <w:szCs w:val="22"/>
        </w:rPr>
        <w:t xml:space="preserve">Build a secure, HIPAA-compliant client portal within the AHS website. The portal gives clients a personalized, private space to manage their relationship with the practice — without the practice needing to rely on a third-party EHR's patient portal interface. Key features:</w:t>
      </w:r>
    </w:p>
    <w:p>
      <w:pPr>
        <w:pStyle w:val="ListParagraph"/>
        <w:numPr>
          <w:ilvl w:val="0"/>
          <w:numId w:val="2"/>
        </w:numPr>
        <w:spacing w:after="40" w:before="40"/>
      </w:pPr>
      <w:r>
        <w:rPr>
          <w:rFonts w:ascii="Arial" w:cs="Arial" w:eastAsia="Arial" w:hAnsi="Arial"/>
          <w:b w:val="false"/>
          <w:bCs w:val="false"/>
          <w:color w:val="1E1E1E"/>
          <w:sz w:val="22"/>
          <w:szCs w:val="22"/>
        </w:rPr>
        <w:t xml:space="preserve">Appointment viewing and self-scheduling (synced with the therapist's calendar)</w:t>
      </w:r>
    </w:p>
    <w:p>
      <w:pPr>
        <w:pStyle w:val="ListParagraph"/>
        <w:numPr>
          <w:ilvl w:val="0"/>
          <w:numId w:val="2"/>
        </w:numPr>
        <w:spacing w:after="40" w:before="40"/>
      </w:pPr>
      <w:r>
        <w:rPr>
          <w:rFonts w:ascii="Arial" w:cs="Arial" w:eastAsia="Arial" w:hAnsi="Arial"/>
          <w:b w:val="false"/>
          <w:bCs w:val="false"/>
          <w:color w:val="1E1E1E"/>
          <w:sz w:val="22"/>
          <w:szCs w:val="22"/>
        </w:rPr>
        <w:t xml:space="preserve">Digital intake and consent form completion</w:t>
      </w:r>
    </w:p>
    <w:p>
      <w:pPr>
        <w:pStyle w:val="ListParagraph"/>
        <w:numPr>
          <w:ilvl w:val="0"/>
          <w:numId w:val="2"/>
        </w:numPr>
        <w:spacing w:after="40" w:before="40"/>
      </w:pPr>
      <w:r>
        <w:rPr>
          <w:rFonts w:ascii="Arial" w:cs="Arial" w:eastAsia="Arial" w:hAnsi="Arial"/>
          <w:b w:val="false"/>
          <w:bCs w:val="false"/>
          <w:color w:val="1E1E1E"/>
          <w:sz w:val="22"/>
          <w:szCs w:val="22"/>
        </w:rPr>
        <w:t xml:space="preserve">Secure messaging for scheduling and admin questions (not clinical content)</w:t>
      </w:r>
    </w:p>
    <w:p>
      <w:pPr>
        <w:pStyle w:val="ListParagraph"/>
        <w:numPr>
          <w:ilvl w:val="0"/>
          <w:numId w:val="2"/>
        </w:numPr>
        <w:spacing w:after="40" w:before="40"/>
      </w:pPr>
      <w:r>
        <w:rPr>
          <w:rFonts w:ascii="Arial" w:cs="Arial" w:eastAsia="Arial" w:hAnsi="Arial"/>
          <w:b w:val="false"/>
          <w:bCs w:val="false"/>
          <w:color w:val="1E1E1E"/>
          <w:sz w:val="22"/>
          <w:szCs w:val="22"/>
        </w:rPr>
        <w:t xml:space="preserve">Access to psychoeducation resources and session worksheets provided by the therapist</w:t>
      </w:r>
    </w:p>
    <w:p>
      <w:pPr>
        <w:pStyle w:val="ListParagraph"/>
        <w:numPr>
          <w:ilvl w:val="0"/>
          <w:numId w:val="2"/>
        </w:numPr>
        <w:spacing w:after="40" w:before="40"/>
      </w:pPr>
      <w:r>
        <w:rPr>
          <w:rFonts w:ascii="Arial" w:cs="Arial" w:eastAsia="Arial" w:hAnsi="Arial"/>
          <w:b w:val="false"/>
          <w:bCs w:val="false"/>
          <w:color w:val="1E1E1E"/>
          <w:sz w:val="22"/>
          <w:szCs w:val="22"/>
        </w:rPr>
        <w:t xml:space="preserve">Billing statements and payment history</w:t>
      </w:r>
    </w:p>
    <w:p>
      <w:pPr>
        <w:pStyle w:val="ListParagraph"/>
        <w:numPr>
          <w:ilvl w:val="0"/>
          <w:numId w:val="2"/>
        </w:numPr>
        <w:spacing w:after="40" w:before="40"/>
      </w:pPr>
      <w:r>
        <w:rPr>
          <w:rFonts w:ascii="Arial" w:cs="Arial" w:eastAsia="Arial" w:hAnsi="Arial"/>
          <w:b w:val="false"/>
          <w:bCs w:val="false"/>
          <w:color w:val="1E1E1E"/>
          <w:sz w:val="22"/>
          <w:szCs w:val="22"/>
        </w:rPr>
        <w:t xml:space="preserve">Telehealth session access link (for telehealth clients)</w:t>
      </w:r>
    </w:p>
    <w:p>
      <w:pPr>
        <w:spacing w:after="120" w:before="60"/>
      </w:pPr>
      <w:r>
        <w:rPr>
          <w:rFonts w:ascii="Arial" w:cs="Arial" w:eastAsia="Arial" w:hAnsi="Arial"/>
          <w:color w:val="1E1E1E"/>
          <w:sz w:val="22"/>
          <w:szCs w:val="22"/>
        </w:rPr>
        <w:t xml:space="preserve">This reduces phone tag, eliminates paper intake forms, and gives clients a modern, dignified experience consistent with the practice's brand.</w:t>
      </w:r>
    </w:p>
    <w:p>
      <w:pPr>
        <w:pStyle w:val="Heading2"/>
        <w:spacing w:after="100" w:before="320"/>
      </w:pPr>
      <w:r>
        <w:rPr>
          <w:rFonts w:ascii="Arial" w:cs="Arial" w:eastAsia="Arial" w:hAnsi="Arial"/>
          <w:b/>
          <w:bCs/>
          <w:color w:val="2A6B5E"/>
          <w:sz w:val="26"/>
          <w:szCs w:val="26"/>
        </w:rPr>
        <w:t xml:space="preserve">4.4 AHS Course Platform — Scalable Non-Session Revenue</w:t>
      </w:r>
    </w:p>
    <w:p>
      <w:pPr>
        <w:spacing w:after="120" w:before="60"/>
      </w:pPr>
      <w:r>
        <w:rPr>
          <w:rFonts w:ascii="Arial" w:cs="Arial" w:eastAsia="Arial" w:hAnsi="Arial"/>
          <w:color w:val="1E1E1E"/>
          <w:sz w:val="22"/>
          <w:szCs w:val="22"/>
        </w:rPr>
        <w:t xml:space="preserve">Build a proprietary online learning platform within the AHS website to host the self-led coursework on eco-resiliency and collapse-aware living. This is the most direct path to revenue that does not depend on the founder's clinical hours. The platform should include:</w:t>
      </w:r>
    </w:p>
    <w:p>
      <w:pPr>
        <w:pStyle w:val="ListParagraph"/>
        <w:numPr>
          <w:ilvl w:val="0"/>
          <w:numId w:val="2"/>
        </w:numPr>
        <w:spacing w:after="40" w:before="40"/>
      </w:pPr>
      <w:r>
        <w:rPr>
          <w:rFonts w:ascii="Arial" w:cs="Arial" w:eastAsia="Arial" w:hAnsi="Arial"/>
          <w:b w:val="false"/>
          <w:bCs w:val="false"/>
          <w:color w:val="1E1E1E"/>
          <w:sz w:val="22"/>
          <w:szCs w:val="22"/>
        </w:rPr>
        <w:t xml:space="preserve">Video hosting with streaming playback (custom-built, not a third-party LMS)</w:t>
      </w:r>
    </w:p>
    <w:p>
      <w:pPr>
        <w:pStyle w:val="ListParagraph"/>
        <w:numPr>
          <w:ilvl w:val="0"/>
          <w:numId w:val="2"/>
        </w:numPr>
        <w:spacing w:after="40" w:before="40"/>
      </w:pPr>
      <w:r>
        <w:rPr>
          <w:rFonts w:ascii="Arial" w:cs="Arial" w:eastAsia="Arial" w:hAnsi="Arial"/>
          <w:b w:val="false"/>
          <w:bCs w:val="false"/>
          <w:color w:val="1E1E1E"/>
          <w:sz w:val="22"/>
          <w:szCs w:val="22"/>
        </w:rPr>
        <w:t xml:space="preserve">Module-based course structure with progress tracking</w:t>
      </w:r>
    </w:p>
    <w:p>
      <w:pPr>
        <w:pStyle w:val="ListParagraph"/>
        <w:numPr>
          <w:ilvl w:val="0"/>
          <w:numId w:val="2"/>
        </w:numPr>
        <w:spacing w:after="40" w:before="40"/>
      </w:pPr>
      <w:r>
        <w:rPr>
          <w:rFonts w:ascii="Arial" w:cs="Arial" w:eastAsia="Arial" w:hAnsi="Arial"/>
          <w:b w:val="false"/>
          <w:bCs w:val="false"/>
          <w:color w:val="1E1E1E"/>
          <w:sz w:val="22"/>
          <w:szCs w:val="22"/>
        </w:rPr>
        <w:t xml:space="preserve">Downloadable resources, worksheets, and guided audio meditations</w:t>
      </w:r>
    </w:p>
    <w:p>
      <w:pPr>
        <w:pStyle w:val="ListParagraph"/>
        <w:numPr>
          <w:ilvl w:val="0"/>
          <w:numId w:val="2"/>
        </w:numPr>
        <w:spacing w:after="40" w:before="40"/>
      </w:pPr>
      <w:r>
        <w:rPr>
          <w:rFonts w:ascii="Arial" w:cs="Arial" w:eastAsia="Arial" w:hAnsi="Arial"/>
          <w:b w:val="false"/>
          <w:bCs w:val="false"/>
          <w:color w:val="1E1E1E"/>
          <w:sz w:val="22"/>
          <w:szCs w:val="22"/>
        </w:rPr>
        <w:t xml:space="preserve">Course enrollment flow with payment processing</w:t>
      </w:r>
    </w:p>
    <w:p>
      <w:pPr>
        <w:pStyle w:val="ListParagraph"/>
        <w:numPr>
          <w:ilvl w:val="0"/>
          <w:numId w:val="2"/>
        </w:numPr>
        <w:spacing w:after="40" w:before="40"/>
      </w:pPr>
      <w:r>
        <w:rPr>
          <w:rFonts w:ascii="Arial" w:cs="Arial" w:eastAsia="Arial" w:hAnsi="Arial"/>
          <w:b w:val="false"/>
          <w:bCs w:val="false"/>
          <w:color w:val="1E1E1E"/>
          <w:sz w:val="22"/>
          <w:szCs w:val="22"/>
        </w:rPr>
        <w:t xml:space="preserve">Certificate of completion generation</w:t>
      </w:r>
    </w:p>
    <w:p>
      <w:pPr>
        <w:pStyle w:val="ListParagraph"/>
        <w:numPr>
          <w:ilvl w:val="0"/>
          <w:numId w:val="2"/>
        </w:numPr>
        <w:spacing w:after="40" w:before="40"/>
      </w:pPr>
      <w:r>
        <w:rPr>
          <w:rFonts w:ascii="Arial" w:cs="Arial" w:eastAsia="Arial" w:hAnsi="Arial"/>
          <w:b w:val="false"/>
          <w:bCs w:val="false"/>
          <w:color w:val="1E1E1E"/>
          <w:sz w:val="22"/>
          <w:szCs w:val="22"/>
        </w:rPr>
        <w:t xml:space="preserve">Email sequence automation triggered by enrollment and module completions</w:t>
      </w:r>
    </w:p>
    <w:p>
      <w:pPr>
        <w:spacing w:after="120" w:before="60"/>
      </w:pPr>
      <w:r>
        <w:rPr>
          <w:rFonts w:ascii="Arial" w:cs="Arial" w:eastAsia="Arial" w:hAnsi="Arial"/>
          <w:color w:val="1E1E1E"/>
          <w:sz w:val="22"/>
          <w:szCs w:val="22"/>
        </w:rPr>
        <w:t xml:space="preserve">A single well-produced course on eco-resiliency or trauma stabilization, priced at $97–$197, sold to 50 clients per month, generates $4,850–$9,850 in monthly revenue with zero additional clinical hours.</w:t>
      </w:r>
    </w:p>
    <w:p>
      <w:pPr>
        <w:pStyle w:val="Heading2"/>
        <w:spacing w:after="100" w:before="320"/>
      </w:pPr>
      <w:r>
        <w:rPr>
          <w:rFonts w:ascii="Arial" w:cs="Arial" w:eastAsia="Arial" w:hAnsi="Arial"/>
          <w:b/>
          <w:bCs/>
          <w:color w:val="2A6B5E"/>
          <w:sz w:val="26"/>
          <w:szCs w:val="26"/>
        </w:rPr>
        <w:t xml:space="preserve">4.5 AHS Membership Portal — Community &amp; Recurring Revenue</w:t>
      </w:r>
    </w:p>
    <w:p>
      <w:pPr>
        <w:spacing w:after="120" w:before="60"/>
      </w:pPr>
      <w:r>
        <w:rPr>
          <w:rFonts w:ascii="Arial" w:cs="Arial" w:eastAsia="Arial" w:hAnsi="Arial"/>
          <w:color w:val="1E1E1E"/>
          <w:sz w:val="22"/>
          <w:szCs w:val="22"/>
        </w:rPr>
        <w:t xml:space="preserve">Activate the existing membership tier structure with a fully functional, gated membership portal built into the AHS website. Membership benefits should be differentiated by tier:</w:t>
      </w:r>
    </w:p>
    <w:p>
      <w:pPr>
        <w:pStyle w:val="ListParagraph"/>
        <w:numPr>
          <w:ilvl w:val="0"/>
          <w:numId w:val="2"/>
        </w:numPr>
        <w:spacing w:after="40" w:before="40"/>
      </w:pPr>
      <w:r>
        <w:rPr>
          <w:rFonts w:ascii="Arial" w:cs="Arial" w:eastAsia="Arial" w:hAnsi="Arial"/>
          <w:b w:val="false"/>
          <w:bCs w:val="false"/>
          <w:color w:val="1E1E1E"/>
          <w:sz w:val="22"/>
          <w:szCs w:val="22"/>
        </w:rPr>
        <w:t xml:space="preserve">Basic ($10/month): Access to the resource library, monthly newsletter, and community calendar</w:t>
      </w:r>
    </w:p>
    <w:p>
      <w:pPr>
        <w:pStyle w:val="ListParagraph"/>
        <w:numPr>
          <w:ilvl w:val="0"/>
          <w:numId w:val="2"/>
        </w:numPr>
        <w:spacing w:after="40" w:before="40"/>
      </w:pPr>
      <w:r>
        <w:rPr>
          <w:rFonts w:ascii="Arial" w:cs="Arial" w:eastAsia="Arial" w:hAnsi="Arial"/>
          <w:b w:val="false"/>
          <w:bCs w:val="false"/>
          <w:color w:val="1E1E1E"/>
          <w:sz w:val="22"/>
          <w:szCs w:val="22"/>
        </w:rPr>
        <w:t xml:space="preserve">Standard ($15/month): Basic + access to recorded group circles and monthly live Q&amp;A with Julie Anne</w:t>
      </w:r>
    </w:p>
    <w:p>
      <w:pPr>
        <w:pStyle w:val="ListParagraph"/>
        <w:numPr>
          <w:ilvl w:val="0"/>
          <w:numId w:val="2"/>
        </w:numPr>
        <w:spacing w:after="40" w:before="40"/>
      </w:pPr>
      <w:r>
        <w:rPr>
          <w:rFonts w:ascii="Arial" w:cs="Arial" w:eastAsia="Arial" w:hAnsi="Arial"/>
          <w:b w:val="false"/>
          <w:bCs w:val="false"/>
          <w:color w:val="1E1E1E"/>
          <w:sz w:val="22"/>
          <w:szCs w:val="22"/>
        </w:rPr>
        <w:t xml:space="preserve">Premium ($20/month): Standard + discounted session rates, priority scheduling, and access to the private member community forum</w:t>
      </w:r>
    </w:p>
    <w:p>
      <w:pPr>
        <w:spacing w:after="120" w:before="60"/>
      </w:pPr>
      <w:r>
        <w:rPr>
          <w:rFonts w:ascii="Arial" w:cs="Arial" w:eastAsia="Arial" w:hAnsi="Arial"/>
          <w:color w:val="1E1E1E"/>
          <w:sz w:val="22"/>
          <w:szCs w:val="22"/>
        </w:rPr>
        <w:t xml:space="preserve">The portal should include automated billing, member profile management, content gating, a community discussion space, and event registration for member-only programs. Recurring revenue from 100 members generates $1,000–$2,000/month with minimal ongoing delivery cost.</w:t>
      </w:r>
    </w:p>
    <w:p>
      <w:pPr>
        <w:pStyle w:val="Heading2"/>
        <w:spacing w:after="100" w:before="320"/>
      </w:pPr>
      <w:r>
        <w:rPr>
          <w:rFonts w:ascii="Arial" w:cs="Arial" w:eastAsia="Arial" w:hAnsi="Arial"/>
          <w:b/>
          <w:bCs/>
          <w:color w:val="2A6B5E"/>
          <w:sz w:val="26"/>
          <w:szCs w:val="26"/>
        </w:rPr>
        <w:t xml:space="preserve">4.6 Email Audience System &amp; Automation</w:t>
      </w:r>
    </w:p>
    <w:p>
      <w:pPr>
        <w:spacing w:after="120" w:before="60"/>
      </w:pPr>
      <w:r>
        <w:rPr>
          <w:rFonts w:ascii="Arial" w:cs="Arial" w:eastAsia="Arial" w:hAnsi="Arial"/>
          <w:color w:val="1E1E1E"/>
          <w:sz w:val="22"/>
          <w:szCs w:val="22"/>
        </w:rPr>
        <w:t xml:space="preserve">Build an email list from day one and create automated sequences for every stage of the client journey:</w:t>
      </w:r>
    </w:p>
    <w:p>
      <w:pPr>
        <w:pStyle w:val="ListParagraph"/>
        <w:numPr>
          <w:ilvl w:val="0"/>
          <w:numId w:val="2"/>
        </w:numPr>
        <w:spacing w:after="40" w:before="40"/>
      </w:pPr>
      <w:r>
        <w:rPr>
          <w:rFonts w:ascii="Arial" w:cs="Arial" w:eastAsia="Arial" w:hAnsi="Arial"/>
          <w:b w:val="false"/>
          <w:bCs w:val="false"/>
          <w:color w:val="1E1E1E"/>
          <w:sz w:val="22"/>
          <w:szCs w:val="22"/>
        </w:rPr>
        <w:t xml:space="preserve">Inquiry nurture sequence: Prospect submits a form → receives 3-email educational sequence about AHS's approach → prompted to book</w:t>
      </w:r>
    </w:p>
    <w:p>
      <w:pPr>
        <w:pStyle w:val="ListParagraph"/>
        <w:numPr>
          <w:ilvl w:val="0"/>
          <w:numId w:val="2"/>
        </w:numPr>
        <w:spacing w:after="40" w:before="40"/>
      </w:pPr>
      <w:r>
        <w:rPr>
          <w:rFonts w:ascii="Arial" w:cs="Arial" w:eastAsia="Arial" w:hAnsi="Arial"/>
          <w:b w:val="false"/>
          <w:bCs w:val="false"/>
          <w:color w:val="1E1E1E"/>
          <w:sz w:val="22"/>
          <w:szCs w:val="22"/>
        </w:rPr>
        <w:t xml:space="preserve">New client welcome sequence: After first booking → receives what to expect, preparation tips, and practice policies</w:t>
      </w:r>
    </w:p>
    <w:p>
      <w:pPr>
        <w:pStyle w:val="ListParagraph"/>
        <w:numPr>
          <w:ilvl w:val="0"/>
          <w:numId w:val="2"/>
        </w:numPr>
        <w:spacing w:after="40" w:before="40"/>
      </w:pPr>
      <w:r>
        <w:rPr>
          <w:rFonts w:ascii="Arial" w:cs="Arial" w:eastAsia="Arial" w:hAnsi="Arial"/>
          <w:b w:val="false"/>
          <w:bCs w:val="false"/>
          <w:color w:val="1E1E1E"/>
          <w:sz w:val="22"/>
          <w:szCs w:val="22"/>
        </w:rPr>
        <w:t xml:space="preserve">Course enrollment sequence: After purchasing a course → receives module release emails, encouragement, and check-ins</w:t>
      </w:r>
    </w:p>
    <w:p>
      <w:pPr>
        <w:pStyle w:val="ListParagraph"/>
        <w:numPr>
          <w:ilvl w:val="0"/>
          <w:numId w:val="2"/>
        </w:numPr>
        <w:spacing w:after="40" w:before="40"/>
      </w:pPr>
      <w:r>
        <w:rPr>
          <w:rFonts w:ascii="Arial" w:cs="Arial" w:eastAsia="Arial" w:hAnsi="Arial"/>
          <w:b w:val="false"/>
          <w:bCs w:val="false"/>
          <w:color w:val="1E1E1E"/>
          <w:sz w:val="22"/>
          <w:szCs w:val="22"/>
        </w:rPr>
        <w:t xml:space="preserve">Member onboarding sequence: After joining membership → receives welcome, community norms, and quick start guide</w:t>
      </w:r>
    </w:p>
    <w:p>
      <w:pPr>
        <w:pStyle w:val="ListParagraph"/>
        <w:numPr>
          <w:ilvl w:val="0"/>
          <w:numId w:val="2"/>
        </w:numPr>
        <w:spacing w:after="40" w:before="40"/>
      </w:pPr>
      <w:r>
        <w:rPr>
          <w:rFonts w:ascii="Arial" w:cs="Arial" w:eastAsia="Arial" w:hAnsi="Arial"/>
          <w:b w:val="false"/>
          <w:bCs w:val="false"/>
          <w:color w:val="1E1E1E"/>
          <w:sz w:val="22"/>
          <w:szCs w:val="22"/>
        </w:rPr>
        <w:t xml:space="preserve">Dormant client re-engagement: After 60 days of no appointment → receives a gentle reconnect email</w:t>
      </w:r>
    </w:p>
    <w:p>
      <w:pPr>
        <w:spacing w:after="120" w:before="60"/>
      </w:pPr>
      <w:r>
        <w:rPr>
          <w:rFonts w:ascii="Arial" w:cs="Arial" w:eastAsia="Arial" w:hAnsi="Arial"/>
          <w:color w:val="1E1E1E"/>
          <w:sz w:val="22"/>
          <w:szCs w:val="22"/>
        </w:rPr>
        <w:t xml:space="preserve">Email marketing consistently delivers the highest ROI of any digital marketing channel. For a practice with a growing body of unique content and an audience deeply connected to the founder's values, email is an essential growth tool.</w:t>
      </w:r>
    </w:p>
    <w:p>
      <w:pPr>
        <w:pStyle w:val="Heading2"/>
        <w:spacing w:after="100" w:before="320"/>
      </w:pPr>
      <w:r>
        <w:rPr>
          <w:rFonts w:ascii="Arial" w:cs="Arial" w:eastAsia="Arial" w:hAnsi="Arial"/>
          <w:b/>
          <w:bCs/>
          <w:color w:val="2A6B5E"/>
          <w:sz w:val="26"/>
          <w:szCs w:val="26"/>
        </w:rPr>
        <w:t xml:space="preserve">4.7 Analytics &amp; Conversion Intelligence Dashboard</w:t>
      </w:r>
    </w:p>
    <w:p>
      <w:pPr>
        <w:spacing w:after="120" w:before="60"/>
      </w:pPr>
      <w:r>
        <w:rPr>
          <w:rFonts w:ascii="Arial" w:cs="Arial" w:eastAsia="Arial" w:hAnsi="Arial"/>
          <w:color w:val="1E1E1E"/>
          <w:sz w:val="22"/>
          <w:szCs w:val="22"/>
        </w:rPr>
        <w:t xml:space="preserve">Build a custom analytics dashboard that gives the founder and any growth partners a real-time view of the practice's digital performance:</w:t>
      </w:r>
    </w:p>
    <w:p>
      <w:pPr>
        <w:pStyle w:val="ListParagraph"/>
        <w:numPr>
          <w:ilvl w:val="0"/>
          <w:numId w:val="2"/>
        </w:numPr>
        <w:spacing w:after="40" w:before="40"/>
      </w:pPr>
      <w:r>
        <w:rPr>
          <w:rFonts w:ascii="Arial" w:cs="Arial" w:eastAsia="Arial" w:hAnsi="Arial"/>
          <w:b w:val="false"/>
          <w:bCs w:val="false"/>
          <w:color w:val="1E1E1E"/>
          <w:sz w:val="22"/>
          <w:szCs w:val="22"/>
        </w:rPr>
        <w:t xml:space="preserve">Website traffic by source (organic, social, referral, direct)</w:t>
      </w:r>
    </w:p>
    <w:p>
      <w:pPr>
        <w:pStyle w:val="ListParagraph"/>
        <w:numPr>
          <w:ilvl w:val="0"/>
          <w:numId w:val="2"/>
        </w:numPr>
        <w:spacing w:after="40" w:before="40"/>
      </w:pPr>
      <w:r>
        <w:rPr>
          <w:rFonts w:ascii="Arial" w:cs="Arial" w:eastAsia="Arial" w:hAnsi="Arial"/>
          <w:b w:val="false"/>
          <w:bCs w:val="false"/>
          <w:color w:val="1E1E1E"/>
          <w:sz w:val="22"/>
          <w:szCs w:val="22"/>
        </w:rPr>
        <w:t xml:space="preserve">Most-visited pages and exit pages</w:t>
      </w:r>
    </w:p>
    <w:p>
      <w:pPr>
        <w:pStyle w:val="ListParagraph"/>
        <w:numPr>
          <w:ilvl w:val="0"/>
          <w:numId w:val="2"/>
        </w:numPr>
        <w:spacing w:after="40" w:before="40"/>
      </w:pPr>
      <w:r>
        <w:rPr>
          <w:rFonts w:ascii="Arial" w:cs="Arial" w:eastAsia="Arial" w:hAnsi="Arial"/>
          <w:b w:val="false"/>
          <w:bCs w:val="false"/>
          <w:color w:val="1E1E1E"/>
          <w:sz w:val="22"/>
          <w:szCs w:val="22"/>
        </w:rPr>
        <w:t xml:space="preserve">Booking conversion rate by service</w:t>
      </w:r>
    </w:p>
    <w:p>
      <w:pPr>
        <w:pStyle w:val="ListParagraph"/>
        <w:numPr>
          <w:ilvl w:val="0"/>
          <w:numId w:val="2"/>
        </w:numPr>
        <w:spacing w:after="40" w:before="40"/>
      </w:pPr>
      <w:r>
        <w:rPr>
          <w:rFonts w:ascii="Arial" w:cs="Arial" w:eastAsia="Arial" w:hAnsi="Arial"/>
          <w:b w:val="false"/>
          <w:bCs w:val="false"/>
          <w:color w:val="1E1E1E"/>
          <w:sz w:val="22"/>
          <w:szCs w:val="22"/>
        </w:rPr>
        <w:t xml:space="preserve">Insurance verification completion rate</w:t>
      </w:r>
    </w:p>
    <w:p>
      <w:pPr>
        <w:pStyle w:val="ListParagraph"/>
        <w:numPr>
          <w:ilvl w:val="0"/>
          <w:numId w:val="2"/>
        </w:numPr>
        <w:spacing w:after="40" w:before="40"/>
      </w:pPr>
      <w:r>
        <w:rPr>
          <w:rFonts w:ascii="Arial" w:cs="Arial" w:eastAsia="Arial" w:hAnsi="Arial"/>
          <w:b w:val="false"/>
          <w:bCs w:val="false"/>
          <w:color w:val="1E1E1E"/>
          <w:sz w:val="22"/>
          <w:szCs w:val="22"/>
        </w:rPr>
        <w:t xml:space="preserve">Email list growth and open rates</w:t>
      </w:r>
    </w:p>
    <w:p>
      <w:pPr>
        <w:pStyle w:val="ListParagraph"/>
        <w:numPr>
          <w:ilvl w:val="0"/>
          <w:numId w:val="2"/>
        </w:numPr>
        <w:spacing w:after="40" w:before="40"/>
      </w:pPr>
      <w:r>
        <w:rPr>
          <w:rFonts w:ascii="Arial" w:cs="Arial" w:eastAsia="Arial" w:hAnsi="Arial"/>
          <w:b w:val="false"/>
          <w:bCs w:val="false"/>
          <w:color w:val="1E1E1E"/>
          <w:sz w:val="22"/>
          <w:szCs w:val="22"/>
        </w:rPr>
        <w:t xml:space="preserve">Course enrollment and revenue by course</w:t>
      </w:r>
    </w:p>
    <w:p>
      <w:pPr>
        <w:pStyle w:val="ListParagraph"/>
        <w:numPr>
          <w:ilvl w:val="0"/>
          <w:numId w:val="2"/>
        </w:numPr>
        <w:spacing w:after="40" w:before="40"/>
      </w:pPr>
      <w:r>
        <w:rPr>
          <w:rFonts w:ascii="Arial" w:cs="Arial" w:eastAsia="Arial" w:hAnsi="Arial"/>
          <w:b w:val="false"/>
          <w:bCs w:val="false"/>
          <w:color w:val="1E1E1E"/>
          <w:sz w:val="22"/>
          <w:szCs w:val="22"/>
        </w:rPr>
        <w:t xml:space="preserve">Membership subscription growth and churn</w:t>
      </w:r>
    </w:p>
    <w:p>
      <w:pPr>
        <w:spacing w:after="120" w:before="60"/>
      </w:pPr>
      <w:r>
        <w:rPr>
          <w:rFonts w:ascii="Arial" w:cs="Arial" w:eastAsia="Arial" w:hAnsi="Arial"/>
          <w:color w:val="1E1E1E"/>
          <w:sz w:val="22"/>
          <w:szCs w:val="22"/>
        </w:rPr>
        <w:t xml:space="preserve">This turns growth decisions from intuition-based to evidence-based — a critical shift as the practice moves from startup to scale.</w:t>
      </w:r>
    </w:p>
    <w:p>
      <w:pPr>
        <w:pBdr>
          <w:bottom w:val="single" w:color="CCCCCC" w:sz="4" w:space="1"/>
        </w:pBdr>
        <w:spacing w:after="280" w:before="280"/>
      </w:pPr>
    </w:p>
    <w:p>
      <w:pPr>
        <w:pStyle w:val="Heading1"/>
        <w:pBdr>
          <w:bottom w:val="single" w:color="2E5E41" w:sz="10" w:space="6"/>
        </w:pBdr>
        <w:spacing w:after="160" w:before="560"/>
      </w:pPr>
      <w:r>
        <w:rPr>
          <w:rFonts w:ascii="Arial" w:cs="Arial" w:eastAsia="Arial" w:hAnsi="Arial"/>
          <w:b/>
          <w:bCs/>
          <w:color w:val="2E5E41"/>
          <w:sz w:val="34"/>
          <w:szCs w:val="34"/>
        </w:rPr>
        <w:t xml:space="preserve">5. Impact Assessment</w:t>
      </w:r>
    </w:p>
    <w:p>
      <w:pPr>
        <w:spacing w:after="120" w:before="60"/>
      </w:pPr>
      <w:r>
        <w:rPr>
          <w:rFonts w:ascii="Arial" w:cs="Arial" w:eastAsia="Arial" w:hAnsi="Arial"/>
          <w:color w:val="1E1E1E"/>
          <w:sz w:val="22"/>
          <w:szCs w:val="22"/>
        </w:rPr>
        <w:t xml:space="preserve">The following table summarizes the projected impact of each recommended digital initiative, assessed across revenue potential, operational efficiency, and client experience.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2280"/>
        <w:gridCol w:w="2280"/>
        <w:gridCol w:w="2000"/>
      </w:tblGrid>
      <w:tr>
        <w:tc>
          <w:tcPr>
            <w:tcW w:type="dxa" w:w="2800"/>
            <w:tcBorders>
              <w:top w:val="single" w:color="CCCCCC" w:sz="1"/>
              <w:left w:val="single" w:color="CCCCCC" w:sz="1"/>
              <w:bottom w:val="single" w:color="CCCCCC" w:sz="1"/>
              <w:right w:val="single" w:color="CCCCCC" w:sz="1"/>
            </w:tcBorders>
            <w:shd w:fill="2E5E41" w:val="clear"/>
            <w:tcMar>
              <w:top w:type="dxa" w:w="80"/>
              <w:left w:type="dxa" w:w="120"/>
              <w:bottom w:type="dxa" w:w="80"/>
              <w:right w:type="dxa" w:w="120"/>
            </w:tcMar>
          </w:tcPr>
          <w:p>
            <w:r>
              <w:rPr>
                <w:rFonts w:ascii="Arial" w:cs="Arial" w:eastAsia="Arial" w:hAnsi="Arial"/>
                <w:b/>
                <w:bCs/>
                <w:color w:val="FFFFFF"/>
                <w:sz w:val="20"/>
                <w:szCs w:val="20"/>
              </w:rPr>
              <w:t xml:space="preserve">Solution</w:t>
            </w:r>
          </w:p>
        </w:tc>
        <w:tc>
          <w:tcPr>
            <w:tcW w:type="dxa" w:w="2280"/>
            <w:tcBorders>
              <w:top w:val="single" w:color="CCCCCC" w:sz="1"/>
              <w:left w:val="single" w:color="CCCCCC" w:sz="1"/>
              <w:bottom w:val="single" w:color="CCCCCC" w:sz="1"/>
              <w:right w:val="single" w:color="CCCCCC" w:sz="1"/>
            </w:tcBorders>
            <w:shd w:fill="2E5E41" w:val="clear"/>
            <w:tcMar>
              <w:top w:type="dxa" w:w="80"/>
              <w:left w:type="dxa" w:w="120"/>
              <w:bottom w:type="dxa" w:w="80"/>
              <w:right w:type="dxa" w:w="120"/>
            </w:tcMar>
          </w:tcPr>
          <w:p>
            <w:r>
              <w:rPr>
                <w:rFonts w:ascii="Arial" w:cs="Arial" w:eastAsia="Arial" w:hAnsi="Arial"/>
                <w:b/>
                <w:bCs/>
                <w:color w:val="FFFFFF"/>
                <w:sz w:val="20"/>
                <w:szCs w:val="20"/>
              </w:rPr>
              <w:t xml:space="preserve">Benefit</w:t>
            </w:r>
          </w:p>
        </w:tc>
        <w:tc>
          <w:tcPr>
            <w:tcW w:type="dxa" w:w="2280"/>
            <w:tcBorders>
              <w:top w:val="single" w:color="CCCCCC" w:sz="1"/>
              <w:left w:val="single" w:color="CCCCCC" w:sz="1"/>
              <w:bottom w:val="single" w:color="CCCCCC" w:sz="1"/>
              <w:right w:val="single" w:color="CCCCCC" w:sz="1"/>
            </w:tcBorders>
            <w:shd w:fill="2E5E41" w:val="clear"/>
            <w:tcMar>
              <w:top w:type="dxa" w:w="80"/>
              <w:left w:type="dxa" w:w="120"/>
              <w:bottom w:type="dxa" w:w="80"/>
              <w:right w:type="dxa" w:w="120"/>
            </w:tcMar>
          </w:tcPr>
          <w:p>
            <w:r>
              <w:rPr>
                <w:rFonts w:ascii="Arial" w:cs="Arial" w:eastAsia="Arial" w:hAnsi="Arial"/>
                <w:b/>
                <w:bCs/>
                <w:color w:val="FFFFFF"/>
                <w:sz w:val="20"/>
                <w:szCs w:val="20"/>
              </w:rPr>
              <w:t xml:space="preserve">Time Saved / Impact</w:t>
            </w:r>
          </w:p>
        </w:tc>
        <w:tc>
          <w:tcPr>
            <w:tcW w:type="dxa" w:w="2000"/>
            <w:tcBorders>
              <w:top w:val="single" w:color="CCCCCC" w:sz="1"/>
              <w:left w:val="single" w:color="CCCCCC" w:sz="1"/>
              <w:bottom w:val="single" w:color="CCCCCC" w:sz="1"/>
              <w:right w:val="single" w:color="CCCCCC" w:sz="1"/>
            </w:tcBorders>
            <w:shd w:fill="2E5E41" w:val="clear"/>
            <w:tcMar>
              <w:top w:type="dxa" w:w="80"/>
              <w:left w:type="dxa" w:w="120"/>
              <w:bottom w:type="dxa" w:w="80"/>
              <w:right w:type="dxa" w:w="120"/>
            </w:tcMar>
          </w:tcPr>
          <w:p>
            <w:r>
              <w:rPr>
                <w:rFonts w:ascii="Arial" w:cs="Arial" w:eastAsia="Arial" w:hAnsi="Arial"/>
                <w:b/>
                <w:bCs/>
                <w:color w:val="FFFFFF"/>
                <w:sz w:val="20"/>
                <w:szCs w:val="20"/>
              </w:rPr>
              <w:t xml:space="preserve">Priority</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Content &amp; SEO Engine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Organic client acquisition — no ad spend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20–40+ new inquiries/month within 6 months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202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val="false"/>
                <w:bCs w:val="false"/>
                <w:color w:val="1E1E1E"/>
                <w:sz w:val="20"/>
                <w:szCs w:val="20"/>
              </w:rPr>
              <w:t xml:space="preserve">Insurance Verification API</w:t>
            </w:r>
          </w:p>
        </w:tc>
        <w:tc>
          <w:tcPr>
            <w:tcW w:type="dxa" w:w="22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val="false"/>
                <w:bCs w:val="false"/>
                <w:color w:val="1E1E1E"/>
                <w:sz w:val="20"/>
                <w:szCs w:val="20"/>
              </w:rPr>
              <w:t xml:space="preserve">Eliminate 3–5 hrs/week of admin labor</w:t>
            </w:r>
          </w:p>
        </w:tc>
        <w:tc>
          <w:tcPr>
            <w:tcW w:type="dxa" w:w="22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val="false"/>
                <w:bCs w:val="false"/>
                <w:color w:val="1E1E1E"/>
                <w:sz w:val="20"/>
                <w:szCs w:val="20"/>
              </w:rPr>
              <w:t xml:space="preserve">Clients get answers in seconds vs. 2 days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8B202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Client Portal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Reduce admin overhead, elevate client experience</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Save 2–3 hrs/week on intake &amp; scheduling</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B202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val="false"/>
                <w:bCs w:val="false"/>
                <w:color w:val="1E1E1E"/>
                <w:sz w:val="20"/>
                <w:szCs w:val="20"/>
              </w:rPr>
              <w:t xml:space="preserve">Course Platform</w:t>
            </w:r>
          </w:p>
        </w:tc>
        <w:tc>
          <w:tcPr>
            <w:tcW w:type="dxa" w:w="22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val="false"/>
                <w:bCs w:val="false"/>
                <w:color w:val="1E1E1E"/>
                <w:sz w:val="20"/>
                <w:szCs w:val="20"/>
              </w:rPr>
              <w:t xml:space="preserve">Non-session revenue stream at scale</w:t>
            </w:r>
          </w:p>
        </w:tc>
        <w:tc>
          <w:tcPr>
            <w:tcW w:type="dxa" w:w="22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val="false"/>
                <w:bCs w:val="false"/>
                <w:color w:val="1E1E1E"/>
                <w:sz w:val="20"/>
                <w:szCs w:val="20"/>
              </w:rPr>
              <w:t xml:space="preserve">$5K–$10K+/month potential from courses</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8B202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Membership Portal</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Recurring monthly revenue + community</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$1K–$2K+/month from 100+ members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C6D2F"/>
                <w:sz w:val="20"/>
                <w:szCs w:val="20"/>
              </w:rPr>
              <w:t xml:space="preserve">Medium</w:t>
            </w:r>
          </w:p>
        </w:tc>
      </w:tr>
      <w:tr>
        <w:tc>
          <w:tcPr>
            <w:tcW w:type="dxa" w:w="28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val="false"/>
                <w:bCs w:val="false"/>
                <w:color w:val="1E1E1E"/>
                <w:sz w:val="20"/>
                <w:szCs w:val="20"/>
              </w:rPr>
              <w:t xml:space="preserve">Email Audience System</w:t>
            </w:r>
          </w:p>
        </w:tc>
        <w:tc>
          <w:tcPr>
            <w:tcW w:type="dxa" w:w="22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val="false"/>
                <w:bCs w:val="false"/>
                <w:color w:val="1E1E1E"/>
                <w:sz w:val="20"/>
                <w:szCs w:val="20"/>
              </w:rPr>
              <w:t xml:space="preserve">Audience cultivation and re-engagement</w:t>
            </w:r>
          </w:p>
        </w:tc>
        <w:tc>
          <w:tcPr>
            <w:tcW w:type="dxa" w:w="228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val="false"/>
                <w:bCs w:val="false"/>
                <w:color w:val="1E1E1E"/>
                <w:sz w:val="20"/>
                <w:szCs w:val="20"/>
              </w:rPr>
              <w:t xml:space="preserve">Recover 20–30% of lost visitors over time</w:t>
            </w:r>
          </w:p>
        </w:tc>
        <w:tc>
          <w:tcPr>
            <w:tcW w:type="dxa" w:w="2000"/>
            <w:tcBorders>
              <w:top w:val="single" w:color="CCCCCC" w:sz="1"/>
              <w:left w:val="single" w:color="CCCCCC" w:sz="1"/>
              <w:bottom w:val="single" w:color="CCCCCC" w:sz="1"/>
              <w:right w:val="single" w:color="CCCCCC" w:sz="1"/>
            </w:tcBorders>
            <w:shd w:fill="E8F0EC" w:val="clear"/>
            <w:tcMar>
              <w:top w:type="dxa" w:w="80"/>
              <w:left w:type="dxa" w:w="120"/>
              <w:bottom w:type="dxa" w:w="80"/>
              <w:right w:type="dxa" w:w="120"/>
            </w:tcMar>
          </w:tcPr>
          <w:p>
            <w:r>
              <w:rPr>
                <w:rFonts w:ascii="Arial" w:cs="Arial" w:eastAsia="Arial" w:hAnsi="Arial"/>
                <w:b/>
                <w:bCs/>
                <w:color w:val="8B2020"/>
                <w:sz w:val="20"/>
                <w:szCs w:val="20"/>
              </w:rPr>
              <w:t xml:space="preserve">High</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Analytics Dashboard</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Data-driven growth decisions</w:t>
            </w:r>
          </w:p>
        </w:tc>
        <w:tc>
          <w:tcPr>
            <w:tcW w:type="dxa" w:w="22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val="false"/>
                <w:bCs w:val="false"/>
                <w:color w:val="1E1E1E"/>
                <w:sz w:val="20"/>
                <w:szCs w:val="20"/>
              </w:rPr>
              <w:t xml:space="preserve">Visibility into all KPIs in one place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color w:val="8C6D2F"/>
                <w:sz w:val="20"/>
                <w:szCs w:val="20"/>
              </w:rPr>
              <w:t xml:space="preserve">Medium</w:t>
            </w:r>
          </w:p>
        </w:tc>
      </w:tr>
    </w:tbl>
    <w:p>
      <w:pPr>
        <w:spacing w:before="20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E8F0EC" w:val="clear"/>
            <w:tcMar>
              <w:top w:type="dxa" w:w="160"/>
              <w:left w:type="dxa" w:w="200"/>
              <w:bottom w:type="dxa" w:w="160"/>
              <w:right w:type="dxa" w:w="200"/>
            </w:tcMar>
          </w:tcPr>
          <w:p>
            <w:pPr>
              <w:spacing w:after="80" w:before="0"/>
            </w:pPr>
            <w:r>
              <w:rPr>
                <w:rFonts w:ascii="Arial" w:cs="Arial" w:eastAsia="Arial" w:hAnsi="Arial"/>
                <w:b/>
                <w:bCs/>
                <w:color w:val="2E5E41"/>
                <w:sz w:val="22"/>
                <w:szCs w:val="22"/>
              </w:rPr>
              <w:t xml:space="preserve">Revenue Projection Scenario</w:t>
            </w:r>
          </w:p>
          <w:p>
            <w:pPr>
              <w:pStyle w:val="ListParagraph"/>
              <w:numPr>
                <w:ilvl w:val="0"/>
                <w:numId w:val="2"/>
              </w:numPr>
              <w:spacing w:after="40" w:before="40"/>
            </w:pPr>
            <w:r>
              <w:rPr>
                <w:rFonts w:ascii="Arial" w:cs="Arial" w:eastAsia="Arial" w:hAnsi="Arial"/>
                <w:color w:val="1E1E1E"/>
                <w:sz w:val="20"/>
                <w:szCs w:val="20"/>
              </w:rPr>
              <w:t xml:space="preserve">Conservative baseline: 15 therapy sessions/week × $200 avg = $3,000/week ($156,000/year)</w:t>
            </w:r>
          </w:p>
          <w:p>
            <w:pPr>
              <w:pStyle w:val="ListParagraph"/>
              <w:numPr>
                <w:ilvl w:val="0"/>
                <w:numId w:val="2"/>
              </w:numPr>
              <w:spacing w:after="40" w:before="40"/>
            </w:pPr>
            <w:r>
              <w:rPr>
                <w:rFonts w:ascii="Arial" w:cs="Arial" w:eastAsia="Arial" w:hAnsi="Arial"/>
                <w:color w:val="1E1E1E"/>
                <w:sz w:val="20"/>
                <w:szCs w:val="20"/>
              </w:rPr>
              <w:t xml:space="preserve">Add Course Platform (50 enrollments/month × $147 avg) = +$7,350/month (+$88,200/year)</w:t>
            </w:r>
          </w:p>
          <w:p>
            <w:pPr>
              <w:pStyle w:val="ListParagraph"/>
              <w:numPr>
                <w:ilvl w:val="0"/>
                <w:numId w:val="2"/>
              </w:numPr>
              <w:spacing w:after="40" w:before="40"/>
            </w:pPr>
            <w:r>
              <w:rPr>
                <w:rFonts w:ascii="Arial" w:cs="Arial" w:eastAsia="Arial" w:hAnsi="Arial"/>
                <w:color w:val="1E1E1E"/>
                <w:sz w:val="20"/>
                <w:szCs w:val="20"/>
              </w:rPr>
              <w:t xml:space="preserve">Add Membership (100 members × $15 avg) = +$1,500/month (+$18,000/year)</w:t>
            </w:r>
          </w:p>
          <w:p>
            <w:pPr>
              <w:pStyle w:val="ListParagraph"/>
              <w:numPr>
                <w:ilvl w:val="0"/>
                <w:numId w:val="2"/>
              </w:numPr>
              <w:spacing w:after="40" w:before="40"/>
            </w:pPr>
            <w:r>
              <w:rPr>
                <w:rFonts w:ascii="Arial" w:cs="Arial" w:eastAsia="Arial" w:hAnsi="Arial"/>
                <w:color w:val="1E1E1E"/>
                <w:sz w:val="20"/>
                <w:szCs w:val="20"/>
              </w:rPr>
              <w:t xml:space="preserve">Add SEO-driven 3 new clients/month × avg 10 sessions = +$6,000/month (+$72,000/year)</w:t>
            </w:r>
          </w:p>
          <w:p>
            <w:pPr>
              <w:pStyle w:val="ListParagraph"/>
              <w:numPr>
                <w:ilvl w:val="0"/>
                <w:numId w:val="2"/>
              </w:numPr>
              <w:spacing w:after="40" w:before="40"/>
            </w:pPr>
            <w:r>
              <w:rPr>
                <w:rFonts w:ascii="Arial" w:cs="Arial" w:eastAsia="Arial" w:hAnsi="Arial"/>
                <w:color w:val="1E1E1E"/>
                <w:sz w:val="20"/>
                <w:szCs w:val="20"/>
              </w:rPr>
              <w:t xml:space="preserve">Combined conservative upside: +$178,200/year — without adding a single clinical hour</w:t>
            </w:r>
          </w:p>
        </w:tc>
      </w:tr>
    </w:tbl>
    <w:p>
      <w:pPr>
        <w:spacing w:before="200"/>
      </w:pPr>
    </w:p>
    <w:p>
      <w:pPr>
        <w:pBdr>
          <w:bottom w:val="single" w:color="CCCCCC" w:sz="4" w:space="1"/>
        </w:pBdr>
        <w:spacing w:after="280" w:before="280"/>
      </w:pPr>
    </w:p>
    <w:p>
      <w:pPr>
        <w:pStyle w:val="Heading1"/>
        <w:pBdr>
          <w:bottom w:val="single" w:color="2E5E41" w:sz="10" w:space="6"/>
        </w:pBdr>
        <w:spacing w:after="160" w:before="560"/>
      </w:pPr>
      <w:r>
        <w:rPr>
          <w:rFonts w:ascii="Arial" w:cs="Arial" w:eastAsia="Arial" w:hAnsi="Arial"/>
          <w:b/>
          <w:bCs/>
          <w:color w:val="2E5E41"/>
          <w:sz w:val="34"/>
          <w:szCs w:val="34"/>
        </w:rPr>
        <w:t xml:space="preserve">6. Implementation Recommendations</w:t>
      </w:r>
    </w:p>
    <w:p>
      <w:pPr>
        <w:spacing w:after="120" w:before="60"/>
      </w:pPr>
      <w:r>
        <w:rPr>
          <w:rFonts w:ascii="Arial" w:cs="Arial" w:eastAsia="Arial" w:hAnsi="Arial"/>
          <w:color w:val="1E1E1E"/>
          <w:sz w:val="22"/>
          <w:szCs w:val="22"/>
        </w:rPr>
        <w:t xml:space="preserve">The following roadmap prioritizes by impact, interdependency, and the founder's capacity. All initiatives build on each other — the content engine feeds SEO, which fills the email list, which drives course and membership enrollments. Starting with infrastructure before programs prevents waste.</w:t>
      </w:r>
    </w:p>
    <w:p>
      <w:pPr>
        <w:spacing w:before="12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40"/>
        <w:gridCol w:w="2080"/>
        <w:gridCol w:w="3600"/>
        <w:gridCol w:w="2240"/>
      </w:tblGrid>
      <w:tr>
        <w:tc>
          <w:tcPr>
            <w:tcW w:type="dxa" w:w="1440"/>
            <w:tcBorders>
              <w:top w:val="single" w:color="CCCCCC" w:sz="1"/>
              <w:left w:val="single" w:color="CCCCCC" w:sz="1"/>
              <w:bottom w:val="single" w:color="CCCCCC" w:sz="1"/>
              <w:right w:val="single" w:color="CCCCCC" w:sz="1"/>
            </w:tcBorders>
            <w:shd w:fill="2A6B5E" w:val="clear"/>
            <w:tcMar>
              <w:top w:type="dxa" w:w="100"/>
              <w:left w:type="dxa" w:w="140"/>
              <w:bottom w:type="dxa" w:w="100"/>
              <w:right w:type="dxa" w:w="140"/>
            </w:tcMar>
          </w:tcPr>
          <w:p>
            <w:r>
              <w:rPr>
                <w:rFonts w:ascii="Arial" w:cs="Arial" w:eastAsia="Arial" w:hAnsi="Arial"/>
                <w:b/>
                <w:bCs/>
                <w:color w:val="FFFFFF"/>
                <w:sz w:val="20"/>
                <w:szCs w:val="20"/>
              </w:rPr>
              <w:t xml:space="preserve">Phase</w:t>
            </w:r>
          </w:p>
        </w:tc>
        <w:tc>
          <w:tcPr>
            <w:tcW w:type="dxa" w:w="2080"/>
            <w:tcBorders>
              <w:top w:val="single" w:color="CCCCCC" w:sz="1"/>
              <w:left w:val="single" w:color="CCCCCC" w:sz="1"/>
              <w:bottom w:val="single" w:color="CCCCCC" w:sz="1"/>
              <w:right w:val="single" w:color="CCCCCC" w:sz="1"/>
            </w:tcBorders>
            <w:shd w:fill="2A6B5E" w:val="clear"/>
            <w:tcMar>
              <w:top w:type="dxa" w:w="100"/>
              <w:left w:type="dxa" w:w="140"/>
              <w:bottom w:type="dxa" w:w="100"/>
              <w:right w:type="dxa" w:w="140"/>
            </w:tcMar>
          </w:tcPr>
          <w:p>
            <w:r>
              <w:rPr>
                <w:rFonts w:ascii="Arial" w:cs="Arial" w:eastAsia="Arial" w:hAnsi="Arial"/>
                <w:b/>
                <w:bCs/>
                <w:color w:val="FFFFFF"/>
                <w:sz w:val="20"/>
                <w:szCs w:val="20"/>
              </w:rPr>
              <w:t xml:space="preserve">Timeline</w:t>
            </w:r>
          </w:p>
        </w:tc>
        <w:tc>
          <w:tcPr>
            <w:tcW w:type="dxa" w:w="3600"/>
            <w:tcBorders>
              <w:top w:val="single" w:color="CCCCCC" w:sz="1"/>
              <w:left w:val="single" w:color="CCCCCC" w:sz="1"/>
              <w:bottom w:val="single" w:color="CCCCCC" w:sz="1"/>
              <w:right w:val="single" w:color="CCCCCC" w:sz="1"/>
            </w:tcBorders>
            <w:shd w:fill="2A6B5E" w:val="clear"/>
            <w:tcMar>
              <w:top w:type="dxa" w:w="100"/>
              <w:left w:type="dxa" w:w="140"/>
              <w:bottom w:type="dxa" w:w="100"/>
              <w:right w:type="dxa" w:w="140"/>
            </w:tcMar>
          </w:tcPr>
          <w:p>
            <w:r>
              <w:rPr>
                <w:rFonts w:ascii="Arial" w:cs="Arial" w:eastAsia="Arial" w:hAnsi="Arial"/>
                <w:b/>
                <w:bCs/>
                <w:color w:val="FFFFFF"/>
                <w:sz w:val="20"/>
                <w:szCs w:val="20"/>
              </w:rPr>
              <w:t xml:space="preserve">Initiatives</w:t>
            </w:r>
          </w:p>
        </w:tc>
        <w:tc>
          <w:tcPr>
            <w:tcW w:type="dxa" w:w="2240"/>
            <w:tcBorders>
              <w:top w:val="single" w:color="CCCCCC" w:sz="1"/>
              <w:left w:val="single" w:color="CCCCCC" w:sz="1"/>
              <w:bottom w:val="single" w:color="CCCCCC" w:sz="1"/>
              <w:right w:val="single" w:color="CCCCCC" w:sz="1"/>
            </w:tcBorders>
            <w:shd w:fill="2A6B5E" w:val="clear"/>
            <w:tcMar>
              <w:top w:type="dxa" w:w="100"/>
              <w:left w:type="dxa" w:w="140"/>
              <w:bottom w:type="dxa" w:w="100"/>
              <w:right w:type="dxa" w:w="140"/>
            </w:tcMar>
          </w:tcPr>
          <w:p>
            <w:r>
              <w:rPr>
                <w:rFonts w:ascii="Arial" w:cs="Arial" w:eastAsia="Arial" w:hAnsi="Arial"/>
                <w:b/>
                <w:bCs/>
                <w:color w:val="FFFFFF"/>
                <w:sz w:val="20"/>
                <w:szCs w:val="20"/>
              </w:rPr>
              <w:t xml:space="preserve">Owner / Support</w:t>
            </w:r>
          </w:p>
        </w:tc>
      </w:tr>
      <w:tr>
        <w:tc>
          <w:tcPr>
            <w:tcW w:type="dxa" w:w="1440"/>
            <w:tcBorders>
              <w:top w:val="single" w:color="CCCCCC" w:sz="1"/>
              <w:left w:val="single" w:color="CCCCCC" w:sz="1"/>
              <w:bottom w:val="single" w:color="CCCCCC" w:sz="1"/>
              <w:right w:val="single" w:color="CCCCCC" w:sz="1"/>
            </w:tcBorders>
            <w:shd w:fill="FBF3E4" w:val="clear"/>
            <w:tcMar>
              <w:top w:type="dxa" w:w="100"/>
              <w:left w:type="dxa" w:w="140"/>
              <w:bottom w:type="dxa" w:w="100"/>
              <w:right w:type="dxa" w:w="140"/>
            </w:tcMar>
          </w:tcPr>
          <w:p>
            <w:r>
              <w:rPr>
                <w:rFonts w:ascii="Arial" w:cs="Arial" w:eastAsia="Arial" w:hAnsi="Arial"/>
                <w:b/>
                <w:bCs/>
                <w:color w:val="1E1E1E"/>
                <w:sz w:val="20"/>
                <w:szCs w:val="20"/>
              </w:rPr>
              <w:t xml:space="preserve">Phase 1</w:t>
            </w:r>
          </w:p>
        </w:tc>
        <w:tc>
          <w:tcPr>
            <w:tcW w:type="dxa" w:w="2080"/>
            <w:tcBorders>
              <w:top w:val="single" w:color="CCCCCC" w:sz="1"/>
              <w:left w:val="single" w:color="CCCCCC" w:sz="1"/>
              <w:bottom w:val="single" w:color="CCCCCC" w:sz="1"/>
              <w:right w:val="single" w:color="CCCCCC" w:sz="1"/>
            </w:tcBorders>
            <w:shd w:fill="FBF3E4" w:val="clear"/>
            <w:tcMar>
              <w:top w:type="dxa" w:w="100"/>
              <w:left w:type="dxa" w:w="140"/>
              <w:bottom w:type="dxa" w:w="100"/>
              <w:right w:type="dxa" w:w="140"/>
            </w:tcMar>
          </w:tcPr>
          <w:p>
            <w:r>
              <w:rPr>
                <w:rFonts w:ascii="Arial" w:cs="Arial" w:eastAsia="Arial" w:hAnsi="Arial"/>
                <w:b w:val="false"/>
                <w:bCs w:val="false"/>
                <w:color w:val="555555"/>
                <w:sz w:val="20"/>
                <w:szCs w:val="20"/>
              </w:rPr>
              <w:t xml:space="preserve">Months 1–2
Foundation</w:t>
            </w:r>
          </w:p>
        </w:tc>
        <w:tc>
          <w:tcPr>
            <w:tcW w:type="dxa" w:w="3600"/>
            <w:tcBorders>
              <w:top w:val="single" w:color="CCCCCC" w:sz="1"/>
              <w:left w:val="single" w:color="CCCCCC" w:sz="1"/>
              <w:bottom w:val="single" w:color="CCCCCC" w:sz="1"/>
              <w:right w:val="single" w:color="CCCCCC" w:sz="1"/>
            </w:tcBorders>
            <w:shd w:fill="FBF3E4" w:val="clear"/>
            <w:tcMar>
              <w:top w:type="dxa" w:w="100"/>
              <w:left w:type="dxa" w:w="140"/>
              <w:bottom w:type="dxa" w:w="100"/>
              <w:right w:type="dxa" w:w="140"/>
            </w:tcMar>
          </w:tcPr>
          <w:p>
            <w:r>
              <w:rPr>
                <w:rFonts w:ascii="Arial" w:cs="Arial" w:eastAsia="Arial" w:hAnsi="Arial"/>
                <w:b w:val="false"/>
                <w:bCs w:val="false"/>
                <w:color w:val="1E1E1E"/>
                <w:sz w:val="20"/>
                <w:szCs w:val="20"/>
              </w:rPr>
              <w:t xml:space="preserve">Website content completion (all service pages). Analytics dashboard setup. Email list infrastructure and first opt-in. Basic booking flow optimization. HIPAA-compliant contact and intake form upgrade.</w:t>
            </w:r>
          </w:p>
        </w:tc>
        <w:tc>
          <w:tcPr>
            <w:tcW w:type="dxa" w:w="2240"/>
            <w:tcBorders>
              <w:top w:val="single" w:color="CCCCCC" w:sz="1"/>
              <w:left w:val="single" w:color="CCCCCC" w:sz="1"/>
              <w:bottom w:val="single" w:color="CCCCCC" w:sz="1"/>
              <w:right w:val="single" w:color="CCCCCC" w:sz="1"/>
            </w:tcBorders>
            <w:shd w:fill="FBF3E4" w:val="clear"/>
            <w:tcMar>
              <w:top w:type="dxa" w:w="100"/>
              <w:left w:type="dxa" w:w="140"/>
              <w:bottom w:type="dxa" w:w="100"/>
              <w:right w:type="dxa" w:w="140"/>
            </w:tcMar>
          </w:tcPr>
          <w:p>
            <w:r>
              <w:rPr>
                <w:rFonts w:ascii="Arial" w:cs="Arial" w:eastAsia="Arial" w:hAnsi="Arial"/>
                <w:b w:val="false"/>
                <w:bCs w:val="false"/>
                <w:color w:val="555555"/>
                <w:sz w:val="20"/>
                <w:szCs w:val="20"/>
              </w:rPr>
              <w:t xml:space="preserve">Web developer + content writer. Founder approves content.</w:t>
            </w:r>
          </w:p>
        </w:tc>
      </w:tr>
      <w:tr>
        <w:tc>
          <w:tcPr>
            <w:tcW w:type="dxa" w:w="1440"/>
            <w:tcBorders>
              <w:top w:val="single" w:color="CCCCCC" w:sz="1"/>
              <w:left w:val="single" w:color="CCCCCC" w:sz="1"/>
              <w:bottom w:val="single" w:color="CCCCCC" w:sz="1"/>
              <w:right w:val="single" w:color="CCCCCC" w:sz="1"/>
            </w:tcBorders>
            <w:shd w:fill="E4F0EE" w:val="clear"/>
            <w:tcMar>
              <w:top w:type="dxa" w:w="100"/>
              <w:left w:type="dxa" w:w="140"/>
              <w:bottom w:type="dxa" w:w="100"/>
              <w:right w:type="dxa" w:w="140"/>
            </w:tcMar>
          </w:tcPr>
          <w:p>
            <w:r>
              <w:rPr>
                <w:rFonts w:ascii="Arial" w:cs="Arial" w:eastAsia="Arial" w:hAnsi="Arial"/>
                <w:b/>
                <w:bCs/>
                <w:color w:val="1E1E1E"/>
                <w:sz w:val="20"/>
                <w:szCs w:val="20"/>
              </w:rPr>
              <w:t xml:space="preserve">Phase 2</w:t>
            </w:r>
          </w:p>
        </w:tc>
        <w:tc>
          <w:tcPr>
            <w:tcW w:type="dxa" w:w="2080"/>
            <w:tcBorders>
              <w:top w:val="single" w:color="CCCCCC" w:sz="1"/>
              <w:left w:val="single" w:color="CCCCCC" w:sz="1"/>
              <w:bottom w:val="single" w:color="CCCCCC" w:sz="1"/>
              <w:right w:val="single" w:color="CCCCCC" w:sz="1"/>
            </w:tcBorders>
            <w:shd w:fill="E4F0EE" w:val="clear"/>
            <w:tcMar>
              <w:top w:type="dxa" w:w="100"/>
              <w:left w:type="dxa" w:w="140"/>
              <w:bottom w:type="dxa" w:w="100"/>
              <w:right w:type="dxa" w:w="140"/>
            </w:tcMar>
          </w:tcPr>
          <w:p>
            <w:r>
              <w:rPr>
                <w:rFonts w:ascii="Arial" w:cs="Arial" w:eastAsia="Arial" w:hAnsi="Arial"/>
                <w:b w:val="false"/>
                <w:bCs w:val="false"/>
                <w:color w:val="555555"/>
                <w:sz w:val="20"/>
                <w:szCs w:val="20"/>
              </w:rPr>
              <w:t xml:space="preserve">Months 2–4
Acquisition</w:t>
            </w:r>
          </w:p>
        </w:tc>
        <w:tc>
          <w:tcPr>
            <w:tcW w:type="dxa" w:w="3600"/>
            <w:tcBorders>
              <w:top w:val="single" w:color="CCCCCC" w:sz="1"/>
              <w:left w:val="single" w:color="CCCCCC" w:sz="1"/>
              <w:bottom w:val="single" w:color="CCCCCC" w:sz="1"/>
              <w:right w:val="single" w:color="CCCCCC" w:sz="1"/>
            </w:tcBorders>
            <w:shd w:fill="E4F0EE" w:val="clear"/>
            <w:tcMar>
              <w:top w:type="dxa" w:w="100"/>
              <w:left w:type="dxa" w:w="140"/>
              <w:bottom w:type="dxa" w:w="100"/>
              <w:right w:type="dxa" w:w="140"/>
            </w:tcMar>
          </w:tcPr>
          <w:p>
            <w:r>
              <w:rPr>
                <w:rFonts w:ascii="Arial" w:cs="Arial" w:eastAsia="Arial" w:hAnsi="Arial"/>
                <w:b w:val="false"/>
                <w:bCs w:val="false"/>
                <w:color w:val="1E1E1E"/>
                <w:sz w:val="20"/>
                <w:szCs w:val="20"/>
              </w:rPr>
              <w:t xml:space="preserve">SEO content publishing begins (2 articles/month). Insurance verification API integration. Social media content calendar aligned with blog. Email nurture sequences for new inquiries and clients.</w:t>
            </w:r>
          </w:p>
        </w:tc>
        <w:tc>
          <w:tcPr>
            <w:tcW w:type="dxa" w:w="2240"/>
            <w:tcBorders>
              <w:top w:val="single" w:color="CCCCCC" w:sz="1"/>
              <w:left w:val="single" w:color="CCCCCC" w:sz="1"/>
              <w:bottom w:val="single" w:color="CCCCCC" w:sz="1"/>
              <w:right w:val="single" w:color="CCCCCC" w:sz="1"/>
            </w:tcBorders>
            <w:shd w:fill="E4F0EE" w:val="clear"/>
            <w:tcMar>
              <w:top w:type="dxa" w:w="100"/>
              <w:left w:type="dxa" w:w="140"/>
              <w:bottom w:type="dxa" w:w="100"/>
              <w:right w:type="dxa" w:w="140"/>
            </w:tcMar>
          </w:tcPr>
          <w:p>
            <w:r>
              <w:rPr>
                <w:rFonts w:ascii="Arial" w:cs="Arial" w:eastAsia="Arial" w:hAnsi="Arial"/>
                <w:b w:val="false"/>
                <w:bCs w:val="false"/>
                <w:color w:val="555555"/>
                <w:sz w:val="20"/>
                <w:szCs w:val="20"/>
              </w:rPr>
              <w:t xml:space="preserve">Content writer + SEO specialist. Developer for API. Founder provides clinical expertise.</w:t>
            </w:r>
          </w:p>
        </w:tc>
      </w:tr>
      <w:tr>
        <w:tc>
          <w:tcPr>
            <w:tcW w:type="dxa" w:w="1440"/>
            <w:tcBorders>
              <w:top w:val="single" w:color="CCCCCC" w:sz="1"/>
              <w:left w:val="single" w:color="CCCCCC" w:sz="1"/>
              <w:bottom w:val="single" w:color="CCCCCC" w:sz="1"/>
              <w:right w:val="single" w:color="CCCCCC" w:sz="1"/>
            </w:tcBorders>
            <w:shd w:fill="E8F0EC" w:val="clear"/>
            <w:tcMar>
              <w:top w:type="dxa" w:w="100"/>
              <w:left w:type="dxa" w:w="140"/>
              <w:bottom w:type="dxa" w:w="100"/>
              <w:right w:type="dxa" w:w="140"/>
            </w:tcMar>
          </w:tcPr>
          <w:p>
            <w:r>
              <w:rPr>
                <w:rFonts w:ascii="Arial" w:cs="Arial" w:eastAsia="Arial" w:hAnsi="Arial"/>
                <w:b/>
                <w:bCs/>
                <w:color w:val="1E1E1E"/>
                <w:sz w:val="20"/>
                <w:szCs w:val="20"/>
              </w:rPr>
              <w:t xml:space="preserve">Phase 3</w:t>
            </w:r>
          </w:p>
        </w:tc>
        <w:tc>
          <w:tcPr>
            <w:tcW w:type="dxa" w:w="2080"/>
            <w:tcBorders>
              <w:top w:val="single" w:color="CCCCCC" w:sz="1"/>
              <w:left w:val="single" w:color="CCCCCC" w:sz="1"/>
              <w:bottom w:val="single" w:color="CCCCCC" w:sz="1"/>
              <w:right w:val="single" w:color="CCCCCC" w:sz="1"/>
            </w:tcBorders>
            <w:shd w:fill="E8F0EC" w:val="clear"/>
            <w:tcMar>
              <w:top w:type="dxa" w:w="100"/>
              <w:left w:type="dxa" w:w="140"/>
              <w:bottom w:type="dxa" w:w="100"/>
              <w:right w:type="dxa" w:w="140"/>
            </w:tcMar>
          </w:tcPr>
          <w:p>
            <w:r>
              <w:rPr>
                <w:rFonts w:ascii="Arial" w:cs="Arial" w:eastAsia="Arial" w:hAnsi="Arial"/>
                <w:b w:val="false"/>
                <w:bCs w:val="false"/>
                <w:color w:val="555555"/>
                <w:sz w:val="20"/>
                <w:szCs w:val="20"/>
              </w:rPr>
              <w:t xml:space="preserve">Months 4–6
Revenue</w:t>
            </w:r>
          </w:p>
        </w:tc>
        <w:tc>
          <w:tcPr>
            <w:tcW w:type="dxa" w:w="3600"/>
            <w:tcBorders>
              <w:top w:val="single" w:color="CCCCCC" w:sz="1"/>
              <w:left w:val="single" w:color="CCCCCC" w:sz="1"/>
              <w:bottom w:val="single" w:color="CCCCCC" w:sz="1"/>
              <w:right w:val="single" w:color="CCCCCC" w:sz="1"/>
            </w:tcBorders>
            <w:shd w:fill="E8F0EC" w:val="clear"/>
            <w:tcMar>
              <w:top w:type="dxa" w:w="100"/>
              <w:left w:type="dxa" w:w="140"/>
              <w:bottom w:type="dxa" w:w="100"/>
              <w:right w:type="dxa" w:w="140"/>
            </w:tcMar>
          </w:tcPr>
          <w:p>
            <w:r>
              <w:rPr>
                <w:rFonts w:ascii="Arial" w:cs="Arial" w:eastAsia="Arial" w:hAnsi="Arial"/>
                <w:b w:val="false"/>
                <w:bCs w:val="false"/>
                <w:color w:val="1E1E1E"/>
                <w:sz w:val="20"/>
                <w:szCs w:val="20"/>
              </w:rPr>
              <w:t xml:space="preserve">Client portal launch. First online course launch (eco-resiliency). Course enrollment flow + email automation. Membership portal activation with all 3 tiers. Member onboarding sequence.</w:t>
            </w:r>
          </w:p>
        </w:tc>
        <w:tc>
          <w:tcPr>
            <w:tcW w:type="dxa" w:w="2240"/>
            <w:tcBorders>
              <w:top w:val="single" w:color="CCCCCC" w:sz="1"/>
              <w:left w:val="single" w:color="CCCCCC" w:sz="1"/>
              <w:bottom w:val="single" w:color="CCCCCC" w:sz="1"/>
              <w:right w:val="single" w:color="CCCCCC" w:sz="1"/>
            </w:tcBorders>
            <w:shd w:fill="E8F0EC" w:val="clear"/>
            <w:tcMar>
              <w:top w:type="dxa" w:w="100"/>
              <w:left w:type="dxa" w:w="140"/>
              <w:bottom w:type="dxa" w:w="100"/>
              <w:right w:type="dxa" w:w="140"/>
            </w:tcMar>
          </w:tcPr>
          <w:p>
            <w:r>
              <w:rPr>
                <w:rFonts w:ascii="Arial" w:cs="Arial" w:eastAsia="Arial" w:hAnsi="Arial"/>
                <w:b w:val="false"/>
                <w:bCs w:val="false"/>
                <w:color w:val="555555"/>
                <w:sz w:val="20"/>
                <w:szCs w:val="20"/>
              </w:rPr>
              <w:t xml:space="preserve">Full-stack developer + UX designer. Founder records course content.</w:t>
            </w:r>
          </w:p>
        </w:tc>
      </w:tr>
      <w:tr>
        <w:tc>
          <w:tcPr>
            <w:tcW w:type="dxa" w:w="1440"/>
            <w:tcBorders>
              <w:top w:val="single" w:color="CCCCCC" w:sz="1"/>
              <w:left w:val="single" w:color="CCCCCC" w:sz="1"/>
              <w:bottom w:val="single" w:color="CCCCCC" w:sz="1"/>
              <w:right w:val="single" w:color="CCCCCC" w:sz="1"/>
            </w:tcBorders>
            <w:shd w:fill="EDF1F5" w:val="clear"/>
            <w:tcMar>
              <w:top w:type="dxa" w:w="100"/>
              <w:left w:type="dxa" w:w="140"/>
              <w:bottom w:type="dxa" w:w="100"/>
              <w:right w:type="dxa" w:w="140"/>
            </w:tcMar>
          </w:tcPr>
          <w:p>
            <w:r>
              <w:rPr>
                <w:rFonts w:ascii="Arial" w:cs="Arial" w:eastAsia="Arial" w:hAnsi="Arial"/>
                <w:b/>
                <w:bCs/>
                <w:color w:val="1E1E1E"/>
                <w:sz w:val="20"/>
                <w:szCs w:val="20"/>
              </w:rPr>
              <w:t xml:space="preserve">Phase 4</w:t>
            </w:r>
          </w:p>
        </w:tc>
        <w:tc>
          <w:tcPr>
            <w:tcW w:type="dxa" w:w="2080"/>
            <w:tcBorders>
              <w:top w:val="single" w:color="CCCCCC" w:sz="1"/>
              <w:left w:val="single" w:color="CCCCCC" w:sz="1"/>
              <w:bottom w:val="single" w:color="CCCCCC" w:sz="1"/>
              <w:right w:val="single" w:color="CCCCCC" w:sz="1"/>
            </w:tcBorders>
            <w:shd w:fill="EDF1F5" w:val="clear"/>
            <w:tcMar>
              <w:top w:type="dxa" w:w="100"/>
              <w:left w:type="dxa" w:w="140"/>
              <w:bottom w:type="dxa" w:w="100"/>
              <w:right w:type="dxa" w:w="140"/>
            </w:tcMar>
          </w:tcPr>
          <w:p>
            <w:r>
              <w:rPr>
                <w:rFonts w:ascii="Arial" w:cs="Arial" w:eastAsia="Arial" w:hAnsi="Arial"/>
                <w:b w:val="false"/>
                <w:bCs w:val="false"/>
                <w:color w:val="555555"/>
                <w:sz w:val="20"/>
                <w:szCs w:val="20"/>
              </w:rPr>
              <w:t xml:space="preserve">Months 6–12
Scale</w:t>
            </w:r>
          </w:p>
        </w:tc>
        <w:tc>
          <w:tcPr>
            <w:tcW w:type="dxa" w:w="3600"/>
            <w:tcBorders>
              <w:top w:val="single" w:color="CCCCCC" w:sz="1"/>
              <w:left w:val="single" w:color="CCCCCC" w:sz="1"/>
              <w:bottom w:val="single" w:color="CCCCCC" w:sz="1"/>
              <w:right w:val="single" w:color="CCCCCC" w:sz="1"/>
            </w:tcBorders>
            <w:shd w:fill="EDF1F5" w:val="clear"/>
            <w:tcMar>
              <w:top w:type="dxa" w:w="100"/>
              <w:left w:type="dxa" w:w="140"/>
              <w:bottom w:type="dxa" w:w="100"/>
              <w:right w:type="dxa" w:w="140"/>
            </w:tcMar>
          </w:tcPr>
          <w:p>
            <w:r>
              <w:rPr>
                <w:rFonts w:ascii="Arial" w:cs="Arial" w:eastAsia="Arial" w:hAnsi="Arial"/>
                <w:b w:val="false"/>
                <w:bCs w:val="false"/>
                <w:color w:val="1E1E1E"/>
                <w:sz w:val="20"/>
                <w:szCs w:val="20"/>
              </w:rPr>
              <w:t xml:space="preserve">Second course launch. Retreat / intensive registration system. FireKeeper youth program page + enrollment. Referral network portal for partner therapists and physicians. Annual performance review and roadmap update.</w:t>
            </w:r>
          </w:p>
        </w:tc>
        <w:tc>
          <w:tcPr>
            <w:tcW w:type="dxa" w:w="2240"/>
            <w:tcBorders>
              <w:top w:val="single" w:color="CCCCCC" w:sz="1"/>
              <w:left w:val="single" w:color="CCCCCC" w:sz="1"/>
              <w:bottom w:val="single" w:color="CCCCCC" w:sz="1"/>
              <w:right w:val="single" w:color="CCCCCC" w:sz="1"/>
            </w:tcBorders>
            <w:shd w:fill="EDF1F5" w:val="clear"/>
            <w:tcMar>
              <w:top w:type="dxa" w:w="100"/>
              <w:left w:type="dxa" w:w="140"/>
              <w:bottom w:type="dxa" w:w="100"/>
              <w:right w:type="dxa" w:w="140"/>
            </w:tcMar>
          </w:tcPr>
          <w:p>
            <w:r>
              <w:rPr>
                <w:rFonts w:ascii="Arial" w:cs="Arial" w:eastAsia="Arial" w:hAnsi="Arial"/>
                <w:b w:val="false"/>
                <w:bCs w:val="false"/>
                <w:color w:val="555555"/>
                <w:sz w:val="20"/>
                <w:szCs w:val="20"/>
              </w:rPr>
              <w:t xml:space="preserve">Ongoing web team + VA support. Founder focuses on clinical work and content creation.</w:t>
            </w:r>
          </w:p>
        </w:tc>
      </w:tr>
    </w:tbl>
    <w:p>
      <w:pPr>
        <w:spacing w:before="200"/>
      </w:pPr>
    </w:p>
    <w:p>
      <w:pPr>
        <w:pStyle w:val="Heading2"/>
        <w:spacing w:after="100" w:before="320"/>
      </w:pPr>
      <w:r>
        <w:rPr>
          <w:rFonts w:ascii="Arial" w:cs="Arial" w:eastAsia="Arial" w:hAnsi="Arial"/>
          <w:b/>
          <w:bCs/>
          <w:color w:val="2A6B5E"/>
          <w:sz w:val="26"/>
          <w:szCs w:val="26"/>
        </w:rPr>
        <w:t xml:space="preserve">Implementation Principles</w:t>
      </w:r>
    </w:p>
    <w:p>
      <w:pPr>
        <w:pStyle w:val="ListParagraph"/>
        <w:numPr>
          <w:ilvl w:val="0"/>
          <w:numId w:val="2"/>
        </w:numPr>
        <w:spacing w:after="40" w:before="40"/>
      </w:pPr>
      <w:r>
        <w:rPr>
          <w:rFonts w:ascii="Arial" w:cs="Arial" w:eastAsia="Arial" w:hAnsi="Arial"/>
          <w:b w:val="false"/>
          <w:bCs w:val="false"/>
          <w:color w:val="1E1E1E"/>
          <w:sz w:val="22"/>
          <w:szCs w:val="22"/>
        </w:rPr>
        <w:t xml:space="preserve">Custom-built first: All tools should be built into the AHS website ecosystem, not outsourced to competing SaaS platforms that extract value from the practice's audience</w:t>
      </w:r>
    </w:p>
    <w:p>
      <w:pPr>
        <w:pStyle w:val="ListParagraph"/>
        <w:numPr>
          <w:ilvl w:val="0"/>
          <w:numId w:val="2"/>
        </w:numPr>
        <w:spacing w:after="40" w:before="40"/>
      </w:pPr>
      <w:r>
        <w:rPr>
          <w:rFonts w:ascii="Arial" w:cs="Arial" w:eastAsia="Arial" w:hAnsi="Arial"/>
          <w:b w:val="false"/>
          <w:bCs w:val="false"/>
          <w:color w:val="1E1E1E"/>
          <w:sz w:val="22"/>
          <w:szCs w:val="22"/>
        </w:rPr>
        <w:t xml:space="preserve">HIPAA-compliance is non-negotiable: Every client-facing digital touchpoint must meet federal healthcare privacy standards</w:t>
      </w:r>
    </w:p>
    <w:p>
      <w:pPr>
        <w:pStyle w:val="ListParagraph"/>
        <w:numPr>
          <w:ilvl w:val="0"/>
          <w:numId w:val="2"/>
        </w:numPr>
        <w:spacing w:after="40" w:before="40"/>
      </w:pPr>
      <w:r>
        <w:rPr>
          <w:rFonts w:ascii="Arial" w:cs="Arial" w:eastAsia="Arial" w:hAnsi="Arial"/>
          <w:b w:val="false"/>
          <w:bCs w:val="false"/>
          <w:color w:val="1E1E1E"/>
          <w:sz w:val="22"/>
          <w:szCs w:val="22"/>
        </w:rPr>
        <w:t xml:space="preserve">Founder bandwidth protection: No implementation should require Julie Anne to take on additional admin or tech management work — every system should reduce her operational load, not add to it</w:t>
      </w:r>
    </w:p>
    <w:p>
      <w:pPr>
        <w:pStyle w:val="ListParagraph"/>
        <w:numPr>
          <w:ilvl w:val="0"/>
          <w:numId w:val="2"/>
        </w:numPr>
        <w:spacing w:after="40" w:before="40"/>
      </w:pPr>
      <w:r>
        <w:rPr>
          <w:rFonts w:ascii="Arial" w:cs="Arial" w:eastAsia="Arial" w:hAnsi="Arial"/>
          <w:b w:val="false"/>
          <w:bCs w:val="false"/>
          <w:color w:val="1E1E1E"/>
          <w:sz w:val="22"/>
          <w:szCs w:val="22"/>
        </w:rPr>
        <w:t xml:space="preserve">Mission alignment: Every digital experience should reflect the practice's values — warmth, safety, depth, and nature-connectedness</w:t>
      </w:r>
    </w:p>
    <w:p>
      <w:pPr>
        <w:pStyle w:val="ListParagraph"/>
        <w:numPr>
          <w:ilvl w:val="0"/>
          <w:numId w:val="2"/>
        </w:numPr>
        <w:spacing w:after="40" w:before="40"/>
      </w:pPr>
      <w:r>
        <w:rPr>
          <w:rFonts w:ascii="Arial" w:cs="Arial" w:eastAsia="Arial" w:hAnsi="Arial"/>
          <w:b w:val="false"/>
          <w:bCs w:val="false"/>
          <w:color w:val="1E1E1E"/>
          <w:sz w:val="22"/>
          <w:szCs w:val="22"/>
        </w:rPr>
        <w:t xml:space="preserve">Measure everything: All initiatives should be instrumented from day one so performance is visible and adjustable</w:t>
      </w:r>
    </w:p>
    <w:p>
      <w:pPr>
        <w:pBdr>
          <w:bottom w:val="single" w:color="CCCCCC" w:sz="4" w:space="1"/>
        </w:pBdr>
        <w:spacing w:after="280" w:before="280"/>
      </w:pPr>
    </w:p>
    <w:p>
      <w:pPr>
        <w:pStyle w:val="Heading1"/>
        <w:pBdr>
          <w:bottom w:val="single" w:color="2E5E41" w:sz="10" w:space="6"/>
        </w:pBdr>
        <w:spacing w:after="160" w:before="560"/>
      </w:pPr>
      <w:r>
        <w:rPr>
          <w:rFonts w:ascii="Arial" w:cs="Arial" w:eastAsia="Arial" w:hAnsi="Arial"/>
          <w:b/>
          <w:bCs/>
          <w:color w:val="2E5E41"/>
          <w:sz w:val="34"/>
          <w:szCs w:val="34"/>
        </w:rPr>
        <w:t xml:space="preserve">7. Conclusion &amp; Next Steps</w:t>
      </w:r>
    </w:p>
    <w:p>
      <w:pPr>
        <w:pStyle w:val="Heading2"/>
        <w:spacing w:after="100" w:before="320"/>
      </w:pPr>
      <w:r>
        <w:rPr>
          <w:rFonts w:ascii="Arial" w:cs="Arial" w:eastAsia="Arial" w:hAnsi="Arial"/>
          <w:b/>
          <w:bCs/>
          <w:color w:val="2A6B5E"/>
          <w:sz w:val="26"/>
          <w:szCs w:val="26"/>
        </w:rPr>
        <w:t xml:space="preserve">Summary of Findings</w:t>
      </w:r>
    </w:p>
    <w:p>
      <w:pPr>
        <w:spacing w:after="120" w:before="60"/>
      </w:pPr>
      <w:r>
        <w:rPr>
          <w:rFonts w:ascii="Arial" w:cs="Arial" w:eastAsia="Arial" w:hAnsi="Arial"/>
          <w:color w:val="1E1E1E"/>
          <w:sz w:val="22"/>
          <w:szCs w:val="22"/>
        </w:rPr>
        <w:t xml:space="preserve">A Human Sanctuary has an exceptional clinical identity, a rare specialty, and a compelling growth vision. What it lacks is the digital infrastructure to fulfill that vision. The website — its primary growth engine — is incomplete. The operations that convert visitors into clients are manual. The revenue programs that would free the founder from trading hours for dollars have no delivery platform.</w:t>
      </w:r>
    </w:p>
    <w:p>
      <w:pPr>
        <w:spacing w:after="120" w:before="60"/>
      </w:pPr>
      <w:r>
        <w:rPr>
          <w:rFonts w:ascii="Arial" w:cs="Arial" w:eastAsia="Arial" w:hAnsi="Arial"/>
          <w:color w:val="1E1E1E"/>
          <w:sz w:val="22"/>
          <w:szCs w:val="22"/>
        </w:rPr>
        <w:t xml:space="preserve">The good news: none of these gaps are permanent. They are solvable with focused, sequenced web development work. And because the practice has such a clear mission and differentiated story, every piece of content, every page, and every user flow has the potential to be both functionally effective and deeply aligned with what AHS stands for.</w:t>
      </w:r>
    </w:p>
    <w:p>
      <w:pPr>
        <w:pStyle w:val="Heading2"/>
        <w:spacing w:after="100" w:before="320"/>
      </w:pPr>
      <w:r>
        <w:rPr>
          <w:rFonts w:ascii="Arial" w:cs="Arial" w:eastAsia="Arial" w:hAnsi="Arial"/>
          <w:b/>
          <w:bCs/>
          <w:color w:val="2A6B5E"/>
          <w:sz w:val="26"/>
          <w:szCs w:val="26"/>
        </w:rPr>
        <w:t xml:space="preserve">Highest-Priority Next Steps</w:t>
      </w:r>
    </w:p>
    <w:p>
      <w:pPr>
        <w:pStyle w:val="ListParagraph"/>
        <w:numPr>
          <w:ilvl w:val="0"/>
          <w:numId w:val="3"/>
        </w:numPr>
        <w:spacing w:after="60" w:before="60"/>
      </w:pPr>
      <w:r>
        <w:rPr>
          <w:rFonts w:ascii="Arial" w:cs="Arial" w:eastAsia="Arial" w:hAnsi="Arial"/>
          <w:color w:val="1E1E1E"/>
          <w:sz w:val="22"/>
          <w:szCs w:val="22"/>
        </w:rPr>
        <w:t xml:space="preserve">Commission a website content audit and content completion plan — identify every empty page and assign ownership</w:t>
      </w:r>
    </w:p>
    <w:p>
      <w:pPr>
        <w:pStyle w:val="ListParagraph"/>
        <w:numPr>
          <w:ilvl w:val="0"/>
          <w:numId w:val="3"/>
        </w:numPr>
        <w:spacing w:after="60" w:before="60"/>
      </w:pPr>
      <w:r>
        <w:rPr>
          <w:rFonts w:ascii="Arial" w:cs="Arial" w:eastAsia="Arial" w:hAnsi="Arial"/>
          <w:color w:val="1E1E1E"/>
          <w:sz w:val="22"/>
          <w:szCs w:val="22"/>
        </w:rPr>
        <w:t xml:space="preserve">Set up analytics immediately — Google Analytics 4 + a simple conversion dashboard — so baseline data is captured from this point forward</w:t>
      </w:r>
    </w:p>
    <w:p>
      <w:pPr>
        <w:pStyle w:val="ListParagraph"/>
        <w:numPr>
          <w:ilvl w:val="0"/>
          <w:numId w:val="3"/>
        </w:numPr>
        <w:spacing w:after="60" w:before="60"/>
      </w:pPr>
      <w:r>
        <w:rPr>
          <w:rFonts w:ascii="Arial" w:cs="Arial" w:eastAsia="Arial" w:hAnsi="Arial"/>
          <w:color w:val="1E1E1E"/>
          <w:sz w:val="22"/>
          <w:szCs w:val="22"/>
        </w:rPr>
        <w:t xml:space="preserve">Build and launch an email opt-in with a high-value lead magnet (e.g., a free guide: "5 Practices for Eco-Anxiety &amp; Climate Grief") — start growing the audience now</w:t>
      </w:r>
    </w:p>
    <w:p>
      <w:pPr>
        <w:pStyle w:val="ListParagraph"/>
        <w:numPr>
          <w:ilvl w:val="0"/>
          <w:numId w:val="3"/>
        </w:numPr>
        <w:spacing w:after="60" w:before="60"/>
      </w:pPr>
      <w:r>
        <w:rPr>
          <w:rFonts w:ascii="Arial" w:cs="Arial" w:eastAsia="Arial" w:hAnsi="Arial"/>
          <w:color w:val="1E1E1E"/>
          <w:sz w:val="22"/>
          <w:szCs w:val="22"/>
        </w:rPr>
        <w:t xml:space="preserve">Scope the insurance verification API integration — this has the fastest ROI on admin time saved</w:t>
      </w:r>
    </w:p>
    <w:p>
      <w:pPr>
        <w:pStyle w:val="ListParagraph"/>
        <w:numPr>
          <w:ilvl w:val="0"/>
          <w:numId w:val="3"/>
        </w:numPr>
        <w:spacing w:after="60" w:before="60"/>
      </w:pPr>
      <w:r>
        <w:rPr>
          <w:rFonts w:ascii="Arial" w:cs="Arial" w:eastAsia="Arial" w:hAnsi="Arial"/>
          <w:color w:val="1E1E1E"/>
          <w:sz w:val="22"/>
          <w:szCs w:val="22"/>
        </w:rPr>
        <w:t xml:space="preserve">Begin production of the first online course — this is the highest-leverage revenue initiative and requires the most lead time</w:t>
      </w:r>
    </w:p>
    <w:p>
      <w:pPr>
        <w:pStyle w:val="Heading2"/>
        <w:spacing w:after="100" w:before="320"/>
      </w:pPr>
      <w:r>
        <w:rPr>
          <w:rFonts w:ascii="Arial" w:cs="Arial" w:eastAsia="Arial" w:hAnsi="Arial"/>
          <w:b/>
          <w:bCs/>
          <w:color w:val="2A6B5E"/>
          <w:sz w:val="26"/>
          <w:szCs w:val="26"/>
        </w:rPr>
        <w:t xml:space="preserve">Final Note for Decision-Makers</w:t>
      </w:r>
    </w:p>
    <w:p>
      <w:pPr>
        <w:spacing w:after="120" w:before="60"/>
      </w:pPr>
      <w:r>
        <w:rPr>
          <w:rFonts w:ascii="Arial" w:cs="Arial" w:eastAsia="Arial" w:hAnsi="Arial"/>
          <w:color w:val="1E1E1E"/>
          <w:sz w:val="22"/>
          <w:szCs w:val="22"/>
        </w:rPr>
        <w:t xml:space="preserve">A Human Sanctuary is not a typical therapy practice. Its founder brings rare clinical depth, a distinctive worldview, and genuine purpose to her work. The digital transformation opportunity here is not simply to build a better website — it is to build a digital ecosystem that extends the sanctuary itself into the world, reaching the people who need this work and can't yet find it.</w:t>
      </w:r>
    </w:p>
    <w:p>
      <w:pPr>
        <w:spacing w:after="120" w:before="60"/>
      </w:pPr>
      <w:r>
        <w:rPr>
          <w:rFonts w:ascii="Arial" w:cs="Arial" w:eastAsia="Arial" w:hAnsi="Arial"/>
          <w:color w:val="1E1E1E"/>
          <w:sz w:val="22"/>
          <w:szCs w:val="22"/>
        </w:rPr>
        <w:t xml:space="preserve">Every web service built for this practice should feel like an extension of the mountain forest where it began: grounded, intentional, alive, and restorative. That standard — held consistently — will differentiate A Human Sanctuary not just from other therapy practices, but from the noise of the entire wellness industry.</w:t>
      </w:r>
    </w:p>
    <w:p>
      <w:pPr>
        <w:pBdr>
          <w:bottom w:val="single" w:color="2E5E41" w:sz="4" w:space="1"/>
        </w:pBdr>
        <w:spacing w:after="280" w:before="280"/>
      </w:pPr>
    </w:p>
    <w:p>
      <w:pPr>
        <w:spacing w:after="80" w:before="200"/>
        <w:jc w:val="center"/>
      </w:pPr>
      <w:r>
        <w:rPr>
          <w:rFonts w:ascii="Arial" w:cs="Arial" w:eastAsia="Arial" w:hAnsi="Arial"/>
          <w:b/>
          <w:bCs/>
          <w:color w:val="2E5E41"/>
          <w:sz w:val="22"/>
          <w:szCs w:val="22"/>
        </w:rPr>
        <w:t xml:space="preserve">A Human Sanctuary</w:t>
      </w:r>
    </w:p>
    <w:p>
      <w:pPr>
        <w:spacing w:after="40" w:before="0"/>
        <w:jc w:val="center"/>
      </w:pPr>
      <w:r>
        <w:rPr>
          <w:rFonts w:ascii="Arial" w:cs="Arial" w:eastAsia="Arial" w:hAnsi="Arial"/>
          <w:color w:val="555555"/>
          <w:sz w:val="18"/>
          <w:szCs w:val="18"/>
        </w:rPr>
        <w:t xml:space="preserve">ahumansanctuary.com  ·  info@ahumansanctuary.com  ·  760-285-3125</w:t>
      </w:r>
    </w:p>
    <w:p>
      <w:pPr>
        <w:spacing w:after="0" w:before="0"/>
        <w:jc w:val="center"/>
      </w:pPr>
      <w:r>
        <w:rPr>
          <w:rFonts w:ascii="Arial" w:cs="Arial" w:eastAsia="Arial" w:hAnsi="Arial"/>
          <w:i/>
          <w:iCs/>
          <w:color w:val="555555"/>
          <w:sz w:val="18"/>
          <w:szCs w:val="18"/>
        </w:rPr>
        <w:t xml:space="preserve">25168 Franklin Drive, Idyllwild-Pine Cove, CA  ·  Confidential — May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560"/>
      <w:outlineLvl w:val="0"/>
    </w:pPr>
    <w:rPr>
      <w:rFonts w:ascii="Arial" w:cs="Arial" w:eastAsia="Arial" w:hAnsi="Arial"/>
      <w:b/>
      <w:bCs/>
      <w:color w:val="2E5E41"/>
      <w:sz w:val="34"/>
      <w:szCs w:val="34"/>
    </w:rPr>
  </w:style>
  <w:style w:type="paragraph" w:styleId="Heading2">
    <w:name w:val="Heading 2"/>
    <w:basedOn w:val="Normal"/>
    <w:next w:val="Normal"/>
    <w:qFormat/>
    <w:pPr>
      <w:spacing w:after="100" w:before="320"/>
      <w:outlineLvl w:val="1"/>
    </w:pPr>
    <w:rPr>
      <w:rFonts w:ascii="Arial" w:cs="Arial" w:eastAsia="Arial" w:hAnsi="Arial"/>
      <w:b/>
      <w:bCs/>
      <w:color w:val="2A6B5E"/>
      <w:sz w:val="26"/>
      <w:szCs w:val="26"/>
    </w:rPr>
  </w:style>
  <w:style w:type="paragraph" w:styleId="Heading3">
    <w:name w:val="Heading 3"/>
    <w:basedOn w:val="Normal"/>
    <w:next w:val="Normal"/>
    <w:qFormat/>
    <w:pPr>
      <w:spacing w:after="80" w:before="200"/>
      <w:outlineLvl w:val="2"/>
    </w:pPr>
    <w:rPr>
      <w:rFonts w:ascii="Arial" w:cs="Arial" w:eastAsia="Arial" w:hAnsi="Arial"/>
      <w:b/>
      <w:bCs/>
      <w:color w:val="3B4A5A"/>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2026-05-22T10:30:55.694Z</dcterms:created>
  <dcterms:modified xsi:type="dcterms:W3CDTF">2026-05-22T10:30:55.705Z</dcterms:modified>
</cp:coreProperties>
</file>

<file path=docProps/custom.xml><?xml version="1.0" encoding="utf-8"?>
<Properties xmlns="http://schemas.openxmlformats.org/officeDocument/2006/custom-properties" xmlns:vt="http://schemas.openxmlformats.org/officeDocument/2006/docPropsVTypes"/>
</file>