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6000"/>
        </w:trPr>
        <w:tc>
          <w:tcPr>
            <w:tcBorders>
              <w:top w:val="none"/>
              <w:left w:val="none"/>
              <w:bottom w:val="none"/>
              <w:right w:val="none"/>
            </w:tcBorders>
            <w:shd w:fill="1A3A5C" w:val="clear"/>
            <w:tcMar>
              <w:top w:type="dxa" w:w="1200"/>
              <w:left w:type="dxa" w:w="1440"/>
              <w:bottom w:type="dxa" w:w="600"/>
              <w:right w:type="dxa" w:w="1440"/>
            </w:tcMar>
            <w:vAlign w:val="center"/>
          </w:tcPr>
          <w:p>
            <w:pPr>
              <w:spacing w:after="200" w:before="0"/>
            </w:pPr>
            <w:r>
              <w:rPr>
                <w:rFonts w:ascii="Arial" w:cs="Arial" w:eastAsia="Arial" w:hAnsi="Arial"/>
                <w:b/>
                <w:bCs/>
                <w:color w:val="FFFFFF"/>
                <w:sz w:val="52"/>
                <w:szCs w:val="52"/>
              </w:rPr>
              <w:t xml:space="preserve">SICKLE CELL 101</w:t>
            </w:r>
          </w:p>
          <w:p>
            <w:pPr>
              <w:spacing w:after="300" w:before="0"/>
            </w:pPr>
            <w:r>
              <w:rPr>
                <w:rFonts w:ascii="Arial" w:cs="Arial" w:eastAsia="Arial" w:hAnsi="Arial"/>
                <w:color w:val="D6E8F5"/>
                <w:sz w:val="36"/>
                <w:szCs w:val="36"/>
              </w:rPr>
              <w:t xml:space="preserve">Business Operations Manual</w:t>
            </w:r>
          </w:p>
          <w:p>
            <w:pPr>
              <w:pBdr>
                <w:bottom w:val="single" w:color="B03A2E" w:sz="6" w:space="1"/>
              </w:pBdr>
              <w:spacing w:after="300" w:before="0"/>
            </w:pPr>
          </w:p>
          <w:p>
            <w:pPr>
              <w:spacing w:after="0" w:before="200"/>
            </w:pPr>
            <w:r>
              <w:rPr>
                <w:rFonts w:ascii="Arial" w:cs="Arial" w:eastAsia="Arial" w:hAnsi="Arial"/>
                <w:color w:val="8E9AAB"/>
                <w:sz w:val="22"/>
                <w:szCs w:val="22"/>
              </w:rPr>
              <w:t xml:space="preserve">For B2B Partners, BDRs, Agencies &amp; Consultants</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3960"/>
        <w:gridCol w:w="4320"/>
        <w:gridCol w:w="3960"/>
      </w:tblGrid>
      <w:tr>
        <w:trPr>
          <w:trHeight w:val="2200"/>
        </w:trPr>
        <w:tc>
          <w:tcPr>
            <w:tcBorders>
              <w:top w:val="none"/>
              <w:left w:val="none"/>
              <w:bottom w:val="none"/>
              <w:right w:val="none"/>
            </w:tcBorders>
            <w:shd w:fill="F4F6F8" w:val="clear"/>
            <w:tcMar>
              <w:top w:type="dxa" w:w="400"/>
              <w:left w:type="dxa" w:w="480"/>
              <w:bottom w:type="dxa" w:w="400"/>
              <w:right w:type="dxa" w:w="480"/>
            </w:tcMar>
            <w:vAlign w:val="center"/>
          </w:tcPr>
          <w:p>
            <w:r>
              <w:rPr>
                <w:rFonts w:ascii="Arial" w:cs="Arial" w:eastAsia="Arial" w:hAnsi="Arial"/>
                <w:color w:val="8E9AAB"/>
                <w:sz w:val="18"/>
                <w:szCs w:val="18"/>
              </w:rPr>
              <w:t xml:space="preserve">Organization</w:t>
            </w:r>
          </w:p>
          <w:p>
            <w:r>
              <w:rPr>
                <w:rFonts w:ascii="Arial" w:cs="Arial" w:eastAsia="Arial" w:hAnsi="Arial"/>
                <w:b/>
                <w:bCs/>
                <w:color w:val="1A3A5C"/>
                <w:sz w:val="22"/>
                <w:szCs w:val="22"/>
              </w:rPr>
              <w:t xml:space="preserve">Sickle Cell 101 (SC101)</w:t>
            </w:r>
          </w:p>
        </w:tc>
        <w:tc>
          <w:tcPr>
            <w:tcBorders>
              <w:top w:val="none"/>
              <w:left w:val="none"/>
              <w:bottom w:val="none"/>
              <w:right w:val="none"/>
            </w:tcBorders>
            <w:shd w:fill="D6E8F5" w:val="clear"/>
            <w:tcMar>
              <w:top w:type="dxa" w:w="400"/>
              <w:left w:type="dxa" w:w="480"/>
              <w:bottom w:type="dxa" w:w="400"/>
              <w:right w:type="dxa" w:w="480"/>
            </w:tcMar>
            <w:vAlign w:val="center"/>
          </w:tcPr>
          <w:p>
            <w:r>
              <w:rPr>
                <w:rFonts w:ascii="Arial" w:cs="Arial" w:eastAsia="Arial" w:hAnsi="Arial"/>
                <w:color w:val="8E9AAB"/>
                <w:sz w:val="18"/>
                <w:szCs w:val="18"/>
              </w:rPr>
              <w:t xml:space="preserve">Type</w:t>
            </w:r>
          </w:p>
          <w:p>
            <w:r>
              <w:rPr>
                <w:rFonts w:ascii="Arial" w:cs="Arial" w:eastAsia="Arial" w:hAnsi="Arial"/>
                <w:b/>
                <w:bCs/>
                <w:color w:val="1A3A5C"/>
                <w:sz w:val="22"/>
                <w:szCs w:val="22"/>
              </w:rPr>
              <w:t xml:space="preserve">501(c)(3) Nonprofit</w:t>
            </w:r>
          </w:p>
        </w:tc>
        <w:tc>
          <w:tcPr>
            <w:tcBorders>
              <w:top w:val="none"/>
              <w:left w:val="none"/>
              <w:bottom w:val="none"/>
              <w:right w:val="none"/>
            </w:tcBorders>
            <w:shd w:fill="F4F6F8" w:val="clear"/>
            <w:tcMar>
              <w:top w:type="dxa" w:w="400"/>
              <w:left w:type="dxa" w:w="480"/>
              <w:bottom w:type="dxa" w:w="400"/>
              <w:right w:type="dxa" w:w="480"/>
            </w:tcMar>
            <w:vAlign w:val="center"/>
          </w:tcPr>
          <w:p>
            <w:r>
              <w:rPr>
                <w:rFonts w:ascii="Arial" w:cs="Arial" w:eastAsia="Arial" w:hAnsi="Arial"/>
                <w:color w:val="8E9AAB"/>
                <w:sz w:val="18"/>
                <w:szCs w:val="18"/>
              </w:rPr>
              <w:t xml:space="preserve">Prepared</w:t>
            </w:r>
          </w:p>
          <w:p>
            <w:r>
              <w:rPr>
                <w:rFonts w:ascii="Arial" w:cs="Arial" w:eastAsia="Arial" w:hAnsi="Arial"/>
                <w:b/>
                <w:bCs/>
                <w:color w:val="1A3A5C"/>
                <w:sz w:val="22"/>
                <w:szCs w:val="22"/>
              </w:rPr>
              <w:t xml:space="preserve">April 2026</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7500"/>
        </w:trPr>
        <w:tc>
          <w:tcPr>
            <w:tcBorders>
              <w:top w:val="none"/>
              <w:left w:val="none"/>
              <w:bottom w:val="none"/>
              <w:right w:val="none"/>
            </w:tcBorders>
            <w:shd w:fill="FFFFFF" w:val="clear"/>
            <w:tcMar>
              <w:top w:type="dxa" w:w="600"/>
              <w:left w:type="dxa" w:w="1440"/>
              <w:bottom w:type="dxa" w:w="600"/>
              <w:right w:type="dxa" w:w="1440"/>
            </w:tcMar>
            <w:vAlign w:val="center"/>
          </w:tcPr>
          <w:p>
            <w:pPr>
              <w:spacing w:after="200" w:before="0"/>
            </w:pPr>
            <w:r>
              <w:rPr>
                <w:rFonts w:ascii="Arial" w:cs="Arial" w:eastAsia="Arial" w:hAnsi="Arial"/>
                <w:b/>
                <w:bCs/>
                <w:color w:val="1A3A5C"/>
                <w:sz w:val="24"/>
                <w:szCs w:val="24"/>
              </w:rPr>
              <w:t xml:space="preserve">About This Document</w:t>
            </w:r>
          </w:p>
          <w:p>
            <w:pPr>
              <w:spacing w:after="160" w:before="0"/>
            </w:pPr>
            <w:r>
              <w:rPr>
                <w:rFonts w:ascii="Arial" w:cs="Arial" w:eastAsia="Arial" w:hAnsi="Arial"/>
                <w:color w:val="1C1C1C"/>
                <w:sz w:val="22"/>
                <w:szCs w:val="22"/>
              </w:rPr>
              <w:t xml:space="preserve">This manual provides a full operational picture of Sickle Cell 101 (SC101). It is written for external service providers — including BDRs, marketing agencies, automation engineers, and technology consultants — who want to understand how SC101 works before approaching them as a partner.</w:t>
            </w:r>
          </w:p>
          <w:p>
            <w:pPr>
              <w:spacing w:after="160" w:before="0"/>
            </w:pPr>
            <w:r>
              <w:rPr>
                <w:rFonts w:ascii="Arial" w:cs="Arial" w:eastAsia="Arial" w:hAnsi="Arial"/>
                <w:color w:val="1C1C1C"/>
                <w:sz w:val="22"/>
                <w:szCs w:val="22"/>
              </w:rPr>
              <w:t xml:space="preserve">The document covers how SC101 is structured, how it generates and manages its community, what tools it uses, where it spends operational effort, and where external partners can add genuine value.</w:t>
            </w:r>
          </w:p>
          <w:p>
            <w:pPr>
              <w:spacing w:after="0" w:before="200"/>
            </w:pPr>
            <w:r>
              <w:rPr>
                <w:rFonts w:ascii="Arial" w:cs="Arial" w:eastAsia="Arial" w:hAnsi="Arial"/>
                <w:i/>
                <w:iCs/>
                <w:color w:val="8E9AAB"/>
                <w:sz w:val="20"/>
                <w:szCs w:val="20"/>
              </w:rPr>
              <w:t xml:space="preserve">sc101.org  |  hello@sc101.org  |  San Ramon, California</w:t>
            </w:r>
          </w:p>
        </w:tc>
      </w:tr>
    </w:tbl>
    <w:p>
      <w:pPr>
        <w:sectPr>
          <w:pgSz w:w="12240" w:h="15840" w:orient="portrait"/>
          <w:pgMar w:top="0" w:right="0" w:bottom="0" w:left="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3A5C" w:val="clear"/>
            <w:tcMar>
              <w:top w:type="dxa" w:w="160"/>
              <w:left w:type="dxa" w:w="240"/>
              <w:bottom w:type="dxa" w:w="160"/>
              <w:right w:type="dxa" w:w="240"/>
            </w:tcMar>
          </w:tcPr>
          <w:p>
            <w:pPr>
              <w:spacing w:after="0" w:before="0"/>
            </w:pPr>
            <w:r>
              <w:rPr>
                <w:rFonts w:ascii="Arial" w:cs="Arial" w:eastAsia="Arial" w:hAnsi="Arial"/>
                <w:b/>
                <w:bCs/>
                <w:color w:val="B03A2E"/>
                <w:sz w:val="30"/>
                <w:szCs w:val="30"/>
              </w:rPr>
              <w:t xml:space="preserve">01  </w:t>
            </w:r>
            <w:r>
              <w:rPr>
                <w:rFonts w:ascii="Arial" w:cs="Arial" w:eastAsia="Arial" w:hAnsi="Arial"/>
                <w:b/>
                <w:bCs/>
                <w:color w:val="FFFFFF"/>
                <w:sz w:val="30"/>
                <w:szCs w:val="30"/>
              </w:rPr>
              <w:t xml:space="preserve">Company Overview</w:t>
            </w:r>
          </w:p>
        </w:tc>
      </w:tr>
    </w:tbl>
    <w:p>
      <w:pPr>
        <w:spacing w:after="120" w:before="160"/>
      </w:pPr>
    </w:p>
    <w:p>
      <w:pPr>
        <w:pStyle w:val="Heading3"/>
        <w:spacing w:after="80" w:before="200"/>
      </w:pPr>
      <w:r>
        <w:rPr>
          <w:rFonts w:ascii="Arial" w:cs="Arial" w:eastAsia="Arial" w:hAnsi="Arial"/>
          <w:b/>
          <w:bCs/>
          <w:color w:val="2E6DA4"/>
          <w:sz w:val="22"/>
          <w:szCs w:val="22"/>
        </w:rPr>
        <w:t xml:space="preserve">1.1 Business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Legal Name</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Sickle Cell 101</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Common Name / Acronym</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SC101</w:t>
            </w:r>
          </w:p>
        </w:tc>
      </w:tr>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Website</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https://www.sc101.org</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Contact Email</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hello@sc101.org</w:t>
            </w:r>
          </w:p>
        </w:tc>
      </w:tr>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Location</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San Ramon, California (Silicon Valley area)</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Founded</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2013</w:t>
            </w:r>
          </w:p>
        </w:tc>
      </w:tr>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Legal Status</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501(c)(3) Nonprofit Organization</w:t>
            </w:r>
          </w:p>
        </w:tc>
      </w:tr>
    </w:tbl>
    <w:p>
      <w:pPr>
        <w:spacing w:after="100" w:before="100"/>
      </w:pPr>
    </w:p>
    <w:p>
      <w:pPr>
        <w:pStyle w:val="Heading3"/>
        <w:spacing w:after="80" w:before="200"/>
      </w:pPr>
      <w:r>
        <w:rPr>
          <w:rFonts w:ascii="Arial" w:cs="Arial" w:eastAsia="Arial" w:hAnsi="Arial"/>
          <w:b/>
          <w:bCs/>
          <w:color w:val="2E6DA4"/>
          <w:sz w:val="22"/>
          <w:szCs w:val="22"/>
        </w:rPr>
        <w:t xml:space="preserve">1.2 Industry</w:t>
      </w:r>
    </w:p>
    <w:p>
      <w:pPr>
        <w:spacing w:after="100" w:before="60"/>
      </w:pPr>
      <w:r>
        <w:rPr>
          <w:rFonts w:ascii="Arial" w:cs="Arial" w:eastAsia="Arial" w:hAnsi="Arial"/>
          <w:color w:val="1C1C1C"/>
          <w:sz w:val="22"/>
          <w:szCs w:val="22"/>
        </w:rPr>
        <w:t xml:space="preserve">SC101 operates in the health education and patient advocacy sector. It focuses exclusively on sickle cell disease (SCD) and sickle cell trait (SCT). It is not a hospital, clinic, or pharmaceutical company. It is a digital education and community platform built for a specific patient population.</w:t>
      </w:r>
    </w:p>
    <w:p>
      <w:pPr>
        <w:spacing w:after="100" w:before="100"/>
      </w:pPr>
    </w:p>
    <w:p>
      <w:pPr>
        <w:pStyle w:val="Heading3"/>
        <w:spacing w:after="80" w:before="200"/>
      </w:pPr>
      <w:r>
        <w:rPr>
          <w:rFonts w:ascii="Arial" w:cs="Arial" w:eastAsia="Arial" w:hAnsi="Arial"/>
          <w:b/>
          <w:bCs/>
          <w:color w:val="2E6DA4"/>
          <w:sz w:val="22"/>
          <w:szCs w:val="22"/>
        </w:rPr>
        <w:t xml:space="preserve">1.3 Core Products or Services</w:t>
      </w:r>
    </w:p>
    <w:p>
      <w:pPr>
        <w:spacing w:after="100" w:before="60"/>
      </w:pPr>
      <w:r>
        <w:rPr>
          <w:rFonts w:ascii="Arial" w:cs="Arial" w:eastAsia="Arial" w:hAnsi="Arial"/>
          <w:color w:val="1C1C1C"/>
          <w:sz w:val="22"/>
          <w:szCs w:val="22"/>
        </w:rPr>
        <w:t xml:space="preserve">SC101 provides several free digital resources:</w:t>
      </w:r>
    </w:p>
    <w:p>
      <w:pPr>
        <w:pStyle w:val="ListParagraph"/>
        <w:numPr>
          <w:ilvl w:val="0"/>
          <w:numId w:val="2"/>
        </w:numPr>
        <w:spacing w:after="40" w:before="40"/>
      </w:pPr>
      <w:r>
        <w:rPr>
          <w:rFonts w:ascii="Arial" w:cs="Arial" w:eastAsia="Arial" w:hAnsi="Arial"/>
          <w:color w:val="1C1C1C"/>
          <w:sz w:val="22"/>
          <w:szCs w:val="22"/>
        </w:rPr>
        <w:t xml:space="preserve">Learn Center — a library of patient-friendly articles, videos, and guides about sickle cell disease</w:t>
      </w:r>
    </w:p>
    <w:p>
      <w:pPr>
        <w:pStyle w:val="ListParagraph"/>
        <w:numPr>
          <w:ilvl w:val="0"/>
          <w:numId w:val="2"/>
        </w:numPr>
        <w:spacing w:after="40" w:before="40"/>
      </w:pPr>
      <w:r>
        <w:rPr>
          <w:rFonts w:ascii="Arial" w:cs="Arial" w:eastAsia="Arial" w:hAnsi="Arial"/>
          <w:color w:val="1C1C1C"/>
          <w:sz w:val="22"/>
          <w:szCs w:val="22"/>
        </w:rPr>
        <w:t xml:space="preserve">Sicklepedia — an encyclopedia of sickle cell terms and topics written in plain language</w:t>
      </w:r>
    </w:p>
    <w:p>
      <w:pPr>
        <w:pStyle w:val="ListParagraph"/>
        <w:numPr>
          <w:ilvl w:val="0"/>
          <w:numId w:val="2"/>
        </w:numPr>
        <w:spacing w:after="40" w:before="40"/>
      </w:pPr>
      <w:r>
        <w:rPr>
          <w:rFonts w:ascii="Arial" w:cs="Arial" w:eastAsia="Arial" w:hAnsi="Arial"/>
          <w:color w:val="1C1C1C"/>
          <w:sz w:val="22"/>
          <w:szCs w:val="22"/>
        </w:rPr>
        <w:t xml:space="preserve">Sickle Cell Studies — a platform listing active clinical trials, surveys, and research opportunities</w:t>
      </w:r>
    </w:p>
    <w:p>
      <w:pPr>
        <w:pStyle w:val="ListParagraph"/>
        <w:numPr>
          <w:ilvl w:val="0"/>
          <w:numId w:val="2"/>
        </w:numPr>
        <w:spacing w:after="40" w:before="40"/>
      </w:pPr>
      <w:r>
        <w:rPr>
          <w:rFonts w:ascii="Arial" w:cs="Arial" w:eastAsia="Arial" w:hAnsi="Arial"/>
          <w:color w:val="1C1C1C"/>
          <w:sz w:val="22"/>
          <w:szCs w:val="22"/>
        </w:rPr>
        <w:t xml:space="preserve">The Sickle Cell Podcast — audio content covering disease management, advocacy, and lived experiences</w:t>
      </w:r>
    </w:p>
    <w:p>
      <w:pPr>
        <w:pStyle w:val="ListParagraph"/>
        <w:numPr>
          <w:ilvl w:val="0"/>
          <w:numId w:val="2"/>
        </w:numPr>
        <w:spacing w:after="40" w:before="40"/>
      </w:pPr>
      <w:r>
        <w:rPr>
          <w:rFonts w:ascii="Arial" w:cs="Arial" w:eastAsia="Arial" w:hAnsi="Arial"/>
          <w:color w:val="1C1C1C"/>
          <w:sz w:val="22"/>
          <w:szCs w:val="22"/>
        </w:rPr>
        <w:t xml:space="preserve">Ask the Experts (Live) — real-time Q&amp;A sessions on Instagram and YouTube with medical specialists</w:t>
      </w:r>
    </w:p>
    <w:p>
      <w:pPr>
        <w:pStyle w:val="ListParagraph"/>
        <w:numPr>
          <w:ilvl w:val="0"/>
          <w:numId w:val="2"/>
        </w:numPr>
        <w:spacing w:after="40" w:before="40"/>
      </w:pPr>
      <w:r>
        <w:rPr>
          <w:rFonts w:ascii="Arial" w:cs="Arial" w:eastAsia="Arial" w:hAnsi="Arial"/>
          <w:color w:val="1C1C1C"/>
          <w:sz w:val="22"/>
          <w:szCs w:val="22"/>
        </w:rPr>
        <w:t xml:space="preserve">FACTSS App — a mobile application for the community (listed as 'coming soon' on the website)</w:t>
      </w:r>
    </w:p>
    <w:p>
      <w:pPr>
        <w:pStyle w:val="ListParagraph"/>
        <w:numPr>
          <w:ilvl w:val="0"/>
          <w:numId w:val="2"/>
        </w:numPr>
        <w:spacing w:after="40" w:before="40"/>
      </w:pPr>
      <w:r>
        <w:rPr>
          <w:rFonts w:ascii="Arial" w:cs="Arial" w:eastAsia="Arial" w:hAnsi="Arial"/>
          <w:color w:val="1C1C1C"/>
          <w:sz w:val="22"/>
          <w:szCs w:val="22"/>
        </w:rPr>
        <w:t xml:space="preserve">Educational social media posts — graphics, videos, and factual content shared across platforms</w:t>
      </w:r>
    </w:p>
    <w:p>
      <w:pPr>
        <w:pStyle w:val="ListParagraph"/>
        <w:numPr>
          <w:ilvl w:val="0"/>
          <w:numId w:val="2"/>
        </w:numPr>
        <w:spacing w:after="40" w:before="40"/>
      </w:pPr>
      <w:r>
        <w:rPr>
          <w:rFonts w:ascii="Arial" w:cs="Arial" w:eastAsia="Arial" w:hAnsi="Arial"/>
          <w:color w:val="1C1C1C"/>
          <w:sz w:val="22"/>
          <w:szCs w:val="22"/>
        </w:rPr>
        <w:t xml:space="preserve">#OurVoice Survey — a bi-annual anonymous global survey of people living with SCD</w:t>
      </w:r>
    </w:p>
    <w:p>
      <w:pPr>
        <w:spacing w:after="100" w:before="100"/>
      </w:pPr>
    </w:p>
    <w:p>
      <w:pPr>
        <w:pStyle w:val="Heading3"/>
        <w:spacing w:after="80" w:before="200"/>
      </w:pPr>
      <w:r>
        <w:rPr>
          <w:rFonts w:ascii="Arial" w:cs="Arial" w:eastAsia="Arial" w:hAnsi="Arial"/>
          <w:b/>
          <w:bCs/>
          <w:color w:val="2E6DA4"/>
          <w:sz w:val="22"/>
          <w:szCs w:val="22"/>
        </w:rPr>
        <w:t xml:space="preserve">1.4 Target Customers</w:t>
      </w:r>
    </w:p>
    <w:p>
      <w:pPr>
        <w:spacing w:after="100" w:before="60"/>
      </w:pPr>
      <w:r>
        <w:rPr>
          <w:rFonts w:ascii="Arial" w:cs="Arial" w:eastAsia="Arial" w:hAnsi="Arial"/>
          <w:color w:val="1C1C1C"/>
          <w:sz w:val="22"/>
          <w:szCs w:val="22"/>
        </w:rPr>
        <w:t xml:space="preserve">SC101 does not have 'customers' in the traditional sense because most of its content is free. Its primary audiences are:</w:t>
      </w:r>
    </w:p>
    <w:p>
      <w:pPr>
        <w:pStyle w:val="ListParagraph"/>
        <w:numPr>
          <w:ilvl w:val="0"/>
          <w:numId w:val="2"/>
        </w:numPr>
        <w:spacing w:after="40" w:before="40"/>
      </w:pPr>
      <w:r>
        <w:rPr>
          <w:rFonts w:ascii="Arial" w:cs="Arial" w:eastAsia="Arial" w:hAnsi="Arial"/>
          <w:color w:val="1C1C1C"/>
          <w:sz w:val="22"/>
          <w:szCs w:val="22"/>
        </w:rPr>
        <w:t xml:space="preserve">People living with sickle cell disease — over 70% of its user base</w:t>
      </w:r>
    </w:p>
    <w:p>
      <w:pPr>
        <w:pStyle w:val="ListParagraph"/>
        <w:numPr>
          <w:ilvl w:val="0"/>
          <w:numId w:val="2"/>
        </w:numPr>
        <w:spacing w:after="40" w:before="40"/>
      </w:pPr>
      <w:r>
        <w:rPr>
          <w:rFonts w:ascii="Arial" w:cs="Arial" w:eastAsia="Arial" w:hAnsi="Arial"/>
          <w:color w:val="1C1C1C"/>
          <w:sz w:val="22"/>
          <w:szCs w:val="22"/>
        </w:rPr>
        <w:t xml:space="preserve">Caregivers and family members of SCD patients</w:t>
      </w:r>
    </w:p>
    <w:p>
      <w:pPr>
        <w:pStyle w:val="ListParagraph"/>
        <w:numPr>
          <w:ilvl w:val="0"/>
          <w:numId w:val="2"/>
        </w:numPr>
        <w:spacing w:after="40" w:before="40"/>
      </w:pPr>
      <w:r>
        <w:rPr>
          <w:rFonts w:ascii="Arial" w:cs="Arial" w:eastAsia="Arial" w:hAnsi="Arial"/>
          <w:color w:val="1C1C1C"/>
          <w:sz w:val="22"/>
          <w:szCs w:val="22"/>
        </w:rPr>
        <w:t xml:space="preserve">Healthcare providers — doctors, nurses, and specialists who treat SCD</w:t>
      </w:r>
    </w:p>
    <w:p>
      <w:pPr>
        <w:pStyle w:val="ListParagraph"/>
        <w:numPr>
          <w:ilvl w:val="0"/>
          <w:numId w:val="2"/>
        </w:numPr>
        <w:spacing w:after="40" w:before="40"/>
      </w:pPr>
      <w:r>
        <w:rPr>
          <w:rFonts w:ascii="Arial" w:cs="Arial" w:eastAsia="Arial" w:hAnsi="Arial"/>
          <w:color w:val="1C1C1C"/>
          <w:sz w:val="22"/>
          <w:szCs w:val="22"/>
        </w:rPr>
        <w:t xml:space="preserve">Researchers and clinical trial teams who want to reach the SCD community</w:t>
      </w:r>
    </w:p>
    <w:p>
      <w:pPr>
        <w:pStyle w:val="ListParagraph"/>
        <w:numPr>
          <w:ilvl w:val="0"/>
          <w:numId w:val="2"/>
        </w:numPr>
        <w:spacing w:after="40" w:before="40"/>
      </w:pPr>
      <w:r>
        <w:rPr>
          <w:rFonts w:ascii="Arial" w:cs="Arial" w:eastAsia="Arial" w:hAnsi="Arial"/>
          <w:color w:val="1C1C1C"/>
          <w:sz w:val="22"/>
          <w:szCs w:val="22"/>
        </w:rPr>
        <w:t xml:space="preserve">Pharmaceutical and biotech companies with SCD pipeline products</w:t>
      </w:r>
    </w:p>
    <w:p>
      <w:pPr>
        <w:pStyle w:val="ListParagraph"/>
        <w:numPr>
          <w:ilvl w:val="0"/>
          <w:numId w:val="2"/>
        </w:numPr>
        <w:spacing w:after="40" w:before="40"/>
      </w:pPr>
      <w:r>
        <w:rPr>
          <w:rFonts w:ascii="Arial" w:cs="Arial" w:eastAsia="Arial" w:hAnsi="Arial"/>
          <w:color w:val="1C1C1C"/>
          <w:sz w:val="22"/>
          <w:szCs w:val="22"/>
        </w:rPr>
        <w:t xml:space="preserve">Government agencies and public health bodies</w:t>
      </w:r>
    </w:p>
    <w:p>
      <w:pPr>
        <w:pStyle w:val="ListParagraph"/>
        <w:numPr>
          <w:ilvl w:val="0"/>
          <w:numId w:val="2"/>
        </w:numPr>
        <w:spacing w:after="40" w:before="40"/>
      </w:pPr>
      <w:r>
        <w:rPr>
          <w:rFonts w:ascii="Arial" w:cs="Arial" w:eastAsia="Arial" w:hAnsi="Arial"/>
          <w:color w:val="1C1C1C"/>
          <w:sz w:val="22"/>
          <w:szCs w:val="22"/>
        </w:rPr>
        <w:t xml:space="preserve">Other patient advocacy organizations</w:t>
      </w:r>
    </w:p>
    <w:p>
      <w:pPr>
        <w:spacing w:after="100" w:before="100"/>
      </w:pPr>
    </w:p>
    <w:p>
      <w:pPr>
        <w:pStyle w:val="Heading3"/>
        <w:spacing w:after="80" w:before="200"/>
      </w:pPr>
      <w:r>
        <w:rPr>
          <w:rFonts w:ascii="Arial" w:cs="Arial" w:eastAsia="Arial" w:hAnsi="Arial"/>
          <w:b/>
          <w:bCs/>
          <w:color w:val="2E6DA4"/>
          <w:sz w:val="22"/>
          <w:szCs w:val="22"/>
        </w:rPr>
        <w:t xml:space="preserve">1.5 Value Proposition</w:t>
      </w:r>
    </w:p>
    <w:p>
      <w:pPr>
        <w:spacing w:after="100" w:before="60"/>
      </w:pPr>
      <w:r>
        <w:rPr>
          <w:rFonts w:ascii="Arial" w:cs="Arial" w:eastAsia="Arial" w:hAnsi="Arial"/>
          <w:color w:val="1C1C1C"/>
          <w:sz w:val="22"/>
          <w:szCs w:val="22"/>
        </w:rPr>
        <w:t xml:space="preserve">SC101 is the largest digital platform dedicated solely to sickle cell education. It has the largest following of SCD patients and caregivers on Instagram. It reaches people in over 130 countries. Its content is trusted because it is produced by SCD patients, certified educators, and medical experts. It combines patient lived experience with clinical accuracy — something that neither hospitals nor pharma companies do well on their own.</w:t>
      </w:r>
    </w:p>
    <w:p>
      <w:pPr>
        <w:spacing w:after="100" w:before="100"/>
      </w:pPr>
    </w:p>
    <w:p>
      <w:pPr>
        <w:pStyle w:val="Heading3"/>
        <w:spacing w:after="80" w:before="200"/>
      </w:pPr>
      <w:r>
        <w:rPr>
          <w:rFonts w:ascii="Arial" w:cs="Arial" w:eastAsia="Arial" w:hAnsi="Arial"/>
          <w:b/>
          <w:bCs/>
          <w:color w:val="2E6DA4"/>
          <w:sz w:val="22"/>
          <w:szCs w:val="22"/>
        </w:rPr>
        <w:t xml:space="preserve">1.6 Business Model</w:t>
      </w:r>
    </w:p>
    <w:p>
      <w:pPr>
        <w:spacing w:after="100" w:before="60"/>
      </w:pPr>
      <w:r>
        <w:rPr>
          <w:rFonts w:ascii="Arial" w:cs="Arial" w:eastAsia="Arial" w:hAnsi="Arial"/>
          <w:color w:val="1C1C1C"/>
          <w:sz w:val="22"/>
          <w:szCs w:val="22"/>
        </w:rPr>
        <w:t xml:space="preserve">SC101 is a nonprofit. It does not charge the public for content or services. Revenue comes from:</w:t>
      </w:r>
    </w:p>
    <w:p>
      <w:pPr>
        <w:pStyle w:val="ListParagraph"/>
        <w:numPr>
          <w:ilvl w:val="0"/>
          <w:numId w:val="2"/>
        </w:numPr>
        <w:spacing w:after="40" w:before="40"/>
      </w:pPr>
      <w:r>
        <w:rPr>
          <w:rFonts w:ascii="Arial" w:cs="Arial" w:eastAsia="Arial" w:hAnsi="Arial"/>
          <w:color w:val="1C1C1C"/>
          <w:sz w:val="22"/>
          <w:szCs w:val="22"/>
        </w:rPr>
        <w:t xml:space="preserve">Grants — from pharmaceutical and biotech companies (confirmed sponsors include Novo Nordisk, Pfizer Rare Disease, Agios, Vertex, Beam)</w:t>
      </w:r>
    </w:p>
    <w:p>
      <w:pPr>
        <w:pStyle w:val="ListParagraph"/>
        <w:numPr>
          <w:ilvl w:val="0"/>
          <w:numId w:val="2"/>
        </w:numPr>
        <w:spacing w:after="40" w:before="40"/>
      </w:pPr>
      <w:r>
        <w:rPr>
          <w:rFonts w:ascii="Arial" w:cs="Arial" w:eastAsia="Arial" w:hAnsi="Arial"/>
          <w:color w:val="1C1C1C"/>
          <w:sz w:val="22"/>
          <w:szCs w:val="22"/>
        </w:rPr>
        <w:t xml:space="preserve">Consulting and advocacy contracts — Cassandra Trimnell and the team work as paid consultants for pharma companies, hospitals, research institutions, and government agencies</w:t>
      </w:r>
    </w:p>
    <w:p>
      <w:pPr>
        <w:pStyle w:val="ListParagraph"/>
        <w:numPr>
          <w:ilvl w:val="0"/>
          <w:numId w:val="2"/>
        </w:numPr>
        <w:spacing w:after="40" w:before="40"/>
      </w:pPr>
      <w:r>
        <w:rPr>
          <w:rFonts w:ascii="Arial" w:cs="Arial" w:eastAsia="Arial" w:hAnsi="Arial"/>
          <w:color w:val="1C1C1C"/>
          <w:sz w:val="22"/>
          <w:szCs w:val="22"/>
        </w:rPr>
        <w:t xml:space="preserve">Donations — from the public and supporters via the website</w:t>
      </w:r>
    </w:p>
    <w:p>
      <w:pPr>
        <w:pStyle w:val="ListParagraph"/>
        <w:numPr>
          <w:ilvl w:val="0"/>
          <w:numId w:val="2"/>
        </w:numPr>
        <w:spacing w:after="40" w:before="40"/>
      </w:pPr>
      <w:r>
        <w:rPr>
          <w:rFonts w:ascii="Arial" w:cs="Arial" w:eastAsia="Arial" w:hAnsi="Arial"/>
          <w:color w:val="1C1C1C"/>
          <w:sz w:val="22"/>
          <w:szCs w:val="22"/>
        </w:rPr>
        <w:t xml:space="preserve">Partnership programs — formal partnerships with companies like 23andMe where SC101 provides access to the community in exchange for resources (e.g., free testing kits for participants)</w:t>
      </w:r>
    </w:p>
    <w:p>
      <w:pPr>
        <w:spacing w:after="100" w:before="60"/>
      </w:pPr>
      <w:r>
        <w:rPr>
          <w:rFonts w:ascii="Arial" w:cs="Arial" w:eastAsia="Arial" w:hAnsi="Arial"/>
          <w:color w:val="1C1C1C"/>
          <w:sz w:val="22"/>
          <w:szCs w:val="22"/>
        </w:rPr>
        <w:t xml:space="preserve">SC101 does not sell individual memberships or charge for content access. Its financial model depends on institutional sponsors and contracts, not direct consumer revenue.</w:t>
      </w:r>
    </w:p>
    <w:p>
      <w:pP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3A5C" w:val="clear"/>
            <w:tcMar>
              <w:top w:type="dxa" w:w="160"/>
              <w:left w:type="dxa" w:w="240"/>
              <w:bottom w:type="dxa" w:w="160"/>
              <w:right w:type="dxa" w:w="240"/>
            </w:tcMar>
          </w:tcPr>
          <w:p>
            <w:pPr>
              <w:spacing w:after="0" w:before="0"/>
            </w:pPr>
            <w:r>
              <w:rPr>
                <w:rFonts w:ascii="Arial" w:cs="Arial" w:eastAsia="Arial" w:hAnsi="Arial"/>
                <w:b/>
                <w:bCs/>
                <w:color w:val="B03A2E"/>
                <w:sz w:val="30"/>
                <w:szCs w:val="30"/>
              </w:rPr>
              <w:t xml:space="preserve">02  </w:t>
            </w:r>
            <w:r>
              <w:rPr>
                <w:rFonts w:ascii="Arial" w:cs="Arial" w:eastAsia="Arial" w:hAnsi="Arial"/>
                <w:b/>
                <w:bCs/>
                <w:color w:val="FFFFFF"/>
                <w:sz w:val="30"/>
                <w:szCs w:val="30"/>
              </w:rPr>
              <w:t xml:space="preserve">Customer Segments</w:t>
            </w:r>
          </w:p>
        </w:tc>
      </w:tr>
    </w:tbl>
    <w:p>
      <w:pPr>
        <w:spacing w:after="120" w:before="160"/>
      </w:pPr>
    </w:p>
    <w:p>
      <w:pPr>
        <w:pStyle w:val="Heading3"/>
        <w:spacing w:after="80" w:before="200"/>
      </w:pPr>
      <w:r>
        <w:rPr>
          <w:rFonts w:ascii="Arial" w:cs="Arial" w:eastAsia="Arial" w:hAnsi="Arial"/>
          <w:b/>
          <w:bCs/>
          <w:color w:val="2E6DA4"/>
          <w:sz w:val="22"/>
          <w:szCs w:val="22"/>
        </w:rPr>
        <w:t xml:space="preserve">2.1 Ideal Customer Profile</w:t>
      </w:r>
    </w:p>
    <w:p>
      <w:pPr>
        <w:spacing w:after="100" w:before="60"/>
      </w:pPr>
      <w:r>
        <w:rPr>
          <w:rFonts w:ascii="Arial" w:cs="Arial" w:eastAsia="Arial" w:hAnsi="Arial"/>
          <w:color w:val="1C1C1C"/>
          <w:sz w:val="22"/>
          <w:szCs w:val="22"/>
        </w:rPr>
        <w:t xml:space="preserve">The ideal institutional partner or funder for SC101 is a pharmaceutical, biotech, or medical organization that:</w:t>
      </w:r>
    </w:p>
    <w:p>
      <w:pPr>
        <w:pStyle w:val="ListParagraph"/>
        <w:numPr>
          <w:ilvl w:val="0"/>
          <w:numId w:val="2"/>
        </w:numPr>
        <w:spacing w:after="40" w:before="40"/>
      </w:pPr>
      <w:r>
        <w:rPr>
          <w:rFonts w:ascii="Arial" w:cs="Arial" w:eastAsia="Arial" w:hAnsi="Arial"/>
          <w:color w:val="1C1C1C"/>
          <w:sz w:val="22"/>
          <w:szCs w:val="22"/>
        </w:rPr>
        <w:t xml:space="preserve">Has a product, drug, or clinical trial related to sickle cell disease or hemolytic anemias</w:t>
      </w:r>
    </w:p>
    <w:p>
      <w:pPr>
        <w:pStyle w:val="ListParagraph"/>
        <w:numPr>
          <w:ilvl w:val="0"/>
          <w:numId w:val="2"/>
        </w:numPr>
        <w:spacing w:after="40" w:before="40"/>
      </w:pPr>
      <w:r>
        <w:rPr>
          <w:rFonts w:ascii="Arial" w:cs="Arial" w:eastAsia="Arial" w:hAnsi="Arial"/>
          <w:color w:val="1C1C1C"/>
          <w:sz w:val="22"/>
          <w:szCs w:val="22"/>
        </w:rPr>
        <w:t xml:space="preserve">Needs access to a large, trusted, and engaged SCD community</w:t>
      </w:r>
    </w:p>
    <w:p>
      <w:pPr>
        <w:pStyle w:val="ListParagraph"/>
        <w:numPr>
          <w:ilvl w:val="0"/>
          <w:numId w:val="2"/>
        </w:numPr>
        <w:spacing w:after="40" w:before="40"/>
      </w:pPr>
      <w:r>
        <w:rPr>
          <w:rFonts w:ascii="Arial" w:cs="Arial" w:eastAsia="Arial" w:hAnsi="Arial"/>
          <w:color w:val="1C1C1C"/>
          <w:sz w:val="22"/>
          <w:szCs w:val="22"/>
        </w:rPr>
        <w:t xml:space="preserve">Needs patient insights, community education, or advocacy support</w:t>
      </w:r>
    </w:p>
    <w:p>
      <w:pPr>
        <w:pStyle w:val="ListParagraph"/>
        <w:numPr>
          <w:ilvl w:val="0"/>
          <w:numId w:val="2"/>
        </w:numPr>
        <w:spacing w:after="40" w:before="40"/>
      </w:pPr>
      <w:r>
        <w:rPr>
          <w:rFonts w:ascii="Arial" w:cs="Arial" w:eastAsia="Arial" w:hAnsi="Arial"/>
          <w:color w:val="1C1C1C"/>
          <w:sz w:val="22"/>
          <w:szCs w:val="22"/>
        </w:rPr>
        <w:t xml:space="preserve">Operates globally or wants to expand reach in the US, Africa, Europe, or the Caribbean</w:t>
      </w:r>
    </w:p>
    <w:p>
      <w:pPr>
        <w:spacing w:after="100" w:before="100"/>
      </w:pPr>
    </w:p>
    <w:p>
      <w:pPr>
        <w:pStyle w:val="Heading3"/>
        <w:spacing w:after="80" w:before="200"/>
      </w:pPr>
      <w:r>
        <w:rPr>
          <w:rFonts w:ascii="Arial" w:cs="Arial" w:eastAsia="Arial" w:hAnsi="Arial"/>
          <w:b/>
          <w:bCs/>
          <w:color w:val="2E6DA4"/>
          <w:sz w:val="22"/>
          <w:szCs w:val="22"/>
        </w:rPr>
        <w:t xml:space="preserve">2.2 Customer Industries</w:t>
      </w:r>
    </w:p>
    <w:p>
      <w:pPr>
        <w:pStyle w:val="ListParagraph"/>
        <w:numPr>
          <w:ilvl w:val="0"/>
          <w:numId w:val="2"/>
        </w:numPr>
        <w:spacing w:after="40" w:before="40"/>
      </w:pPr>
      <w:r>
        <w:rPr>
          <w:rFonts w:ascii="Arial" w:cs="Arial" w:eastAsia="Arial" w:hAnsi="Arial"/>
          <w:color w:val="1C1C1C"/>
          <w:sz w:val="22"/>
          <w:szCs w:val="22"/>
        </w:rPr>
        <w:t xml:space="preserve">Pharmaceutical and biotech companies (primary revenue partners)</w:t>
      </w:r>
    </w:p>
    <w:p>
      <w:pPr>
        <w:pStyle w:val="ListParagraph"/>
        <w:numPr>
          <w:ilvl w:val="0"/>
          <w:numId w:val="2"/>
        </w:numPr>
        <w:spacing w:after="40" w:before="40"/>
      </w:pPr>
      <w:r>
        <w:rPr>
          <w:rFonts w:ascii="Arial" w:cs="Arial" w:eastAsia="Arial" w:hAnsi="Arial"/>
          <w:color w:val="1C1C1C"/>
          <w:sz w:val="22"/>
          <w:szCs w:val="22"/>
        </w:rPr>
        <w:t xml:space="preserve">Academic medical centers and research institutes</w:t>
      </w:r>
    </w:p>
    <w:p>
      <w:pPr>
        <w:pStyle w:val="ListParagraph"/>
        <w:numPr>
          <w:ilvl w:val="0"/>
          <w:numId w:val="2"/>
        </w:numPr>
        <w:spacing w:after="40" w:before="40"/>
      </w:pPr>
      <w:r>
        <w:rPr>
          <w:rFonts w:ascii="Arial" w:cs="Arial" w:eastAsia="Arial" w:hAnsi="Arial"/>
          <w:color w:val="1C1C1C"/>
          <w:sz w:val="22"/>
          <w:szCs w:val="22"/>
        </w:rPr>
        <w:t xml:space="preserve">US government agencies (NIH, FDA, NHGRI, etc.)</w:t>
      </w:r>
    </w:p>
    <w:p>
      <w:pPr>
        <w:pStyle w:val="ListParagraph"/>
        <w:numPr>
          <w:ilvl w:val="0"/>
          <w:numId w:val="2"/>
        </w:numPr>
        <w:spacing w:after="40" w:before="40"/>
      </w:pPr>
      <w:r>
        <w:rPr>
          <w:rFonts w:ascii="Arial" w:cs="Arial" w:eastAsia="Arial" w:hAnsi="Arial"/>
          <w:color w:val="1C1C1C"/>
          <w:sz w:val="22"/>
          <w:szCs w:val="22"/>
        </w:rPr>
        <w:t xml:space="preserve">Nonprofit health organizations and patient advocacy coalitions</w:t>
      </w:r>
    </w:p>
    <w:p>
      <w:pPr>
        <w:pStyle w:val="ListParagraph"/>
        <w:numPr>
          <w:ilvl w:val="0"/>
          <w:numId w:val="2"/>
        </w:numPr>
        <w:spacing w:after="40" w:before="40"/>
      </w:pPr>
      <w:r>
        <w:rPr>
          <w:rFonts w:ascii="Arial" w:cs="Arial" w:eastAsia="Arial" w:hAnsi="Arial"/>
          <w:color w:val="1C1C1C"/>
          <w:sz w:val="22"/>
          <w:szCs w:val="22"/>
        </w:rPr>
        <w:t xml:space="preserve">Direct-to-consumer genetics companies (e.g., 23andMe)</w:t>
      </w:r>
    </w:p>
    <w:p>
      <w:pPr>
        <w:spacing w:after="100" w:before="100"/>
      </w:pPr>
    </w:p>
    <w:p>
      <w:pPr>
        <w:pStyle w:val="Heading3"/>
        <w:spacing w:after="80" w:before="200"/>
      </w:pPr>
      <w:r>
        <w:rPr>
          <w:rFonts w:ascii="Arial" w:cs="Arial" w:eastAsia="Arial" w:hAnsi="Arial"/>
          <w:b/>
          <w:bCs/>
          <w:color w:val="2E6DA4"/>
          <w:sz w:val="22"/>
          <w:szCs w:val="22"/>
        </w:rPr>
        <w:t xml:space="preserve">2.3 Customer Size</w:t>
      </w:r>
    </w:p>
    <w:p>
      <w:pPr>
        <w:spacing w:after="100" w:before="60"/>
      </w:pPr>
      <w:r>
        <w:rPr>
          <w:rFonts w:ascii="Arial" w:cs="Arial" w:eastAsia="Arial" w:hAnsi="Arial"/>
          <w:color w:val="1C1C1C"/>
          <w:sz w:val="22"/>
          <w:szCs w:val="22"/>
        </w:rPr>
        <w:t xml:space="preserve">SC101 works with large institutional partners. Its confirmed partners include Novo Nordisk, Pfizer, Agios Pharmaceuticals, Vertex Pharmaceuticals, bluebird bio, Aruvant Sciences, and the NIH. These are mid-to-large organizations with established research or commercial programs in hematology.</w:t>
      </w:r>
    </w:p>
    <w:p>
      <w:pPr>
        <w:spacing w:after="100" w:before="100"/>
      </w:pPr>
    </w:p>
    <w:p>
      <w:pPr>
        <w:pStyle w:val="Heading3"/>
        <w:spacing w:after="80" w:before="200"/>
      </w:pPr>
      <w:r>
        <w:rPr>
          <w:rFonts w:ascii="Arial" w:cs="Arial" w:eastAsia="Arial" w:hAnsi="Arial"/>
          <w:b/>
          <w:bCs/>
          <w:color w:val="2E6DA4"/>
          <w:sz w:val="22"/>
          <w:szCs w:val="22"/>
        </w:rPr>
        <w:t xml:space="preserve">2.4 Common Customer Problems</w:t>
      </w:r>
    </w:p>
    <w:p>
      <w:pPr>
        <w:pStyle w:val="ListParagraph"/>
        <w:numPr>
          <w:ilvl w:val="0"/>
          <w:numId w:val="2"/>
        </w:numPr>
        <w:spacing w:after="40" w:before="40"/>
      </w:pPr>
      <w:r>
        <w:rPr>
          <w:rFonts w:ascii="Arial" w:cs="Arial" w:eastAsia="Arial" w:hAnsi="Arial"/>
          <w:color w:val="1C1C1C"/>
          <w:sz w:val="22"/>
          <w:szCs w:val="22"/>
        </w:rPr>
        <w:t xml:space="preserve">Reaching and building trust with SCD patients for clinical trial recruitment</w:t>
      </w:r>
    </w:p>
    <w:p>
      <w:pPr>
        <w:pStyle w:val="ListParagraph"/>
        <w:numPr>
          <w:ilvl w:val="0"/>
          <w:numId w:val="2"/>
        </w:numPr>
        <w:spacing w:after="40" w:before="40"/>
      </w:pPr>
      <w:r>
        <w:rPr>
          <w:rFonts w:ascii="Arial" w:cs="Arial" w:eastAsia="Arial" w:hAnsi="Arial"/>
          <w:color w:val="1C1C1C"/>
          <w:sz w:val="22"/>
          <w:szCs w:val="22"/>
        </w:rPr>
        <w:t xml:space="preserve">Lack of patient-friendly educational materials about new treatments</w:t>
      </w:r>
    </w:p>
    <w:p>
      <w:pPr>
        <w:pStyle w:val="ListParagraph"/>
        <w:numPr>
          <w:ilvl w:val="0"/>
          <w:numId w:val="2"/>
        </w:numPr>
        <w:spacing w:after="40" w:before="40"/>
      </w:pPr>
      <w:r>
        <w:rPr>
          <w:rFonts w:ascii="Arial" w:cs="Arial" w:eastAsia="Arial" w:hAnsi="Arial"/>
          <w:color w:val="1C1C1C"/>
          <w:sz w:val="22"/>
          <w:szCs w:val="22"/>
        </w:rPr>
        <w:t xml:space="preserve">Low awareness in the SCD community about new drugs, studies, or gene therapies</w:t>
      </w:r>
    </w:p>
    <w:p>
      <w:pPr>
        <w:pStyle w:val="ListParagraph"/>
        <w:numPr>
          <w:ilvl w:val="0"/>
          <w:numId w:val="2"/>
        </w:numPr>
        <w:spacing w:after="40" w:before="40"/>
      </w:pPr>
      <w:r>
        <w:rPr>
          <w:rFonts w:ascii="Arial" w:cs="Arial" w:eastAsia="Arial" w:hAnsi="Arial"/>
          <w:color w:val="1C1C1C"/>
          <w:sz w:val="22"/>
          <w:szCs w:val="22"/>
        </w:rPr>
        <w:t xml:space="preserve">Difficulty communicating complex medical information to a non-clinical audience</w:t>
      </w:r>
    </w:p>
    <w:p>
      <w:pPr>
        <w:pStyle w:val="ListParagraph"/>
        <w:numPr>
          <w:ilvl w:val="0"/>
          <w:numId w:val="2"/>
        </w:numPr>
        <w:spacing w:after="40" w:before="40"/>
      </w:pPr>
      <w:r>
        <w:rPr>
          <w:rFonts w:ascii="Arial" w:cs="Arial" w:eastAsia="Arial" w:hAnsi="Arial"/>
          <w:color w:val="1C1C1C"/>
          <w:sz w:val="22"/>
          <w:szCs w:val="22"/>
        </w:rPr>
        <w:t xml:space="preserve">Community distrust of pharmaceutical companies and research institutions</w:t>
      </w:r>
    </w:p>
    <w:p>
      <w:pPr>
        <w:spacing w:after="100" w:before="100"/>
      </w:pPr>
    </w:p>
    <w:p>
      <w:pPr>
        <w:pStyle w:val="Heading3"/>
        <w:spacing w:after="80" w:before="200"/>
      </w:pPr>
      <w:r>
        <w:rPr>
          <w:rFonts w:ascii="Arial" w:cs="Arial" w:eastAsia="Arial" w:hAnsi="Arial"/>
          <w:b/>
          <w:bCs/>
          <w:color w:val="2E6DA4"/>
          <w:sz w:val="22"/>
          <w:szCs w:val="22"/>
        </w:rPr>
        <w:t xml:space="preserve">2.5 Typical Customer Goals</w:t>
      </w:r>
    </w:p>
    <w:p>
      <w:pPr>
        <w:pStyle w:val="ListParagraph"/>
        <w:numPr>
          <w:ilvl w:val="0"/>
          <w:numId w:val="2"/>
        </w:numPr>
        <w:spacing w:after="40" w:before="40"/>
      </w:pPr>
      <w:r>
        <w:rPr>
          <w:rFonts w:ascii="Arial" w:cs="Arial" w:eastAsia="Arial" w:hAnsi="Arial"/>
          <w:color w:val="1C1C1C"/>
          <w:sz w:val="22"/>
          <w:szCs w:val="22"/>
        </w:rPr>
        <w:t xml:space="preserve">Recruit SCD patients into clinical trials</w:t>
      </w:r>
    </w:p>
    <w:p>
      <w:pPr>
        <w:pStyle w:val="ListParagraph"/>
        <w:numPr>
          <w:ilvl w:val="0"/>
          <w:numId w:val="2"/>
        </w:numPr>
        <w:spacing w:after="40" w:before="40"/>
      </w:pPr>
      <w:r>
        <w:rPr>
          <w:rFonts w:ascii="Arial" w:cs="Arial" w:eastAsia="Arial" w:hAnsi="Arial"/>
          <w:color w:val="1C1C1C"/>
          <w:sz w:val="22"/>
          <w:szCs w:val="22"/>
        </w:rPr>
        <w:t xml:space="preserve">Educate the SCD community about new treatments or pipeline drugs</w:t>
      </w:r>
    </w:p>
    <w:p>
      <w:pPr>
        <w:pStyle w:val="ListParagraph"/>
        <w:numPr>
          <w:ilvl w:val="0"/>
          <w:numId w:val="2"/>
        </w:numPr>
        <w:spacing w:after="40" w:before="40"/>
      </w:pPr>
      <w:r>
        <w:rPr>
          <w:rFonts w:ascii="Arial" w:cs="Arial" w:eastAsia="Arial" w:hAnsi="Arial"/>
          <w:color w:val="1C1C1C"/>
          <w:sz w:val="22"/>
          <w:szCs w:val="22"/>
        </w:rPr>
        <w:t xml:space="preserve">Gather patient insights to inform product development or trial design</w:t>
      </w:r>
    </w:p>
    <w:p>
      <w:pPr>
        <w:pStyle w:val="ListParagraph"/>
        <w:numPr>
          <w:ilvl w:val="0"/>
          <w:numId w:val="2"/>
        </w:numPr>
        <w:spacing w:after="40" w:before="40"/>
      </w:pPr>
      <w:r>
        <w:rPr>
          <w:rFonts w:ascii="Arial" w:cs="Arial" w:eastAsia="Arial" w:hAnsi="Arial"/>
          <w:color w:val="1C1C1C"/>
          <w:sz w:val="22"/>
          <w:szCs w:val="22"/>
        </w:rPr>
        <w:t xml:space="preserve">Build trust and credibility with the SCD patient community</w:t>
      </w:r>
    </w:p>
    <w:p>
      <w:pPr>
        <w:pStyle w:val="ListParagraph"/>
        <w:numPr>
          <w:ilvl w:val="0"/>
          <w:numId w:val="2"/>
        </w:numPr>
        <w:spacing w:after="40" w:before="40"/>
      </w:pPr>
      <w:r>
        <w:rPr>
          <w:rFonts w:ascii="Arial" w:cs="Arial" w:eastAsia="Arial" w:hAnsi="Arial"/>
          <w:color w:val="1C1C1C"/>
          <w:sz w:val="22"/>
          <w:szCs w:val="22"/>
        </w:rPr>
        <w:t xml:space="preserve">Demonstrate community engagement for regulatory or grant purposes</w:t>
      </w:r>
    </w:p>
    <w:p>
      <w:pP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3A5C" w:val="clear"/>
            <w:tcMar>
              <w:top w:type="dxa" w:w="160"/>
              <w:left w:type="dxa" w:w="240"/>
              <w:bottom w:type="dxa" w:w="160"/>
              <w:right w:type="dxa" w:w="240"/>
            </w:tcMar>
          </w:tcPr>
          <w:p>
            <w:pPr>
              <w:spacing w:after="0" w:before="0"/>
            </w:pPr>
            <w:r>
              <w:rPr>
                <w:rFonts w:ascii="Arial" w:cs="Arial" w:eastAsia="Arial" w:hAnsi="Arial"/>
                <w:b/>
                <w:bCs/>
                <w:color w:val="B03A2E"/>
                <w:sz w:val="30"/>
                <w:szCs w:val="30"/>
              </w:rPr>
              <w:t xml:space="preserve">03  </w:t>
            </w:r>
            <w:r>
              <w:rPr>
                <w:rFonts w:ascii="Arial" w:cs="Arial" w:eastAsia="Arial" w:hAnsi="Arial"/>
                <w:b/>
                <w:bCs/>
                <w:color w:val="FFFFFF"/>
                <w:sz w:val="30"/>
                <w:szCs w:val="30"/>
              </w:rPr>
              <w:t xml:space="preserve">Product / Service Breakdown</w:t>
            </w:r>
          </w:p>
        </w:tc>
      </w:tr>
    </w:tbl>
    <w:p>
      <w:pPr>
        <w:spacing w:after="120" w:before="160"/>
      </w:pPr>
    </w:p>
    <w:p>
      <w:pPr>
        <w:pStyle w:val="Heading3"/>
        <w:spacing w:after="80" w:before="200"/>
      </w:pPr>
      <w:r>
        <w:rPr>
          <w:rFonts w:ascii="Arial" w:cs="Arial" w:eastAsia="Arial" w:hAnsi="Arial"/>
          <w:b/>
          <w:bCs/>
          <w:color w:val="2E6DA4"/>
          <w:sz w:val="22"/>
          <w:szCs w:val="22"/>
        </w:rPr>
        <w:t xml:space="preserve">3.1 Core Services</w:t>
      </w:r>
    </w:p>
    <w:p>
      <w:pPr>
        <w:spacing w:after="100" w:before="60"/>
      </w:pPr>
      <w:r>
        <w:rPr>
          <w:rFonts w:ascii="Arial" w:cs="Arial" w:eastAsia="Arial" w:hAnsi="Arial"/>
          <w:color w:val="1C1C1C"/>
          <w:sz w:val="22"/>
          <w:szCs w:val="22"/>
        </w:rPr>
        <w:t xml:space="preserve">SC101 offers the following core programs and content resources:</w:t>
      </w:r>
    </w:p>
    <w:p>
      <w:pPr>
        <w:pStyle w:val="ListParagraph"/>
        <w:numPr>
          <w:ilvl w:val="0"/>
          <w:numId w:val="2"/>
        </w:numPr>
        <w:spacing w:after="40" w:before="40"/>
      </w:pPr>
      <w:r>
        <w:rPr>
          <w:rFonts w:ascii="Arial" w:cs="Arial" w:eastAsia="Arial" w:hAnsi="Arial"/>
          <w:color w:val="1C1C1C"/>
          <w:sz w:val="22"/>
          <w:szCs w:val="22"/>
        </w:rPr>
        <w:t xml:space="preserve">Learn Center — structured educational content covering disease types, symptoms, treatments, and daily management</w:t>
      </w:r>
    </w:p>
    <w:p>
      <w:pPr>
        <w:pStyle w:val="ListParagraph"/>
        <w:numPr>
          <w:ilvl w:val="0"/>
          <w:numId w:val="2"/>
        </w:numPr>
        <w:spacing w:after="40" w:before="40"/>
      </w:pPr>
      <w:r>
        <w:rPr>
          <w:rFonts w:ascii="Arial" w:cs="Arial" w:eastAsia="Arial" w:hAnsi="Arial"/>
          <w:color w:val="1C1C1C"/>
          <w:sz w:val="22"/>
          <w:szCs w:val="22"/>
        </w:rPr>
        <w:t xml:space="preserve">Ask the Experts Live — live-streamed Q&amp;A sessions with SCD medical specialists on Instagram and YouTube; these events reach thousands of viewers globally</w:t>
      </w:r>
    </w:p>
    <w:p>
      <w:pPr>
        <w:pStyle w:val="ListParagraph"/>
        <w:numPr>
          <w:ilvl w:val="0"/>
          <w:numId w:val="2"/>
        </w:numPr>
        <w:spacing w:after="40" w:before="40"/>
      </w:pPr>
      <w:r>
        <w:rPr>
          <w:rFonts w:ascii="Arial" w:cs="Arial" w:eastAsia="Arial" w:hAnsi="Arial"/>
          <w:color w:val="1C1C1C"/>
          <w:sz w:val="22"/>
          <w:szCs w:val="22"/>
        </w:rPr>
        <w:t xml:space="preserve">Sickle Cell Studies platform — lists active clinical trials in patient-friendly language; allows patients to ask researchers questions; hosts research surveys</w:t>
      </w:r>
    </w:p>
    <w:p>
      <w:pPr>
        <w:pStyle w:val="ListParagraph"/>
        <w:numPr>
          <w:ilvl w:val="0"/>
          <w:numId w:val="2"/>
        </w:numPr>
        <w:spacing w:after="40" w:before="40"/>
      </w:pPr>
      <w:r>
        <w:rPr>
          <w:rFonts w:ascii="Arial" w:cs="Arial" w:eastAsia="Arial" w:hAnsi="Arial"/>
          <w:color w:val="1C1C1C"/>
          <w:sz w:val="22"/>
          <w:szCs w:val="22"/>
        </w:rPr>
        <w:t xml:space="preserve">The Sickle Cell Podcast — episodic audio content covering medical topics, advocacy stories, and lived experiences</w:t>
      </w:r>
    </w:p>
    <w:p>
      <w:pPr>
        <w:pStyle w:val="ListParagraph"/>
        <w:numPr>
          <w:ilvl w:val="0"/>
          <w:numId w:val="2"/>
        </w:numPr>
        <w:spacing w:after="40" w:before="40"/>
      </w:pPr>
      <w:r>
        <w:rPr>
          <w:rFonts w:ascii="Arial" w:cs="Arial" w:eastAsia="Arial" w:hAnsi="Arial"/>
          <w:color w:val="1C1C1C"/>
          <w:sz w:val="22"/>
          <w:szCs w:val="22"/>
        </w:rPr>
        <w:t xml:space="preserve">#OurVoice Survey — bi-annual anonymous community survey; results are shared publicly and used by pharma and research partners</w:t>
      </w:r>
    </w:p>
    <w:p>
      <w:pPr>
        <w:pStyle w:val="ListParagraph"/>
        <w:numPr>
          <w:ilvl w:val="0"/>
          <w:numId w:val="2"/>
        </w:numPr>
        <w:spacing w:after="40" w:before="40"/>
      </w:pPr>
      <w:r>
        <w:rPr>
          <w:rFonts w:ascii="Arial" w:cs="Arial" w:eastAsia="Arial" w:hAnsi="Arial"/>
          <w:color w:val="1C1C1C"/>
          <w:sz w:val="22"/>
          <w:szCs w:val="22"/>
        </w:rPr>
        <w:t xml:space="preserve">Social media education — patient-friendly graphics and factual posts published across Instagram, LinkedIn, YouTube, and other platforms</w:t>
      </w:r>
    </w:p>
    <w:p>
      <w:pPr>
        <w:spacing w:after="100" w:before="100"/>
      </w:pPr>
    </w:p>
    <w:p>
      <w:pPr>
        <w:pStyle w:val="Heading3"/>
        <w:spacing w:after="80" w:before="200"/>
      </w:pPr>
      <w:r>
        <w:rPr>
          <w:rFonts w:ascii="Arial" w:cs="Arial" w:eastAsia="Arial" w:hAnsi="Arial"/>
          <w:b/>
          <w:bCs/>
          <w:color w:val="2E6DA4"/>
          <w:sz w:val="22"/>
          <w:szCs w:val="22"/>
        </w:rPr>
        <w:t xml:space="preserve">3.2 Optional / Paid Services</w:t>
      </w:r>
    </w:p>
    <w:p>
      <w:pPr>
        <w:spacing w:after="100" w:before="60"/>
      </w:pPr>
      <w:r>
        <w:rPr>
          <w:rFonts w:ascii="Arial" w:cs="Arial" w:eastAsia="Arial" w:hAnsi="Arial"/>
          <w:color w:val="1C1C1C"/>
          <w:sz w:val="22"/>
          <w:szCs w:val="22"/>
        </w:rPr>
        <w:t xml:space="preserve">These are services SC101 provides to paying institutional clients:</w:t>
      </w:r>
    </w:p>
    <w:p>
      <w:pPr>
        <w:pStyle w:val="ListParagraph"/>
        <w:numPr>
          <w:ilvl w:val="0"/>
          <w:numId w:val="2"/>
        </w:numPr>
        <w:spacing w:after="40" w:before="40"/>
      </w:pPr>
      <w:r>
        <w:rPr>
          <w:rFonts w:ascii="Arial" w:cs="Arial" w:eastAsia="Arial" w:hAnsi="Arial"/>
          <w:color w:val="1C1C1C"/>
          <w:sz w:val="22"/>
          <w:szCs w:val="22"/>
        </w:rPr>
        <w:t xml:space="preserve">Patient advocacy consulting — Cassandra Trimnell and the team advise pharma companies, hospitals, and agencies on how to engage the SCD community</w:t>
      </w:r>
    </w:p>
    <w:p>
      <w:pPr>
        <w:pStyle w:val="ListParagraph"/>
        <w:numPr>
          <w:ilvl w:val="0"/>
          <w:numId w:val="2"/>
        </w:numPr>
        <w:spacing w:after="40" w:before="40"/>
      </w:pPr>
      <w:r>
        <w:rPr>
          <w:rFonts w:ascii="Arial" w:cs="Arial" w:eastAsia="Arial" w:hAnsi="Arial"/>
          <w:color w:val="1C1C1C"/>
          <w:sz w:val="22"/>
          <w:szCs w:val="22"/>
        </w:rPr>
        <w:t xml:space="preserve">Community education campaigns — custom educational content and awareness programs funded by pharma sponsors</w:t>
      </w:r>
    </w:p>
    <w:p>
      <w:pPr>
        <w:pStyle w:val="ListParagraph"/>
        <w:numPr>
          <w:ilvl w:val="0"/>
          <w:numId w:val="2"/>
        </w:numPr>
        <w:spacing w:after="40" w:before="40"/>
      </w:pPr>
      <w:r>
        <w:rPr>
          <w:rFonts w:ascii="Arial" w:cs="Arial" w:eastAsia="Arial" w:hAnsi="Arial"/>
          <w:color w:val="1C1C1C"/>
          <w:sz w:val="22"/>
          <w:szCs w:val="22"/>
        </w:rPr>
        <w:t xml:space="preserve">Research partnerships — SC101 joins as a community partner on academic and industry-funded research studies</w:t>
      </w:r>
    </w:p>
    <w:p>
      <w:pPr>
        <w:pStyle w:val="ListParagraph"/>
        <w:numPr>
          <w:ilvl w:val="0"/>
          <w:numId w:val="2"/>
        </w:numPr>
        <w:spacing w:after="40" w:before="40"/>
      </w:pPr>
      <w:r>
        <w:rPr>
          <w:rFonts w:ascii="Arial" w:cs="Arial" w:eastAsia="Arial" w:hAnsi="Arial"/>
          <w:color w:val="1C1C1C"/>
          <w:sz w:val="22"/>
          <w:szCs w:val="22"/>
        </w:rPr>
        <w:t xml:space="preserve">Speaking and presenting — SC101 leaders present at medical conferences such as ASH and the Global Congress on Sickle Cell Disease</w:t>
      </w:r>
    </w:p>
    <w:p>
      <w:pPr>
        <w:pStyle w:val="ListParagraph"/>
        <w:numPr>
          <w:ilvl w:val="0"/>
          <w:numId w:val="2"/>
        </w:numPr>
        <w:spacing w:after="40" w:before="40"/>
      </w:pPr>
      <w:r>
        <w:rPr>
          <w:rFonts w:ascii="Arial" w:cs="Arial" w:eastAsia="Arial" w:hAnsi="Arial"/>
          <w:color w:val="1C1C1C"/>
          <w:sz w:val="22"/>
          <w:szCs w:val="22"/>
        </w:rPr>
        <w:t xml:space="preserve">Trial recruitment support — SC101 helps connect its community with clinical trial teams</w:t>
      </w:r>
    </w:p>
    <w:p>
      <w:pPr>
        <w:spacing w:after="100" w:before="100"/>
      </w:pPr>
    </w:p>
    <w:p>
      <w:pPr>
        <w:pStyle w:val="Heading3"/>
        <w:spacing w:after="80" w:before="200"/>
      </w:pPr>
      <w:r>
        <w:rPr>
          <w:rFonts w:ascii="Arial" w:cs="Arial" w:eastAsia="Arial" w:hAnsi="Arial"/>
          <w:b/>
          <w:bCs/>
          <w:color w:val="2E6DA4"/>
          <w:sz w:val="22"/>
          <w:szCs w:val="22"/>
        </w:rPr>
        <w:t xml:space="preserve">3.3 Product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Global reach</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Content accessed in 130+ countries; available to patients in Africa, Europe, Asia, Caribbean, Latin America</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Patient-first language</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All content uses plain language accessible to people without medical training</w:t>
            </w:r>
          </w:p>
        </w:tc>
      </w:tr>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Live interaction</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Ask the Experts format allows real-time Q&amp;A between patients and specialists</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Medical credibility</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Content reviewed or produced by certified SCD educators, a Chief Medical Officer, and a Director of Research</w:t>
            </w:r>
          </w:p>
        </w:tc>
      </w:tr>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Community trust</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Over 70% of followers are SCD patients themselves — peers trusting peers</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Data collection</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Bi-annual surveys provide community insight data used by pharma and research partners</w:t>
            </w:r>
          </w:p>
        </w:tc>
      </w:tr>
    </w:tbl>
    <w:p>
      <w:pPr>
        <w:spacing w:after="100" w:before="100"/>
      </w:pPr>
    </w:p>
    <w:p>
      <w:pPr>
        <w:pStyle w:val="Heading3"/>
        <w:spacing w:after="80" w:before="200"/>
      </w:pPr>
      <w:r>
        <w:rPr>
          <w:rFonts w:ascii="Arial" w:cs="Arial" w:eastAsia="Arial" w:hAnsi="Arial"/>
          <w:b/>
          <w:bCs/>
          <w:color w:val="2E6DA4"/>
          <w:sz w:val="22"/>
          <w:szCs w:val="22"/>
        </w:rPr>
        <w:t xml:space="preserve">3.4 Deliverables Clients Receive</w:t>
      </w:r>
    </w:p>
    <w:p>
      <w:pPr>
        <w:spacing w:after="100" w:before="60"/>
      </w:pPr>
      <w:r>
        <w:rPr>
          <w:rFonts w:ascii="Arial" w:cs="Arial" w:eastAsia="Arial" w:hAnsi="Arial"/>
          <w:color w:val="1C1C1C"/>
          <w:sz w:val="22"/>
          <w:szCs w:val="22"/>
        </w:rPr>
        <w:t xml:space="preserve">When a pharma company or research institution partners with SC101, they typically receive:</w:t>
      </w:r>
    </w:p>
    <w:p>
      <w:pPr>
        <w:pStyle w:val="ListParagraph"/>
        <w:numPr>
          <w:ilvl w:val="0"/>
          <w:numId w:val="2"/>
        </w:numPr>
        <w:spacing w:after="40" w:before="40"/>
      </w:pPr>
      <w:r>
        <w:rPr>
          <w:rFonts w:ascii="Arial" w:cs="Arial" w:eastAsia="Arial" w:hAnsi="Arial"/>
          <w:color w:val="1C1C1C"/>
          <w:sz w:val="22"/>
          <w:szCs w:val="22"/>
        </w:rPr>
        <w:t xml:space="preserve">Community access — their message or program is promoted to SC101's 70,000+ followers</w:t>
      </w:r>
    </w:p>
    <w:p>
      <w:pPr>
        <w:pStyle w:val="ListParagraph"/>
        <w:numPr>
          <w:ilvl w:val="0"/>
          <w:numId w:val="2"/>
        </w:numPr>
        <w:spacing w:after="40" w:before="40"/>
      </w:pPr>
      <w:r>
        <w:rPr>
          <w:rFonts w:ascii="Arial" w:cs="Arial" w:eastAsia="Arial" w:hAnsi="Arial"/>
          <w:color w:val="1C1C1C"/>
          <w:sz w:val="22"/>
          <w:szCs w:val="22"/>
        </w:rPr>
        <w:t xml:space="preserve">Educational content — SC101 creates patient-friendly explanations of the partner's product or trial</w:t>
      </w:r>
    </w:p>
    <w:p>
      <w:pPr>
        <w:pStyle w:val="ListParagraph"/>
        <w:numPr>
          <w:ilvl w:val="0"/>
          <w:numId w:val="2"/>
        </w:numPr>
        <w:spacing w:after="40" w:before="40"/>
      </w:pPr>
      <w:r>
        <w:rPr>
          <w:rFonts w:ascii="Arial" w:cs="Arial" w:eastAsia="Arial" w:hAnsi="Arial"/>
          <w:color w:val="1C1C1C"/>
          <w:sz w:val="22"/>
          <w:szCs w:val="22"/>
        </w:rPr>
        <w:t xml:space="preserve">Survey data — anonymous community insights gathered through the #OurVoice or custom surveys</w:t>
      </w:r>
    </w:p>
    <w:p>
      <w:pPr>
        <w:pStyle w:val="ListParagraph"/>
        <w:numPr>
          <w:ilvl w:val="0"/>
          <w:numId w:val="2"/>
        </w:numPr>
        <w:spacing w:after="40" w:before="40"/>
      </w:pPr>
      <w:r>
        <w:rPr>
          <w:rFonts w:ascii="Arial" w:cs="Arial" w:eastAsia="Arial" w:hAnsi="Arial"/>
          <w:color w:val="1C1C1C"/>
          <w:sz w:val="22"/>
          <w:szCs w:val="22"/>
        </w:rPr>
        <w:t xml:space="preserve">Advocacy representation — SC101 leaders present at conferences on behalf of or alongside the partner</w:t>
      </w:r>
    </w:p>
    <w:p>
      <w:pPr>
        <w:pStyle w:val="ListParagraph"/>
        <w:numPr>
          <w:ilvl w:val="0"/>
          <w:numId w:val="2"/>
        </w:numPr>
        <w:spacing w:after="40" w:before="40"/>
      </w:pPr>
      <w:r>
        <w:rPr>
          <w:rFonts w:ascii="Arial" w:cs="Arial" w:eastAsia="Arial" w:hAnsi="Arial"/>
          <w:color w:val="1C1C1C"/>
          <w:sz w:val="22"/>
          <w:szCs w:val="22"/>
        </w:rPr>
        <w:t xml:space="preserve">Consulting input — patient perspective feedback on materials, protocols, and communications</w:t>
      </w:r>
    </w:p>
    <w:p>
      <w:pPr>
        <w:spacing w:after="100" w:before="100"/>
      </w:pPr>
    </w:p>
    <w:p>
      <w:pPr>
        <w:pStyle w:val="Heading3"/>
        <w:spacing w:after="80" w:before="200"/>
      </w:pPr>
      <w:r>
        <w:rPr>
          <w:rFonts w:ascii="Arial" w:cs="Arial" w:eastAsia="Arial" w:hAnsi="Arial"/>
          <w:b/>
          <w:bCs/>
          <w:color w:val="2E6DA4"/>
          <w:sz w:val="22"/>
          <w:szCs w:val="22"/>
        </w:rPr>
        <w:t xml:space="preserve">3.5 What Makes the Service Different</w:t>
      </w:r>
    </w:p>
    <w:p>
      <w:pPr>
        <w:pStyle w:val="ListParagraph"/>
        <w:numPr>
          <w:ilvl w:val="0"/>
          <w:numId w:val="2"/>
        </w:numPr>
        <w:spacing w:after="40" w:before="40"/>
      </w:pPr>
      <w:r>
        <w:rPr>
          <w:rFonts w:ascii="Arial" w:cs="Arial" w:eastAsia="Arial" w:hAnsi="Arial"/>
          <w:color w:val="1C1C1C"/>
          <w:sz w:val="22"/>
          <w:szCs w:val="22"/>
        </w:rPr>
        <w:t xml:space="preserve">SC101 is the only platform dedicated solely to SCD education at this scale</w:t>
      </w:r>
    </w:p>
    <w:p>
      <w:pPr>
        <w:pStyle w:val="ListParagraph"/>
        <w:numPr>
          <w:ilvl w:val="0"/>
          <w:numId w:val="2"/>
        </w:numPr>
        <w:spacing w:after="40" w:before="40"/>
      </w:pPr>
      <w:r>
        <w:rPr>
          <w:rFonts w:ascii="Arial" w:cs="Arial" w:eastAsia="Arial" w:hAnsi="Arial"/>
          <w:color w:val="1C1C1C"/>
          <w:sz w:val="22"/>
          <w:szCs w:val="22"/>
        </w:rPr>
        <w:t xml:space="preserve">It is patient-led — the founder lives with sickle cell disease (HbSS), which creates deep community trust</w:t>
      </w:r>
    </w:p>
    <w:p>
      <w:pPr>
        <w:pStyle w:val="ListParagraph"/>
        <w:numPr>
          <w:ilvl w:val="0"/>
          <w:numId w:val="2"/>
        </w:numPr>
        <w:spacing w:after="40" w:before="40"/>
      </w:pPr>
      <w:r>
        <w:rPr>
          <w:rFonts w:ascii="Arial" w:cs="Arial" w:eastAsia="Arial" w:hAnsi="Arial"/>
          <w:color w:val="1C1C1C"/>
          <w:sz w:val="22"/>
          <w:szCs w:val="22"/>
        </w:rPr>
        <w:t xml:space="preserve">It has the largest combined SCD patient following on digital platforms globally</w:t>
      </w:r>
    </w:p>
    <w:p>
      <w:pPr>
        <w:pStyle w:val="ListParagraph"/>
        <w:numPr>
          <w:ilvl w:val="0"/>
          <w:numId w:val="2"/>
        </w:numPr>
        <w:spacing w:after="40" w:before="40"/>
      </w:pPr>
      <w:r>
        <w:rPr>
          <w:rFonts w:ascii="Arial" w:cs="Arial" w:eastAsia="Arial" w:hAnsi="Arial"/>
          <w:color w:val="1C1C1C"/>
          <w:sz w:val="22"/>
          <w:szCs w:val="22"/>
        </w:rPr>
        <w:t xml:space="preserve">It reaches patients in underserved regions where specialist access is limited</w:t>
      </w:r>
    </w:p>
    <w:p>
      <w:pPr>
        <w:pStyle w:val="ListParagraph"/>
        <w:numPr>
          <w:ilvl w:val="0"/>
          <w:numId w:val="2"/>
        </w:numPr>
        <w:spacing w:after="40" w:before="40"/>
      </w:pPr>
      <w:r>
        <w:rPr>
          <w:rFonts w:ascii="Arial" w:cs="Arial" w:eastAsia="Arial" w:hAnsi="Arial"/>
          <w:color w:val="1C1C1C"/>
          <w:sz w:val="22"/>
          <w:szCs w:val="22"/>
        </w:rPr>
        <w:t xml:space="preserve">It combines clinical accuracy with community authenticity — not achievable by pharma or academic teams alone</w:t>
      </w:r>
    </w:p>
    <w:p>
      <w:pP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3A5C" w:val="clear"/>
            <w:tcMar>
              <w:top w:type="dxa" w:w="160"/>
              <w:left w:type="dxa" w:w="240"/>
              <w:bottom w:type="dxa" w:w="160"/>
              <w:right w:type="dxa" w:w="240"/>
            </w:tcMar>
          </w:tcPr>
          <w:p>
            <w:pPr>
              <w:spacing w:after="0" w:before="0"/>
            </w:pPr>
            <w:r>
              <w:rPr>
                <w:rFonts w:ascii="Arial" w:cs="Arial" w:eastAsia="Arial" w:hAnsi="Arial"/>
                <w:b/>
                <w:bCs/>
                <w:color w:val="B03A2E"/>
                <w:sz w:val="30"/>
                <w:szCs w:val="30"/>
              </w:rPr>
              <w:t xml:space="preserve">04  </w:t>
            </w:r>
            <w:r>
              <w:rPr>
                <w:rFonts w:ascii="Arial" w:cs="Arial" w:eastAsia="Arial" w:hAnsi="Arial"/>
                <w:b/>
                <w:bCs/>
                <w:color w:val="FFFFFF"/>
                <w:sz w:val="30"/>
                <w:szCs w:val="30"/>
              </w:rPr>
              <w:t xml:space="preserve">Customer Journey</w:t>
            </w:r>
          </w:p>
        </w:tc>
      </w:tr>
    </w:tbl>
    <w:p>
      <w:pPr>
        <w:spacing w:after="120" w:before="160"/>
      </w:pPr>
    </w:p>
    <w:p>
      <w:pPr>
        <w:pStyle w:val="Heading3"/>
        <w:spacing w:after="80" w:before="200"/>
      </w:pPr>
      <w:r>
        <w:rPr>
          <w:rFonts w:ascii="Arial" w:cs="Arial" w:eastAsia="Arial" w:hAnsi="Arial"/>
          <w:b/>
          <w:bCs/>
          <w:color w:val="2E6DA4"/>
          <w:sz w:val="22"/>
          <w:szCs w:val="22"/>
        </w:rPr>
        <w:t xml:space="preserve">4.1 Lead Generation</w:t>
      </w:r>
    </w:p>
    <w:p>
      <w:pPr>
        <w:spacing w:after="100" w:before="60"/>
      </w:pPr>
      <w:r>
        <w:rPr>
          <w:rFonts w:ascii="Arial" w:cs="Arial" w:eastAsia="Arial" w:hAnsi="Arial"/>
          <w:color w:val="1C1C1C"/>
          <w:sz w:val="22"/>
          <w:szCs w:val="22"/>
        </w:rPr>
        <w:t xml:space="preserve">For individual community members, lead generation happens through:</w:t>
      </w:r>
    </w:p>
    <w:p>
      <w:pPr>
        <w:pStyle w:val="ListParagraph"/>
        <w:numPr>
          <w:ilvl w:val="0"/>
          <w:numId w:val="2"/>
        </w:numPr>
        <w:spacing w:after="40" w:before="40"/>
      </w:pPr>
      <w:r>
        <w:rPr>
          <w:rFonts w:ascii="Arial" w:cs="Arial" w:eastAsia="Arial" w:hAnsi="Arial"/>
          <w:color w:val="1C1C1C"/>
          <w:sz w:val="22"/>
          <w:szCs w:val="22"/>
        </w:rPr>
        <w:t xml:space="preserve">Instagram — the primary platform; patient-friendly graphics and educational posts</w:t>
      </w:r>
    </w:p>
    <w:p>
      <w:pPr>
        <w:pStyle w:val="ListParagraph"/>
        <w:numPr>
          <w:ilvl w:val="0"/>
          <w:numId w:val="2"/>
        </w:numPr>
        <w:spacing w:after="40" w:before="40"/>
      </w:pPr>
      <w:r>
        <w:rPr>
          <w:rFonts w:ascii="Arial" w:cs="Arial" w:eastAsia="Arial" w:hAnsi="Arial"/>
          <w:color w:val="1C1C1C"/>
          <w:sz w:val="22"/>
          <w:szCs w:val="22"/>
        </w:rPr>
        <w:t xml:space="preserve">YouTube — live events, podcast episodes, video education content</w:t>
      </w:r>
    </w:p>
    <w:p>
      <w:pPr>
        <w:pStyle w:val="ListParagraph"/>
        <w:numPr>
          <w:ilvl w:val="0"/>
          <w:numId w:val="2"/>
        </w:numPr>
        <w:spacing w:after="40" w:before="40"/>
      </w:pPr>
      <w:r>
        <w:rPr>
          <w:rFonts w:ascii="Arial" w:cs="Arial" w:eastAsia="Arial" w:hAnsi="Arial"/>
          <w:color w:val="1C1C1C"/>
          <w:sz w:val="22"/>
          <w:szCs w:val="22"/>
        </w:rPr>
        <w:t xml:space="preserve">Word of mouth — SCD patients and caregivers share SC101 content widely within their networks</w:t>
      </w:r>
    </w:p>
    <w:p>
      <w:pPr>
        <w:pStyle w:val="ListParagraph"/>
        <w:numPr>
          <w:ilvl w:val="0"/>
          <w:numId w:val="2"/>
        </w:numPr>
        <w:spacing w:after="40" w:before="40"/>
      </w:pPr>
      <w:r>
        <w:rPr>
          <w:rFonts w:ascii="Arial" w:cs="Arial" w:eastAsia="Arial" w:hAnsi="Arial"/>
          <w:color w:val="1C1C1C"/>
          <w:sz w:val="22"/>
          <w:szCs w:val="22"/>
        </w:rPr>
        <w:t xml:space="preserve">Healthcare referrals — doctors, hospitals, and advocacy groups send patients to sc101.org</w:t>
      </w:r>
    </w:p>
    <w:p>
      <w:pPr>
        <w:pStyle w:val="ListParagraph"/>
        <w:numPr>
          <w:ilvl w:val="0"/>
          <w:numId w:val="2"/>
        </w:numPr>
        <w:spacing w:after="40" w:before="40"/>
      </w:pPr>
      <w:r>
        <w:rPr>
          <w:rFonts w:ascii="Arial" w:cs="Arial" w:eastAsia="Arial" w:hAnsi="Arial"/>
          <w:color w:val="1C1C1C"/>
          <w:sz w:val="22"/>
          <w:szCs w:val="22"/>
        </w:rPr>
        <w:t xml:space="preserve">Search engines — people searching for sickle cell information find SC101 articles and resources</w:t>
      </w:r>
    </w:p>
    <w:p>
      <w:pPr>
        <w:spacing w:after="100" w:before="100"/>
      </w:pPr>
    </w:p>
    <w:p>
      <w:pPr>
        <w:spacing w:after="100" w:before="60"/>
      </w:pPr>
      <w:r>
        <w:rPr>
          <w:rFonts w:ascii="Arial" w:cs="Arial" w:eastAsia="Arial" w:hAnsi="Arial"/>
          <w:color w:val="1C1C1C"/>
          <w:sz w:val="22"/>
          <w:szCs w:val="22"/>
        </w:rPr>
        <w:t xml:space="preserve">For institutional partners (pharma, research), lead generation happens through:</w:t>
      </w:r>
    </w:p>
    <w:p>
      <w:pPr>
        <w:pStyle w:val="ListParagraph"/>
        <w:numPr>
          <w:ilvl w:val="0"/>
          <w:numId w:val="2"/>
        </w:numPr>
        <w:spacing w:after="40" w:before="40"/>
      </w:pPr>
      <w:r>
        <w:rPr>
          <w:rFonts w:ascii="Arial" w:cs="Arial" w:eastAsia="Arial" w:hAnsi="Arial"/>
          <w:color w:val="1C1C1C"/>
          <w:sz w:val="22"/>
          <w:szCs w:val="22"/>
        </w:rPr>
        <w:t xml:space="preserve">Conference presence — SC101 leaders attend and present at ASH and other hematology conferences</w:t>
      </w:r>
    </w:p>
    <w:p>
      <w:pPr>
        <w:pStyle w:val="ListParagraph"/>
        <w:numPr>
          <w:ilvl w:val="0"/>
          <w:numId w:val="2"/>
        </w:numPr>
        <w:spacing w:after="40" w:before="40"/>
      </w:pPr>
      <w:r>
        <w:rPr>
          <w:rFonts w:ascii="Arial" w:cs="Arial" w:eastAsia="Arial" w:hAnsi="Arial"/>
          <w:color w:val="1C1C1C"/>
          <w:sz w:val="22"/>
          <w:szCs w:val="22"/>
        </w:rPr>
        <w:t xml:space="preserve">Reputation and referral — SC101's established credibility leads to inbound inquiries from pharma companies</w:t>
      </w:r>
    </w:p>
    <w:p>
      <w:pPr>
        <w:pStyle w:val="ListParagraph"/>
        <w:numPr>
          <w:ilvl w:val="0"/>
          <w:numId w:val="2"/>
        </w:numPr>
        <w:spacing w:after="40" w:before="40"/>
      </w:pPr>
      <w:r>
        <w:rPr>
          <w:rFonts w:ascii="Arial" w:cs="Arial" w:eastAsia="Arial" w:hAnsi="Arial"/>
          <w:color w:val="1C1C1C"/>
          <w:sz w:val="22"/>
          <w:szCs w:val="22"/>
        </w:rPr>
        <w:t xml:space="preserve">Existing partnerships — current sponsors refer SC101 to other departments or sister companies</w:t>
      </w:r>
    </w:p>
    <w:p>
      <w:pPr>
        <w:spacing w:after="100" w:before="100"/>
      </w:pPr>
    </w:p>
    <w:p>
      <w:pPr>
        <w:pStyle w:val="Heading3"/>
        <w:spacing w:after="80" w:before="200"/>
      </w:pPr>
      <w:r>
        <w:rPr>
          <w:rFonts w:ascii="Arial" w:cs="Arial" w:eastAsia="Arial" w:hAnsi="Arial"/>
          <w:b/>
          <w:bCs/>
          <w:color w:val="2E6DA4"/>
          <w:sz w:val="22"/>
          <w:szCs w:val="22"/>
        </w:rPr>
        <w:t xml:space="preserve">4.2 Lead Qualification</w:t>
      </w:r>
    </w:p>
    <w:p>
      <w:pPr>
        <w:spacing w:after="100" w:before="60"/>
      </w:pPr>
      <w:r>
        <w:rPr>
          <w:rFonts w:ascii="Arial" w:cs="Arial" w:eastAsia="Arial" w:hAnsi="Arial"/>
          <w:color w:val="1C1C1C"/>
          <w:sz w:val="22"/>
          <w:szCs w:val="22"/>
        </w:rPr>
        <w:t xml:space="preserve">For institutional partners, SC101 likely qualifies based on:</w:t>
      </w:r>
    </w:p>
    <w:p>
      <w:pPr>
        <w:pStyle w:val="ListParagraph"/>
        <w:numPr>
          <w:ilvl w:val="0"/>
          <w:numId w:val="2"/>
        </w:numPr>
        <w:spacing w:after="40" w:before="40"/>
      </w:pPr>
      <w:r>
        <w:rPr>
          <w:rFonts w:ascii="Arial" w:cs="Arial" w:eastAsia="Arial" w:hAnsi="Arial"/>
          <w:color w:val="1C1C1C"/>
          <w:sz w:val="22"/>
          <w:szCs w:val="22"/>
        </w:rPr>
        <w:t xml:space="preserve">Alignment with the sickle cell community's needs — partner must offer something genuinely useful or safe</w:t>
      </w:r>
    </w:p>
    <w:p>
      <w:pPr>
        <w:pStyle w:val="ListParagraph"/>
        <w:numPr>
          <w:ilvl w:val="0"/>
          <w:numId w:val="2"/>
        </w:numPr>
        <w:spacing w:after="40" w:before="40"/>
      </w:pPr>
      <w:r>
        <w:rPr>
          <w:rFonts w:ascii="Arial" w:cs="Arial" w:eastAsia="Arial" w:hAnsi="Arial"/>
          <w:color w:val="1C1C1C"/>
          <w:sz w:val="22"/>
          <w:szCs w:val="22"/>
        </w:rPr>
        <w:t xml:space="preserve">Mission alignment — SC101 does not partner with organizations that could harm community trust</w:t>
      </w:r>
    </w:p>
    <w:p>
      <w:pPr>
        <w:pStyle w:val="ListParagraph"/>
        <w:numPr>
          <w:ilvl w:val="0"/>
          <w:numId w:val="2"/>
        </w:numPr>
        <w:spacing w:after="40" w:before="40"/>
      </w:pPr>
      <w:r>
        <w:rPr>
          <w:rFonts w:ascii="Arial" w:cs="Arial" w:eastAsia="Arial" w:hAnsi="Arial"/>
          <w:color w:val="1C1C1C"/>
          <w:sz w:val="22"/>
          <w:szCs w:val="22"/>
        </w:rPr>
        <w:t xml:space="preserve">Ability to fund or resource the program — grants, sponsorships, or consulting contracts</w:t>
      </w:r>
    </w:p>
    <w:p>
      <w:pPr>
        <w:spacing w:after="100" w:before="100"/>
      </w:pPr>
    </w:p>
    <w:p>
      <w:pPr>
        <w:pStyle w:val="Heading3"/>
        <w:spacing w:after="80" w:before="200"/>
      </w:pPr>
      <w:r>
        <w:rPr>
          <w:rFonts w:ascii="Arial" w:cs="Arial" w:eastAsia="Arial" w:hAnsi="Arial"/>
          <w:b/>
          <w:bCs/>
          <w:color w:val="2E6DA4"/>
          <w:sz w:val="22"/>
          <w:szCs w:val="22"/>
        </w:rPr>
        <w:t xml:space="preserve">4.3 Sales Process</w:t>
      </w:r>
    </w:p>
    <w:p>
      <w:pPr>
        <w:spacing w:after="100" w:before="60"/>
      </w:pPr>
      <w:r>
        <w:rPr>
          <w:rFonts w:ascii="Arial" w:cs="Arial" w:eastAsia="Arial" w:hAnsi="Arial"/>
          <w:color w:val="1C1C1C"/>
          <w:sz w:val="22"/>
          <w:szCs w:val="22"/>
        </w:rPr>
        <w:t xml:space="preserve">SC101 does not have a formal outbound sales team. The sales process is largely inbound and relationship-driven:</w:t>
      </w:r>
    </w:p>
    <w:p>
      <w:pPr>
        <w:pStyle w:val="ListParagraph"/>
        <w:numPr>
          <w:ilvl w:val="0"/>
          <w:numId w:val="2"/>
        </w:numPr>
        <w:spacing w:after="40" w:before="40"/>
      </w:pPr>
      <w:r>
        <w:rPr>
          <w:rFonts w:ascii="Arial" w:cs="Arial" w:eastAsia="Arial" w:hAnsi="Arial"/>
          <w:color w:val="1C1C1C"/>
          <w:sz w:val="22"/>
          <w:szCs w:val="22"/>
        </w:rPr>
        <w:t xml:space="preserve">Pharma and research partners approach SC101 after seeing its community impact</w:t>
      </w:r>
    </w:p>
    <w:p>
      <w:pPr>
        <w:pStyle w:val="ListParagraph"/>
        <w:numPr>
          <w:ilvl w:val="0"/>
          <w:numId w:val="2"/>
        </w:numPr>
        <w:spacing w:after="40" w:before="40"/>
      </w:pPr>
      <w:r>
        <w:rPr>
          <w:rFonts w:ascii="Arial" w:cs="Arial" w:eastAsia="Arial" w:hAnsi="Arial"/>
          <w:color w:val="1C1C1C"/>
          <w:sz w:val="22"/>
          <w:szCs w:val="22"/>
        </w:rPr>
        <w:t xml:space="preserve">Cassandra Trimnell leads partnership conversations as founder and executive director</w:t>
      </w:r>
    </w:p>
    <w:p>
      <w:pPr>
        <w:pStyle w:val="ListParagraph"/>
        <w:numPr>
          <w:ilvl w:val="0"/>
          <w:numId w:val="2"/>
        </w:numPr>
        <w:spacing w:after="40" w:before="40"/>
      </w:pPr>
      <w:r>
        <w:rPr>
          <w:rFonts w:ascii="Arial" w:cs="Arial" w:eastAsia="Arial" w:hAnsi="Arial"/>
          <w:color w:val="1C1C1C"/>
          <w:sz w:val="22"/>
          <w:szCs w:val="22"/>
        </w:rPr>
        <w:t xml:space="preserve">Terms are negotiated directly — no formal sales pipeline software is visible in available data</w:t>
      </w:r>
    </w:p>
    <w:p>
      <w:pPr>
        <w:pStyle w:val="ListParagraph"/>
        <w:numPr>
          <w:ilvl w:val="0"/>
          <w:numId w:val="2"/>
        </w:numPr>
        <w:spacing w:after="40" w:before="40"/>
      </w:pPr>
      <w:r>
        <w:rPr>
          <w:rFonts w:ascii="Arial" w:cs="Arial" w:eastAsia="Arial" w:hAnsi="Arial"/>
          <w:color w:val="1C1C1C"/>
          <w:sz w:val="22"/>
          <w:szCs w:val="22"/>
        </w:rPr>
        <w:t xml:space="preserve">Partnerships are formalized through grant agreements, consulting contracts, or co-branded campaign agreements</w:t>
      </w:r>
    </w:p>
    <w:p>
      <w:pPr>
        <w:spacing w:after="100" w:before="100"/>
      </w:pPr>
    </w:p>
    <w:p>
      <w:pPr>
        <w:pStyle w:val="Heading3"/>
        <w:spacing w:after="80" w:before="200"/>
      </w:pPr>
      <w:r>
        <w:rPr>
          <w:rFonts w:ascii="Arial" w:cs="Arial" w:eastAsia="Arial" w:hAnsi="Arial"/>
          <w:b/>
          <w:bCs/>
          <w:color w:val="2E6DA4"/>
          <w:sz w:val="22"/>
          <w:szCs w:val="22"/>
        </w:rPr>
        <w:t xml:space="preserve">4.4 Onboarding Process</w:t>
      </w:r>
    </w:p>
    <w:p>
      <w:pPr>
        <w:spacing w:after="100" w:before="60"/>
      </w:pPr>
      <w:r>
        <w:rPr>
          <w:rFonts w:ascii="Arial" w:cs="Arial" w:eastAsia="Arial" w:hAnsi="Arial"/>
          <w:color w:val="1C1C1C"/>
          <w:sz w:val="22"/>
          <w:szCs w:val="22"/>
        </w:rPr>
        <w:t xml:space="preserve">When a new institutional partner comes on board:</w:t>
      </w:r>
    </w:p>
    <w:p>
      <w:pPr>
        <w:pStyle w:val="ListParagraph"/>
        <w:numPr>
          <w:ilvl w:val="0"/>
          <w:numId w:val="2"/>
        </w:numPr>
        <w:spacing w:after="40" w:before="40"/>
      </w:pPr>
      <w:r>
        <w:rPr>
          <w:rFonts w:ascii="Arial" w:cs="Arial" w:eastAsia="Arial" w:hAnsi="Arial"/>
          <w:color w:val="1C1C1C"/>
          <w:sz w:val="22"/>
          <w:szCs w:val="22"/>
        </w:rPr>
        <w:t xml:space="preserve">SC101 meets with the partner to understand their product, trial, or program</w:t>
      </w:r>
    </w:p>
    <w:p>
      <w:pPr>
        <w:pStyle w:val="ListParagraph"/>
        <w:numPr>
          <w:ilvl w:val="0"/>
          <w:numId w:val="2"/>
        </w:numPr>
        <w:spacing w:after="40" w:before="40"/>
      </w:pPr>
      <w:r>
        <w:rPr>
          <w:rFonts w:ascii="Arial" w:cs="Arial" w:eastAsia="Arial" w:hAnsi="Arial"/>
          <w:color w:val="1C1C1C"/>
          <w:sz w:val="22"/>
          <w:szCs w:val="22"/>
        </w:rPr>
        <w:t xml:space="preserve">Content is co-developed — SC101 translates clinical or scientific information into patient-friendly materials</w:t>
      </w:r>
    </w:p>
    <w:p>
      <w:pPr>
        <w:pStyle w:val="ListParagraph"/>
        <w:numPr>
          <w:ilvl w:val="0"/>
          <w:numId w:val="2"/>
        </w:numPr>
        <w:spacing w:after="40" w:before="40"/>
      </w:pPr>
      <w:r>
        <w:rPr>
          <w:rFonts w:ascii="Arial" w:cs="Arial" w:eastAsia="Arial" w:hAnsi="Arial"/>
          <w:color w:val="1C1C1C"/>
          <w:sz w:val="22"/>
          <w:szCs w:val="22"/>
        </w:rPr>
        <w:t xml:space="preserve">Community engagement is planned — this may include social media campaigns, podcast episodes, live Q&amp;A events, or survey deployment</w:t>
      </w:r>
    </w:p>
    <w:p>
      <w:pPr>
        <w:pStyle w:val="ListParagraph"/>
        <w:numPr>
          <w:ilvl w:val="0"/>
          <w:numId w:val="2"/>
        </w:numPr>
        <w:spacing w:after="40" w:before="40"/>
      </w:pPr>
      <w:r>
        <w:rPr>
          <w:rFonts w:ascii="Arial" w:cs="Arial" w:eastAsia="Arial" w:hAnsi="Arial"/>
          <w:color w:val="1C1C1C"/>
          <w:sz w:val="22"/>
          <w:szCs w:val="22"/>
        </w:rPr>
        <w:t xml:space="preserve">Timelines are aligned around key dates such as World Sickle Cell Day (June 19) or major conferences</w:t>
      </w:r>
    </w:p>
    <w:p>
      <w:pPr>
        <w:spacing w:after="100" w:before="100"/>
      </w:pPr>
    </w:p>
    <w:p>
      <w:pPr>
        <w:pStyle w:val="Heading3"/>
        <w:spacing w:after="80" w:before="200"/>
      </w:pPr>
      <w:r>
        <w:rPr>
          <w:rFonts w:ascii="Arial" w:cs="Arial" w:eastAsia="Arial" w:hAnsi="Arial"/>
          <w:b/>
          <w:bCs/>
          <w:color w:val="2E6DA4"/>
          <w:sz w:val="22"/>
          <w:szCs w:val="22"/>
        </w:rPr>
        <w:t xml:space="preserve">4.5 Service Delivery</w:t>
      </w:r>
    </w:p>
    <w:p>
      <w:pPr>
        <w:spacing w:after="100" w:before="60"/>
      </w:pPr>
      <w:r>
        <w:rPr>
          <w:rFonts w:ascii="Arial" w:cs="Arial" w:eastAsia="Arial" w:hAnsi="Arial"/>
          <w:color w:val="1C1C1C"/>
          <w:sz w:val="22"/>
          <w:szCs w:val="22"/>
        </w:rPr>
        <w:t xml:space="preserve">Service delivery at SC101 is primarily content-based:</w:t>
      </w:r>
    </w:p>
    <w:p>
      <w:pPr>
        <w:pStyle w:val="ListParagraph"/>
        <w:numPr>
          <w:ilvl w:val="0"/>
          <w:numId w:val="2"/>
        </w:numPr>
        <w:spacing w:after="40" w:before="40"/>
      </w:pPr>
      <w:r>
        <w:rPr>
          <w:rFonts w:ascii="Arial" w:cs="Arial" w:eastAsia="Arial" w:hAnsi="Arial"/>
          <w:color w:val="1C1C1C"/>
          <w:sz w:val="22"/>
          <w:szCs w:val="22"/>
        </w:rPr>
        <w:t xml:space="preserve">Educational content is published on the website, social media, and podcast</w:t>
      </w:r>
    </w:p>
    <w:p>
      <w:pPr>
        <w:pStyle w:val="ListParagraph"/>
        <w:numPr>
          <w:ilvl w:val="0"/>
          <w:numId w:val="2"/>
        </w:numPr>
        <w:spacing w:after="40" w:before="40"/>
      </w:pPr>
      <w:r>
        <w:rPr>
          <w:rFonts w:ascii="Arial" w:cs="Arial" w:eastAsia="Arial" w:hAnsi="Arial"/>
          <w:color w:val="1C1C1C"/>
          <w:sz w:val="22"/>
          <w:szCs w:val="22"/>
        </w:rPr>
        <w:t xml:space="preserve">Live events are streamed on Instagram and YouTube</w:t>
      </w:r>
    </w:p>
    <w:p>
      <w:pPr>
        <w:pStyle w:val="ListParagraph"/>
        <w:numPr>
          <w:ilvl w:val="0"/>
          <w:numId w:val="2"/>
        </w:numPr>
        <w:spacing w:after="40" w:before="40"/>
      </w:pPr>
      <w:r>
        <w:rPr>
          <w:rFonts w:ascii="Arial" w:cs="Arial" w:eastAsia="Arial" w:hAnsi="Arial"/>
          <w:color w:val="1C1C1C"/>
          <w:sz w:val="22"/>
          <w:szCs w:val="22"/>
        </w:rPr>
        <w:t xml:space="preserve">Survey data is collected via the #OurVoice platform and shared with sponsors in aggregate form</w:t>
      </w:r>
    </w:p>
    <w:p>
      <w:pPr>
        <w:pStyle w:val="ListParagraph"/>
        <w:numPr>
          <w:ilvl w:val="0"/>
          <w:numId w:val="2"/>
        </w:numPr>
        <w:spacing w:after="40" w:before="40"/>
      </w:pPr>
      <w:r>
        <w:rPr>
          <w:rFonts w:ascii="Arial" w:cs="Arial" w:eastAsia="Arial" w:hAnsi="Arial"/>
          <w:color w:val="1C1C1C"/>
          <w:sz w:val="22"/>
          <w:szCs w:val="22"/>
        </w:rPr>
        <w:t xml:space="preserve">Conference presentations are delivered by Cassandra Trimnell or Dr. Stephen Boateng</w:t>
      </w:r>
    </w:p>
    <w:p>
      <w:pPr>
        <w:pStyle w:val="ListParagraph"/>
        <w:numPr>
          <w:ilvl w:val="0"/>
          <w:numId w:val="2"/>
        </w:numPr>
        <w:spacing w:after="40" w:before="40"/>
      </w:pPr>
      <w:r>
        <w:rPr>
          <w:rFonts w:ascii="Arial" w:cs="Arial" w:eastAsia="Arial" w:hAnsi="Arial"/>
          <w:color w:val="1C1C1C"/>
          <w:sz w:val="22"/>
          <w:szCs w:val="22"/>
        </w:rPr>
        <w:t xml:space="preserve">Consulting services are delivered via calls, reports, and in-person attendance at partner events</w:t>
      </w:r>
    </w:p>
    <w:p>
      <w:pPr>
        <w:spacing w:after="100" w:before="100"/>
      </w:pPr>
    </w:p>
    <w:p>
      <w:pPr>
        <w:pStyle w:val="Heading3"/>
        <w:spacing w:after="80" w:before="200"/>
      </w:pPr>
      <w:r>
        <w:rPr>
          <w:rFonts w:ascii="Arial" w:cs="Arial" w:eastAsia="Arial" w:hAnsi="Arial"/>
          <w:b/>
          <w:bCs/>
          <w:color w:val="2E6DA4"/>
          <w:sz w:val="22"/>
          <w:szCs w:val="22"/>
        </w:rPr>
        <w:t xml:space="preserve">4.6 Client Communication</w:t>
      </w:r>
    </w:p>
    <w:p>
      <w:pPr>
        <w:spacing w:after="100" w:before="60"/>
      </w:pPr>
      <w:r>
        <w:rPr>
          <w:rFonts w:ascii="Arial" w:cs="Arial" w:eastAsia="Arial" w:hAnsi="Arial"/>
          <w:color w:val="1C1C1C"/>
          <w:sz w:val="22"/>
          <w:szCs w:val="22"/>
        </w:rPr>
        <w:t xml:space="preserve">Communication with institutional partners is managed by the leadership team. No external-facing CRM or communication workflow is publicly documented. Based on the organizational size (11 employees), communication is likely managed through email, direct calls, and in-person meetings. Public-facing communication with the community happens through social media comments, live Q&amp;A sessions, and the contact form on sc101.org.</w:t>
      </w:r>
    </w:p>
    <w:p>
      <w:pPr>
        <w:spacing w:after="100" w:before="100"/>
      </w:pPr>
    </w:p>
    <w:p>
      <w:pPr>
        <w:pStyle w:val="Heading3"/>
        <w:spacing w:after="80" w:before="200"/>
      </w:pPr>
      <w:r>
        <w:rPr>
          <w:rFonts w:ascii="Arial" w:cs="Arial" w:eastAsia="Arial" w:hAnsi="Arial"/>
          <w:b/>
          <w:bCs/>
          <w:color w:val="2E6DA4"/>
          <w:sz w:val="22"/>
          <w:szCs w:val="22"/>
        </w:rPr>
        <w:t xml:space="preserve">4.7 Retention &amp; Upselling</w:t>
      </w:r>
    </w:p>
    <w:p>
      <w:pPr>
        <w:spacing w:after="100" w:before="60"/>
      </w:pPr>
      <w:r>
        <w:rPr>
          <w:rFonts w:ascii="Arial" w:cs="Arial" w:eastAsia="Arial" w:hAnsi="Arial"/>
          <w:color w:val="1C1C1C"/>
          <w:sz w:val="22"/>
          <w:szCs w:val="22"/>
        </w:rPr>
        <w:t xml:space="preserve">Retention of institutional partners is driven by:</w:t>
      </w:r>
    </w:p>
    <w:p>
      <w:pPr>
        <w:pStyle w:val="ListParagraph"/>
        <w:numPr>
          <w:ilvl w:val="0"/>
          <w:numId w:val="2"/>
        </w:numPr>
        <w:spacing w:after="40" w:before="40"/>
      </w:pPr>
      <w:r>
        <w:rPr>
          <w:rFonts w:ascii="Arial" w:cs="Arial" w:eastAsia="Arial" w:hAnsi="Arial"/>
          <w:color w:val="1C1C1C"/>
          <w:sz w:val="22"/>
          <w:szCs w:val="22"/>
        </w:rPr>
        <w:t xml:space="preserve">Demonstrated community reach — SC101 can show engagement data (posts reaching 85,000+ people, 3M+ users reached overall)</w:t>
      </w:r>
    </w:p>
    <w:p>
      <w:pPr>
        <w:pStyle w:val="ListParagraph"/>
        <w:numPr>
          <w:ilvl w:val="0"/>
          <w:numId w:val="2"/>
        </w:numPr>
        <w:spacing w:after="40" w:before="40"/>
      </w:pPr>
      <w:r>
        <w:rPr>
          <w:rFonts w:ascii="Arial" w:cs="Arial" w:eastAsia="Arial" w:hAnsi="Arial"/>
          <w:color w:val="1C1C1C"/>
          <w:sz w:val="22"/>
          <w:szCs w:val="22"/>
        </w:rPr>
        <w:t xml:space="preserve">Ongoing community trust — partners benefit from continued association with the SC101 brand</w:t>
      </w:r>
    </w:p>
    <w:p>
      <w:pPr>
        <w:pStyle w:val="ListParagraph"/>
        <w:numPr>
          <w:ilvl w:val="0"/>
          <w:numId w:val="2"/>
        </w:numPr>
        <w:spacing w:after="40" w:before="40"/>
      </w:pPr>
      <w:r>
        <w:rPr>
          <w:rFonts w:ascii="Arial" w:cs="Arial" w:eastAsia="Arial" w:hAnsi="Arial"/>
          <w:color w:val="1C1C1C"/>
          <w:sz w:val="22"/>
          <w:szCs w:val="22"/>
        </w:rPr>
        <w:t xml:space="preserve">Recurring programs — the #OurVoice survey runs bi-annually, giving sponsors a natural reason to renew</w:t>
      </w:r>
    </w:p>
    <w:p>
      <w:pPr>
        <w:pStyle w:val="ListParagraph"/>
        <w:numPr>
          <w:ilvl w:val="0"/>
          <w:numId w:val="2"/>
        </w:numPr>
        <w:spacing w:after="40" w:before="40"/>
      </w:pPr>
      <w:r>
        <w:rPr>
          <w:rFonts w:ascii="Arial" w:cs="Arial" w:eastAsia="Arial" w:hAnsi="Arial"/>
          <w:color w:val="1C1C1C"/>
          <w:sz w:val="22"/>
          <w:szCs w:val="22"/>
        </w:rPr>
        <w:t xml:space="preserve">Conference calendar — recurring events like ASH and World Sickle Cell Day create annual partnership cycles</w:t>
      </w:r>
    </w:p>
    <w:p>
      <w:pP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3A5C" w:val="clear"/>
            <w:tcMar>
              <w:top w:type="dxa" w:w="160"/>
              <w:left w:type="dxa" w:w="240"/>
              <w:bottom w:type="dxa" w:w="160"/>
              <w:right w:type="dxa" w:w="240"/>
            </w:tcMar>
          </w:tcPr>
          <w:p>
            <w:pPr>
              <w:spacing w:after="0" w:before="0"/>
            </w:pPr>
            <w:r>
              <w:rPr>
                <w:rFonts w:ascii="Arial" w:cs="Arial" w:eastAsia="Arial" w:hAnsi="Arial"/>
                <w:b/>
                <w:bCs/>
                <w:color w:val="B03A2E"/>
                <w:sz w:val="30"/>
                <w:szCs w:val="30"/>
              </w:rPr>
              <w:t xml:space="preserve">05  </w:t>
            </w:r>
            <w:r>
              <w:rPr>
                <w:rFonts w:ascii="Arial" w:cs="Arial" w:eastAsia="Arial" w:hAnsi="Arial"/>
                <w:b/>
                <w:bCs/>
                <w:color w:val="FFFFFF"/>
                <w:sz w:val="30"/>
                <w:szCs w:val="30"/>
              </w:rPr>
              <w:t xml:space="preserve">Daily Business Operations</w:t>
            </w:r>
          </w:p>
        </w:tc>
      </w:tr>
    </w:tbl>
    <w:p>
      <w:pPr>
        <w:spacing w:after="120" w:before="160"/>
      </w:pPr>
    </w:p>
    <w:p>
      <w:pPr>
        <w:pStyle w:val="Heading3"/>
        <w:spacing w:after="80" w:before="200"/>
      </w:pPr>
      <w:r>
        <w:rPr>
          <w:rFonts w:ascii="Arial" w:cs="Arial" w:eastAsia="Arial" w:hAnsi="Arial"/>
          <w:b/>
          <w:bCs/>
          <w:color w:val="2E6DA4"/>
          <w:sz w:val="22"/>
          <w:szCs w:val="22"/>
        </w:rPr>
        <w:t xml:space="preserve">5.1 Daily Activities</w:t>
      </w:r>
    </w:p>
    <w:p>
      <w:pPr>
        <w:pStyle w:val="ListParagraph"/>
        <w:numPr>
          <w:ilvl w:val="0"/>
          <w:numId w:val="2"/>
        </w:numPr>
        <w:spacing w:after="40" w:before="40"/>
      </w:pPr>
      <w:r>
        <w:rPr>
          <w:rFonts w:ascii="Arial" w:cs="Arial" w:eastAsia="Arial" w:hAnsi="Arial"/>
          <w:color w:val="1C1C1C"/>
          <w:sz w:val="22"/>
          <w:szCs w:val="22"/>
        </w:rPr>
        <w:t xml:space="preserve">Creating and scheduling social media content (graphics, facts, patient stories) across Instagram, LinkedIn, and YouTube</w:t>
      </w:r>
    </w:p>
    <w:p>
      <w:pPr>
        <w:pStyle w:val="ListParagraph"/>
        <w:numPr>
          <w:ilvl w:val="0"/>
          <w:numId w:val="2"/>
        </w:numPr>
        <w:spacing w:after="40" w:before="40"/>
      </w:pPr>
      <w:r>
        <w:rPr>
          <w:rFonts w:ascii="Arial" w:cs="Arial" w:eastAsia="Arial" w:hAnsi="Arial"/>
          <w:color w:val="1C1C1C"/>
          <w:sz w:val="22"/>
          <w:szCs w:val="22"/>
        </w:rPr>
        <w:t xml:space="preserve">Responding to community questions and comments on social media</w:t>
      </w:r>
    </w:p>
    <w:p>
      <w:pPr>
        <w:pStyle w:val="ListParagraph"/>
        <w:numPr>
          <w:ilvl w:val="0"/>
          <w:numId w:val="2"/>
        </w:numPr>
        <w:spacing w:after="40" w:before="40"/>
      </w:pPr>
      <w:r>
        <w:rPr>
          <w:rFonts w:ascii="Arial" w:cs="Arial" w:eastAsia="Arial" w:hAnsi="Arial"/>
          <w:color w:val="1C1C1C"/>
          <w:sz w:val="22"/>
          <w:szCs w:val="22"/>
        </w:rPr>
        <w:t xml:space="preserve">Updating website content and the Learn Center</w:t>
      </w:r>
    </w:p>
    <w:p>
      <w:pPr>
        <w:pStyle w:val="ListParagraph"/>
        <w:numPr>
          <w:ilvl w:val="0"/>
          <w:numId w:val="2"/>
        </w:numPr>
        <w:spacing w:after="40" w:before="40"/>
      </w:pPr>
      <w:r>
        <w:rPr>
          <w:rFonts w:ascii="Arial" w:cs="Arial" w:eastAsia="Arial" w:hAnsi="Arial"/>
          <w:color w:val="1C1C1C"/>
          <w:sz w:val="22"/>
          <w:szCs w:val="22"/>
        </w:rPr>
        <w:t xml:space="preserve">Managing email inquiries from patients, caregivers, and healthcare providers</w:t>
      </w:r>
    </w:p>
    <w:p>
      <w:pPr>
        <w:pStyle w:val="ListParagraph"/>
        <w:numPr>
          <w:ilvl w:val="0"/>
          <w:numId w:val="2"/>
        </w:numPr>
        <w:spacing w:after="40" w:before="40"/>
      </w:pPr>
      <w:r>
        <w:rPr>
          <w:rFonts w:ascii="Arial" w:cs="Arial" w:eastAsia="Arial" w:hAnsi="Arial"/>
          <w:color w:val="1C1C1C"/>
          <w:sz w:val="22"/>
          <w:szCs w:val="22"/>
        </w:rPr>
        <w:t xml:space="preserve">Coordinating with pharma and research partners on active campaigns</w:t>
      </w:r>
    </w:p>
    <w:p>
      <w:pPr>
        <w:spacing w:after="100" w:before="100"/>
      </w:pPr>
    </w:p>
    <w:p>
      <w:pPr>
        <w:pStyle w:val="Heading3"/>
        <w:spacing w:after="80" w:before="200"/>
      </w:pPr>
      <w:r>
        <w:rPr>
          <w:rFonts w:ascii="Arial" w:cs="Arial" w:eastAsia="Arial" w:hAnsi="Arial"/>
          <w:b/>
          <w:bCs/>
          <w:color w:val="2E6DA4"/>
          <w:sz w:val="22"/>
          <w:szCs w:val="22"/>
        </w:rPr>
        <w:t xml:space="preserve">5.2 Weekly Activities</w:t>
      </w:r>
    </w:p>
    <w:p>
      <w:pPr>
        <w:pStyle w:val="ListParagraph"/>
        <w:numPr>
          <w:ilvl w:val="0"/>
          <w:numId w:val="2"/>
        </w:numPr>
        <w:spacing w:after="40" w:before="40"/>
      </w:pPr>
      <w:r>
        <w:rPr>
          <w:rFonts w:ascii="Arial" w:cs="Arial" w:eastAsia="Arial" w:hAnsi="Arial"/>
          <w:color w:val="1C1C1C"/>
          <w:sz w:val="22"/>
          <w:szCs w:val="22"/>
        </w:rPr>
        <w:t xml:space="preserve">Publishing new articles or blog posts to sc101.org</w:t>
      </w:r>
    </w:p>
    <w:p>
      <w:pPr>
        <w:pStyle w:val="ListParagraph"/>
        <w:numPr>
          <w:ilvl w:val="0"/>
          <w:numId w:val="2"/>
        </w:numPr>
        <w:spacing w:after="40" w:before="40"/>
      </w:pPr>
      <w:r>
        <w:rPr>
          <w:rFonts w:ascii="Arial" w:cs="Arial" w:eastAsia="Arial" w:hAnsi="Arial"/>
          <w:color w:val="1C1C1C"/>
          <w:sz w:val="22"/>
          <w:szCs w:val="22"/>
        </w:rPr>
        <w:t xml:space="preserve">Reviewing and curating new clinical trial listings for the Sickle Cell Studies platform</w:t>
      </w:r>
    </w:p>
    <w:p>
      <w:pPr>
        <w:pStyle w:val="ListParagraph"/>
        <w:numPr>
          <w:ilvl w:val="0"/>
          <w:numId w:val="2"/>
        </w:numPr>
        <w:spacing w:after="40" w:before="40"/>
      </w:pPr>
      <w:r>
        <w:rPr>
          <w:rFonts w:ascii="Arial" w:cs="Arial" w:eastAsia="Arial" w:hAnsi="Arial"/>
          <w:color w:val="1C1C1C"/>
          <w:sz w:val="22"/>
          <w:szCs w:val="22"/>
        </w:rPr>
        <w:t xml:space="preserve">Internal team coordination meetings (inferred from team structure)</w:t>
      </w:r>
    </w:p>
    <w:p>
      <w:pPr>
        <w:pStyle w:val="ListParagraph"/>
        <w:numPr>
          <w:ilvl w:val="0"/>
          <w:numId w:val="2"/>
        </w:numPr>
        <w:spacing w:after="40" w:before="40"/>
      </w:pPr>
      <w:r>
        <w:rPr>
          <w:rFonts w:ascii="Arial" w:cs="Arial" w:eastAsia="Arial" w:hAnsi="Arial"/>
          <w:color w:val="1C1C1C"/>
          <w:sz w:val="22"/>
          <w:szCs w:val="22"/>
        </w:rPr>
        <w:t xml:space="preserve">Preparing content for upcoming live events or podcast episodes</w:t>
      </w:r>
    </w:p>
    <w:p>
      <w:pPr>
        <w:spacing w:after="100" w:before="100"/>
      </w:pPr>
    </w:p>
    <w:p>
      <w:pPr>
        <w:pStyle w:val="Heading3"/>
        <w:spacing w:after="80" w:before="200"/>
      </w:pPr>
      <w:r>
        <w:rPr>
          <w:rFonts w:ascii="Arial" w:cs="Arial" w:eastAsia="Arial" w:hAnsi="Arial"/>
          <w:b/>
          <w:bCs/>
          <w:color w:val="2E6DA4"/>
          <w:sz w:val="22"/>
          <w:szCs w:val="22"/>
        </w:rPr>
        <w:t xml:space="preserve">5.3 Monthly Activities</w:t>
      </w:r>
    </w:p>
    <w:p>
      <w:pPr>
        <w:pStyle w:val="ListParagraph"/>
        <w:numPr>
          <w:ilvl w:val="0"/>
          <w:numId w:val="2"/>
        </w:numPr>
        <w:spacing w:after="40" w:before="40"/>
      </w:pPr>
      <w:r>
        <w:rPr>
          <w:rFonts w:ascii="Arial" w:cs="Arial" w:eastAsia="Arial" w:hAnsi="Arial"/>
          <w:color w:val="1C1C1C"/>
          <w:sz w:val="22"/>
          <w:szCs w:val="22"/>
        </w:rPr>
        <w:t xml:space="preserve">Planning and executing live Ask the Experts events (frequency varies; key events tied to conferences and awareness months)</w:t>
      </w:r>
    </w:p>
    <w:p>
      <w:pPr>
        <w:pStyle w:val="ListParagraph"/>
        <w:numPr>
          <w:ilvl w:val="0"/>
          <w:numId w:val="2"/>
        </w:numPr>
        <w:spacing w:after="40" w:before="40"/>
      </w:pPr>
      <w:r>
        <w:rPr>
          <w:rFonts w:ascii="Arial" w:cs="Arial" w:eastAsia="Arial" w:hAnsi="Arial"/>
          <w:color w:val="1C1C1C"/>
          <w:sz w:val="22"/>
          <w:szCs w:val="22"/>
        </w:rPr>
        <w:t xml:space="preserve">Reporting on community reach and engagement metrics for sponsors</w:t>
      </w:r>
    </w:p>
    <w:p>
      <w:pPr>
        <w:pStyle w:val="ListParagraph"/>
        <w:numPr>
          <w:ilvl w:val="0"/>
          <w:numId w:val="2"/>
        </w:numPr>
        <w:spacing w:after="40" w:before="40"/>
      </w:pPr>
      <w:r>
        <w:rPr>
          <w:rFonts w:ascii="Arial" w:cs="Arial" w:eastAsia="Arial" w:hAnsi="Arial"/>
          <w:color w:val="1C1C1C"/>
          <w:sz w:val="22"/>
          <w:szCs w:val="22"/>
        </w:rPr>
        <w:t xml:space="preserve">Reviewing and responding to #OurVoice survey input (bi-annual cycle)</w:t>
      </w:r>
    </w:p>
    <w:p>
      <w:pPr>
        <w:pStyle w:val="ListParagraph"/>
        <w:numPr>
          <w:ilvl w:val="0"/>
          <w:numId w:val="2"/>
        </w:numPr>
        <w:spacing w:after="40" w:before="40"/>
      </w:pPr>
      <w:r>
        <w:rPr>
          <w:rFonts w:ascii="Arial" w:cs="Arial" w:eastAsia="Arial" w:hAnsi="Arial"/>
          <w:color w:val="1C1C1C"/>
          <w:sz w:val="22"/>
          <w:szCs w:val="22"/>
        </w:rPr>
        <w:t xml:space="preserve">Managing the SCAY Awards cycle (annual award recognizing sickle cell advocates)</w:t>
      </w:r>
    </w:p>
    <w:p>
      <w:pPr>
        <w:pStyle w:val="ListParagraph"/>
        <w:numPr>
          <w:ilvl w:val="0"/>
          <w:numId w:val="2"/>
        </w:numPr>
        <w:spacing w:after="40" w:before="40"/>
      </w:pPr>
      <w:r>
        <w:rPr>
          <w:rFonts w:ascii="Arial" w:cs="Arial" w:eastAsia="Arial" w:hAnsi="Arial"/>
          <w:color w:val="1C1C1C"/>
          <w:sz w:val="22"/>
          <w:szCs w:val="22"/>
        </w:rPr>
        <w:t xml:space="preserve">Producing and releasing podcast episodes</w:t>
      </w:r>
    </w:p>
    <w:p>
      <w:pPr>
        <w:spacing w:after="100" w:before="100"/>
      </w:pPr>
    </w:p>
    <w:p>
      <w:pPr>
        <w:pStyle w:val="Heading3"/>
        <w:spacing w:after="80" w:before="200"/>
      </w:pPr>
      <w:r>
        <w:rPr>
          <w:rFonts w:ascii="Arial" w:cs="Arial" w:eastAsia="Arial" w:hAnsi="Arial"/>
          <w:b/>
          <w:bCs/>
          <w:color w:val="2E6DA4"/>
          <w:sz w:val="22"/>
          <w:szCs w:val="22"/>
        </w:rPr>
        <w:t xml:space="preserve">5.4 Key Operational Workflows</w:t>
      </w:r>
    </w:p>
    <w:p>
      <w:pPr>
        <w:spacing w:after="100" w:before="60"/>
      </w:pPr>
      <w:r>
        <w:rPr>
          <w:rFonts w:ascii="Arial" w:cs="Arial" w:eastAsia="Arial" w:hAnsi="Arial"/>
          <w:color w:val="1C1C1C"/>
          <w:sz w:val="22"/>
          <w:szCs w:val="22"/>
        </w:rPr>
        <w:t xml:space="preserve">Content Production Workflow:</w:t>
      </w:r>
    </w:p>
    <w:p>
      <w:pPr>
        <w:pStyle w:val="ListParagraph"/>
        <w:numPr>
          <w:ilvl w:val="0"/>
          <w:numId w:val="2"/>
        </w:numPr>
        <w:spacing w:after="40" w:before="40"/>
      </w:pPr>
      <w:r>
        <w:rPr>
          <w:rFonts w:ascii="Arial" w:cs="Arial" w:eastAsia="Arial" w:hAnsi="Arial"/>
          <w:color w:val="1C1C1C"/>
          <w:sz w:val="22"/>
          <w:szCs w:val="22"/>
        </w:rPr>
        <w:t xml:space="preserve">Topic identified (based on community needs, partner requests, or calendar events)</w:t>
      </w:r>
    </w:p>
    <w:p>
      <w:pPr>
        <w:pStyle w:val="ListParagraph"/>
        <w:numPr>
          <w:ilvl w:val="0"/>
          <w:numId w:val="2"/>
        </w:numPr>
        <w:spacing w:after="40" w:before="40"/>
      </w:pPr>
      <w:r>
        <w:rPr>
          <w:rFonts w:ascii="Arial" w:cs="Arial" w:eastAsia="Arial" w:hAnsi="Arial"/>
          <w:color w:val="1C1C1C"/>
          <w:sz w:val="22"/>
          <w:szCs w:val="22"/>
        </w:rPr>
        <w:t xml:space="preserve">Content drafted by team members including Sabrina Ehrlich (Content Contributor) and Halimat Olaniyan (inferred contributor based on bylines)</w:t>
      </w:r>
    </w:p>
    <w:p>
      <w:pPr>
        <w:pStyle w:val="ListParagraph"/>
        <w:numPr>
          <w:ilvl w:val="0"/>
          <w:numId w:val="2"/>
        </w:numPr>
        <w:spacing w:after="40" w:before="40"/>
      </w:pPr>
      <w:r>
        <w:rPr>
          <w:rFonts w:ascii="Arial" w:cs="Arial" w:eastAsia="Arial" w:hAnsi="Arial"/>
          <w:color w:val="1C1C1C"/>
          <w:sz w:val="22"/>
          <w:szCs w:val="22"/>
        </w:rPr>
        <w:t xml:space="preserve">Medical review by Dr. Keith Quirolo (Chief Medical Officer) or Dr. Stephen Boateng (Director of Research)</w:t>
      </w:r>
    </w:p>
    <w:p>
      <w:pPr>
        <w:pStyle w:val="ListParagraph"/>
        <w:numPr>
          <w:ilvl w:val="0"/>
          <w:numId w:val="2"/>
        </w:numPr>
        <w:spacing w:after="40" w:before="40"/>
      </w:pPr>
      <w:r>
        <w:rPr>
          <w:rFonts w:ascii="Arial" w:cs="Arial" w:eastAsia="Arial" w:hAnsi="Arial"/>
          <w:color w:val="1C1C1C"/>
          <w:sz w:val="22"/>
          <w:szCs w:val="22"/>
        </w:rPr>
        <w:t xml:space="preserve">Published on website and distributed via social media</w:t>
      </w:r>
    </w:p>
    <w:p>
      <w:pPr>
        <w:spacing w:after="100" w:before="100"/>
      </w:pPr>
    </w:p>
    <w:p>
      <w:pPr>
        <w:spacing w:after="100" w:before="60"/>
      </w:pPr>
      <w:r>
        <w:rPr>
          <w:rFonts w:ascii="Arial" w:cs="Arial" w:eastAsia="Arial" w:hAnsi="Arial"/>
          <w:color w:val="1C1C1C"/>
          <w:sz w:val="22"/>
          <w:szCs w:val="22"/>
        </w:rPr>
        <w:t xml:space="preserve">Partner Campaign Workflow:</w:t>
      </w:r>
    </w:p>
    <w:p>
      <w:pPr>
        <w:pStyle w:val="ListParagraph"/>
        <w:numPr>
          <w:ilvl w:val="0"/>
          <w:numId w:val="2"/>
        </w:numPr>
        <w:spacing w:after="40" w:before="40"/>
      </w:pPr>
      <w:r>
        <w:rPr>
          <w:rFonts w:ascii="Arial" w:cs="Arial" w:eastAsia="Arial" w:hAnsi="Arial"/>
          <w:color w:val="1C1C1C"/>
          <w:sz w:val="22"/>
          <w:szCs w:val="22"/>
        </w:rPr>
        <w:t xml:space="preserve">Partner briefing — understand the product, trial, or message</w:t>
      </w:r>
    </w:p>
    <w:p>
      <w:pPr>
        <w:pStyle w:val="ListParagraph"/>
        <w:numPr>
          <w:ilvl w:val="0"/>
          <w:numId w:val="2"/>
        </w:numPr>
        <w:spacing w:after="40" w:before="40"/>
      </w:pPr>
      <w:r>
        <w:rPr>
          <w:rFonts w:ascii="Arial" w:cs="Arial" w:eastAsia="Arial" w:hAnsi="Arial"/>
          <w:color w:val="1C1C1C"/>
          <w:sz w:val="22"/>
          <w:szCs w:val="22"/>
        </w:rPr>
        <w:t xml:space="preserve">Content creation — SC101 writes patient-friendly educational materials</w:t>
      </w:r>
    </w:p>
    <w:p>
      <w:pPr>
        <w:pStyle w:val="ListParagraph"/>
        <w:numPr>
          <w:ilvl w:val="0"/>
          <w:numId w:val="2"/>
        </w:numPr>
        <w:spacing w:after="40" w:before="40"/>
      </w:pPr>
      <w:r>
        <w:rPr>
          <w:rFonts w:ascii="Arial" w:cs="Arial" w:eastAsia="Arial" w:hAnsi="Arial"/>
          <w:color w:val="1C1C1C"/>
          <w:sz w:val="22"/>
          <w:szCs w:val="22"/>
        </w:rPr>
        <w:t xml:space="preserve">Community distribution — published via SC101's platforms</w:t>
      </w:r>
    </w:p>
    <w:p>
      <w:pPr>
        <w:pStyle w:val="ListParagraph"/>
        <w:numPr>
          <w:ilvl w:val="0"/>
          <w:numId w:val="2"/>
        </w:numPr>
        <w:spacing w:after="40" w:before="40"/>
      </w:pPr>
      <w:r>
        <w:rPr>
          <w:rFonts w:ascii="Arial" w:cs="Arial" w:eastAsia="Arial" w:hAnsi="Arial"/>
          <w:color w:val="1C1C1C"/>
          <w:sz w:val="22"/>
          <w:szCs w:val="22"/>
        </w:rPr>
        <w:t xml:space="preserve">Event execution — live Q&amp;A or podcast episode may be included</w:t>
      </w:r>
    </w:p>
    <w:p>
      <w:pPr>
        <w:pStyle w:val="ListParagraph"/>
        <w:numPr>
          <w:ilvl w:val="0"/>
          <w:numId w:val="2"/>
        </w:numPr>
        <w:spacing w:after="40" w:before="40"/>
      </w:pPr>
      <w:r>
        <w:rPr>
          <w:rFonts w:ascii="Arial" w:cs="Arial" w:eastAsia="Arial" w:hAnsi="Arial"/>
          <w:color w:val="1C1C1C"/>
          <w:sz w:val="22"/>
          <w:szCs w:val="22"/>
        </w:rPr>
        <w:t xml:space="preserve">Reporting — engagement data shared with partner</w:t>
      </w:r>
    </w:p>
    <w:p>
      <w:pPr>
        <w:spacing w:after="100" w:before="100"/>
      </w:pPr>
    </w:p>
    <w:p>
      <w:pPr>
        <w:spacing w:after="100" w:before="60"/>
      </w:pPr>
      <w:r>
        <w:rPr>
          <w:rFonts w:ascii="Arial" w:cs="Arial" w:eastAsia="Arial" w:hAnsi="Arial"/>
          <w:color w:val="1C1C1C"/>
          <w:sz w:val="22"/>
          <w:szCs w:val="22"/>
        </w:rPr>
        <w:t xml:space="preserve">Survey Workflow (#OurVoice):</w:t>
      </w:r>
    </w:p>
    <w:p>
      <w:pPr>
        <w:pStyle w:val="ListParagraph"/>
        <w:numPr>
          <w:ilvl w:val="0"/>
          <w:numId w:val="2"/>
        </w:numPr>
        <w:spacing w:after="40" w:before="40"/>
      </w:pPr>
      <w:r>
        <w:rPr>
          <w:rFonts w:ascii="Arial" w:cs="Arial" w:eastAsia="Arial" w:hAnsi="Arial"/>
          <w:color w:val="1C1C1C"/>
          <w:sz w:val="22"/>
          <w:szCs w:val="22"/>
        </w:rPr>
        <w:t xml:space="preserve">Survey designed by SC101 team with input from community and sponsors</w:t>
      </w:r>
    </w:p>
    <w:p>
      <w:pPr>
        <w:pStyle w:val="ListParagraph"/>
        <w:numPr>
          <w:ilvl w:val="0"/>
          <w:numId w:val="2"/>
        </w:numPr>
        <w:spacing w:after="40" w:before="40"/>
      </w:pPr>
      <w:r>
        <w:rPr>
          <w:rFonts w:ascii="Arial" w:cs="Arial" w:eastAsia="Arial" w:hAnsi="Arial"/>
          <w:color w:val="1C1C1C"/>
          <w:sz w:val="22"/>
          <w:szCs w:val="22"/>
        </w:rPr>
        <w:t xml:space="preserve">Distributed bi-annually via social media and email to global community</w:t>
      </w:r>
    </w:p>
    <w:p>
      <w:pPr>
        <w:pStyle w:val="ListParagraph"/>
        <w:numPr>
          <w:ilvl w:val="0"/>
          <w:numId w:val="2"/>
        </w:numPr>
        <w:spacing w:after="40" w:before="40"/>
      </w:pPr>
      <w:r>
        <w:rPr>
          <w:rFonts w:ascii="Arial" w:cs="Arial" w:eastAsia="Arial" w:hAnsi="Arial"/>
          <w:color w:val="1C1C1C"/>
          <w:sz w:val="22"/>
          <w:szCs w:val="22"/>
        </w:rPr>
        <w:t xml:space="preserve">Results compiled and published back to the community for transparency</w:t>
      </w:r>
    </w:p>
    <w:p>
      <w:pPr>
        <w:pStyle w:val="ListParagraph"/>
        <w:numPr>
          <w:ilvl w:val="0"/>
          <w:numId w:val="2"/>
        </w:numPr>
        <w:spacing w:after="40" w:before="40"/>
      </w:pPr>
      <w:r>
        <w:rPr>
          <w:rFonts w:ascii="Arial" w:cs="Arial" w:eastAsia="Arial" w:hAnsi="Arial"/>
          <w:color w:val="1C1C1C"/>
          <w:sz w:val="22"/>
          <w:szCs w:val="22"/>
        </w:rPr>
        <w:t xml:space="preserve">Insights shared with sponsors and used to shape SC101 programming</w:t>
      </w:r>
    </w:p>
    <w:p>
      <w:pP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3A5C" w:val="clear"/>
            <w:tcMar>
              <w:top w:type="dxa" w:w="160"/>
              <w:left w:type="dxa" w:w="240"/>
              <w:bottom w:type="dxa" w:w="160"/>
              <w:right w:type="dxa" w:w="240"/>
            </w:tcMar>
          </w:tcPr>
          <w:p>
            <w:pPr>
              <w:spacing w:after="0" w:before="0"/>
            </w:pPr>
            <w:r>
              <w:rPr>
                <w:rFonts w:ascii="Arial" w:cs="Arial" w:eastAsia="Arial" w:hAnsi="Arial"/>
                <w:b/>
                <w:bCs/>
                <w:color w:val="B03A2E"/>
                <w:sz w:val="30"/>
                <w:szCs w:val="30"/>
              </w:rPr>
              <w:t xml:space="preserve">06  </w:t>
            </w:r>
            <w:r>
              <w:rPr>
                <w:rFonts w:ascii="Arial" w:cs="Arial" w:eastAsia="Arial" w:hAnsi="Arial"/>
                <w:b/>
                <w:bCs/>
                <w:color w:val="FFFFFF"/>
                <w:sz w:val="30"/>
                <w:szCs w:val="30"/>
              </w:rPr>
              <w:t xml:space="preserve">Team Structure</w:t>
            </w:r>
          </w:p>
        </w:tc>
      </w:tr>
    </w:tbl>
    <w:p>
      <w:pPr>
        <w:spacing w:after="120" w:before="160"/>
      </w:pPr>
    </w:p>
    <w:p>
      <w:pPr>
        <w:pStyle w:val="Heading3"/>
        <w:spacing w:after="80" w:before="200"/>
      </w:pPr>
      <w:r>
        <w:rPr>
          <w:rFonts w:ascii="Arial" w:cs="Arial" w:eastAsia="Arial" w:hAnsi="Arial"/>
          <w:b/>
          <w:bCs/>
          <w:color w:val="2E6DA4"/>
          <w:sz w:val="22"/>
          <w:szCs w:val="22"/>
        </w:rPr>
        <w:t xml:space="preserve">6.1 Leadership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Cassandra Trimnell</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Founder &amp; Executive Director — sets organizational direction, leads external partnerships, delivers advocacy consulting, represents SC101 at conferences. Lives with SCD (HbSS). Primary face of the organization.</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Stephen Boateng, PharmD</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Director of Research — leads research partnerships, publishes clinical content, collaborates with pharma and academic partners on studies and surveys. Presented at Global Congress on SCD in Nigeria.</w:t>
            </w:r>
          </w:p>
        </w:tc>
      </w:tr>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Keith Quirolo, MD</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Chief Medical Officer — reviews and validates clinical content, co-hosts Ask the Experts Live events, ensures medical accuracy of published education materials.</w:t>
            </w:r>
          </w:p>
        </w:tc>
      </w:tr>
    </w:tbl>
    <w:p>
      <w:pPr>
        <w:spacing w:after="100" w:before="100"/>
      </w:pPr>
    </w:p>
    <w:p>
      <w:pPr>
        <w:pStyle w:val="Heading3"/>
        <w:spacing w:after="80" w:before="200"/>
      </w:pPr>
      <w:r>
        <w:rPr>
          <w:rFonts w:ascii="Arial" w:cs="Arial" w:eastAsia="Arial" w:hAnsi="Arial"/>
          <w:b/>
          <w:bCs/>
          <w:color w:val="2E6DA4"/>
          <w:sz w:val="22"/>
          <w:szCs w:val="22"/>
        </w:rPr>
        <w:t xml:space="preserve">6.2 Operations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Natalie Arias</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Program Manager — oversees program delivery and coordination</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Ada Gonzalez</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Program Coordinator — supports program logistics and execution</w:t>
            </w:r>
          </w:p>
        </w:tc>
      </w:tr>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Abibat Oshiobugie-Suleiman</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Role not specified in available data</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Ashlie Kégo</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Ambassador — community representation and engagement</w:t>
            </w:r>
          </w:p>
        </w:tc>
      </w:tr>
    </w:tbl>
    <w:p>
      <w:pPr>
        <w:spacing w:after="100" w:before="100"/>
      </w:pPr>
    </w:p>
    <w:p>
      <w:pPr>
        <w:pStyle w:val="Heading3"/>
        <w:spacing w:after="80" w:before="200"/>
      </w:pPr>
      <w:r>
        <w:rPr>
          <w:rFonts w:ascii="Arial" w:cs="Arial" w:eastAsia="Arial" w:hAnsi="Arial"/>
          <w:b/>
          <w:bCs/>
          <w:color w:val="2E6DA4"/>
          <w:sz w:val="22"/>
          <w:szCs w:val="22"/>
        </w:rPr>
        <w:t xml:space="preserve">6.3 Content &amp; Marketing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Sabrina Ehrlich</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Content Contributor — produces written content for the website and blog</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Various community contributors</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SC101 features content written by patients, caregivers, and advocates. Authors include Halimat Olaniyan, Nnenna Kumenda, and others. These appear to be freelance or volunteer contributors.</w:t>
            </w:r>
          </w:p>
        </w:tc>
      </w:tr>
    </w:tbl>
    <w:p>
      <w:pPr>
        <w:spacing w:after="100" w:before="100"/>
      </w:pPr>
    </w:p>
    <w:p>
      <w:pPr>
        <w:pStyle w:val="Heading3"/>
        <w:spacing w:after="80" w:before="200"/>
      </w:pPr>
      <w:r>
        <w:rPr>
          <w:rFonts w:ascii="Arial" w:cs="Arial" w:eastAsia="Arial" w:hAnsi="Arial"/>
          <w:b/>
          <w:bCs/>
          <w:color w:val="2E6DA4"/>
          <w:sz w:val="22"/>
          <w:szCs w:val="22"/>
        </w:rPr>
        <w:t xml:space="preserve">6.4 Board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Angela Ehrlich, MA, MSW</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Chair of Board</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Markus Kothner</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Board Member (also listed as eBay employee — likely serves in a voluntary governance role)</w:t>
            </w:r>
          </w:p>
        </w:tc>
      </w:tr>
    </w:tbl>
    <w:p>
      <w:pPr>
        <w:spacing w:after="100" w:before="100"/>
      </w:pPr>
    </w:p>
    <w:p>
      <w:pPr>
        <w:pStyle w:val="Heading3"/>
        <w:spacing w:after="80" w:before="200"/>
      </w:pPr>
      <w:r>
        <w:rPr>
          <w:rFonts w:ascii="Arial" w:cs="Arial" w:eastAsia="Arial" w:hAnsi="Arial"/>
          <w:b/>
          <w:bCs/>
          <w:color w:val="2E6DA4"/>
          <w:sz w:val="22"/>
          <w:szCs w:val="22"/>
        </w:rPr>
        <w:t xml:space="preserve">6.5 Sales &amp; Technical Team</w:t>
      </w:r>
    </w:p>
    <w:p>
      <w:pPr>
        <w:spacing w:after="100" w:before="60"/>
      </w:pPr>
      <w:r>
        <w:rPr>
          <w:rFonts w:ascii="Arial" w:cs="Arial" w:eastAsia="Arial" w:hAnsi="Arial"/>
          <w:color w:val="1C1C1C"/>
          <w:sz w:val="22"/>
          <w:szCs w:val="22"/>
        </w:rPr>
        <w:t xml:space="preserve">SC101 does not appear to have a dedicated sales team or in-house technical team. The organization has a LinkedIn job posting for a WordPress developer (hourly, freelance), suggesting that web development is outsourced. Sales and partnerships are managed directly by Cassandra Trimnell and the leadership team.</w:t>
      </w:r>
    </w:p>
    <w:p>
      <w:pP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3A5C" w:val="clear"/>
            <w:tcMar>
              <w:top w:type="dxa" w:w="160"/>
              <w:left w:type="dxa" w:w="240"/>
              <w:bottom w:type="dxa" w:w="160"/>
              <w:right w:type="dxa" w:w="240"/>
            </w:tcMar>
          </w:tcPr>
          <w:p>
            <w:pPr>
              <w:spacing w:after="0" w:before="0"/>
            </w:pPr>
            <w:r>
              <w:rPr>
                <w:rFonts w:ascii="Arial" w:cs="Arial" w:eastAsia="Arial" w:hAnsi="Arial"/>
                <w:b/>
                <w:bCs/>
                <w:color w:val="B03A2E"/>
                <w:sz w:val="30"/>
                <w:szCs w:val="30"/>
              </w:rPr>
              <w:t xml:space="preserve">07  </w:t>
            </w:r>
            <w:r>
              <w:rPr>
                <w:rFonts w:ascii="Arial" w:cs="Arial" w:eastAsia="Arial" w:hAnsi="Arial"/>
                <w:b/>
                <w:bCs/>
                <w:color w:val="FFFFFF"/>
                <w:sz w:val="30"/>
                <w:szCs w:val="30"/>
              </w:rPr>
              <w:t xml:space="preserve">Tools and Technology</w:t>
            </w:r>
          </w:p>
        </w:tc>
      </w:tr>
    </w:tbl>
    <w:p>
      <w:pPr>
        <w:spacing w:after="120" w:before="160"/>
      </w:pPr>
    </w:p>
    <w:p>
      <w:pPr>
        <w:pStyle w:val="Heading3"/>
        <w:spacing w:after="80" w:before="200"/>
      </w:pPr>
      <w:r>
        <w:rPr>
          <w:rFonts w:ascii="Arial" w:cs="Arial" w:eastAsia="Arial" w:hAnsi="Arial"/>
          <w:b/>
          <w:bCs/>
          <w:color w:val="2E6DA4"/>
          <w:sz w:val="22"/>
          <w:szCs w:val="22"/>
        </w:rPr>
        <w:t xml:space="preserve">7.1 Website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CMS</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WordPress (confirmed by active job posting for WordPress developer)</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Domain</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sc101.org</w:t>
            </w:r>
          </w:p>
        </w:tc>
      </w:tr>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Key Features Needed</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LMS integration (LearnDash, LifterLMS, or TutorLMS), custom post types, AJAX filtering, video embedding from YouTube and Vimeo, responsive design</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Page Builder</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Astra or Hello Elementor with Elementor or Gutenberg blocks (per job posting requirements)</w:t>
            </w:r>
          </w:p>
        </w:tc>
      </w:tr>
    </w:tbl>
    <w:p>
      <w:pPr>
        <w:spacing w:after="100" w:before="100"/>
      </w:pPr>
    </w:p>
    <w:p>
      <w:pPr>
        <w:pStyle w:val="Heading3"/>
        <w:spacing w:after="80" w:before="200"/>
      </w:pPr>
      <w:r>
        <w:rPr>
          <w:rFonts w:ascii="Arial" w:cs="Arial" w:eastAsia="Arial" w:hAnsi="Arial"/>
          <w:b/>
          <w:bCs/>
          <w:color w:val="2E6DA4"/>
          <w:sz w:val="22"/>
          <w:szCs w:val="22"/>
        </w:rPr>
        <w:t xml:space="preserve">7.2 Social Media Platforms</w:t>
      </w:r>
    </w:p>
    <w:p>
      <w:pPr>
        <w:pStyle w:val="ListParagraph"/>
        <w:numPr>
          <w:ilvl w:val="0"/>
          <w:numId w:val="2"/>
        </w:numPr>
        <w:spacing w:after="40" w:before="40"/>
      </w:pPr>
      <w:r>
        <w:rPr>
          <w:rFonts w:ascii="Arial" w:cs="Arial" w:eastAsia="Arial" w:hAnsi="Arial"/>
          <w:color w:val="1C1C1C"/>
          <w:sz w:val="22"/>
          <w:szCs w:val="22"/>
        </w:rPr>
        <w:t xml:space="preserve">Instagram — primary platform; 45,000+ followers; used for patient-friendly graphics, live events, community engagement</w:t>
      </w:r>
    </w:p>
    <w:p>
      <w:pPr>
        <w:pStyle w:val="ListParagraph"/>
        <w:numPr>
          <w:ilvl w:val="0"/>
          <w:numId w:val="2"/>
        </w:numPr>
        <w:spacing w:after="40" w:before="40"/>
      </w:pPr>
      <w:r>
        <w:rPr>
          <w:rFonts w:ascii="Arial" w:cs="Arial" w:eastAsia="Arial" w:hAnsi="Arial"/>
          <w:color w:val="1C1C1C"/>
          <w:sz w:val="22"/>
          <w:szCs w:val="22"/>
        </w:rPr>
        <w:t xml:space="preserve">YouTube — used for live-streamed Ask the Experts events, podcast video episodes</w:t>
      </w:r>
    </w:p>
    <w:p>
      <w:pPr>
        <w:pStyle w:val="ListParagraph"/>
        <w:numPr>
          <w:ilvl w:val="0"/>
          <w:numId w:val="2"/>
        </w:numPr>
        <w:spacing w:after="40" w:before="40"/>
      </w:pPr>
      <w:r>
        <w:rPr>
          <w:rFonts w:ascii="Arial" w:cs="Arial" w:eastAsia="Arial" w:hAnsi="Arial"/>
          <w:color w:val="1C1C1C"/>
          <w:sz w:val="22"/>
          <w:szCs w:val="22"/>
        </w:rPr>
        <w:t xml:space="preserve">LinkedIn — used for professional updates, conference announcements, advocacy news; 1,803 company followers</w:t>
      </w:r>
    </w:p>
    <w:p>
      <w:pPr>
        <w:pStyle w:val="ListParagraph"/>
        <w:numPr>
          <w:ilvl w:val="0"/>
          <w:numId w:val="2"/>
        </w:numPr>
        <w:spacing w:after="40" w:before="40"/>
      </w:pPr>
      <w:r>
        <w:rPr>
          <w:rFonts w:ascii="Arial" w:cs="Arial" w:eastAsia="Arial" w:hAnsi="Arial"/>
          <w:color w:val="1C1C1C"/>
          <w:sz w:val="22"/>
          <w:szCs w:val="22"/>
        </w:rPr>
        <w:t xml:space="preserve">Other platforms — inferred from 70,000 total followers across combined platforms</w:t>
      </w:r>
    </w:p>
    <w:p>
      <w:pPr>
        <w:spacing w:after="100" w:before="100"/>
      </w:pPr>
    </w:p>
    <w:p>
      <w:pPr>
        <w:pStyle w:val="Heading3"/>
        <w:spacing w:after="80" w:before="200"/>
      </w:pPr>
      <w:r>
        <w:rPr>
          <w:rFonts w:ascii="Arial" w:cs="Arial" w:eastAsia="Arial" w:hAnsi="Arial"/>
          <w:b/>
          <w:bCs/>
          <w:color w:val="2E6DA4"/>
          <w:sz w:val="22"/>
          <w:szCs w:val="22"/>
        </w:rPr>
        <w:t xml:space="preserve">7.3 Content &amp; Communication Tools</w:t>
      </w:r>
    </w:p>
    <w:p>
      <w:pPr>
        <w:spacing w:after="100" w:before="60"/>
      </w:pPr>
      <w:r>
        <w:rPr>
          <w:rFonts w:ascii="Arial" w:cs="Arial" w:eastAsia="Arial" w:hAnsi="Arial"/>
          <w:color w:val="1C1C1C"/>
          <w:sz w:val="22"/>
          <w:szCs w:val="22"/>
        </w:rPr>
        <w:t xml:space="preserve">Based on available data, SC101 likely uses:</w:t>
      </w:r>
    </w:p>
    <w:p>
      <w:pPr>
        <w:pStyle w:val="ListParagraph"/>
        <w:numPr>
          <w:ilvl w:val="0"/>
          <w:numId w:val="2"/>
        </w:numPr>
        <w:spacing w:after="40" w:before="40"/>
      </w:pPr>
      <w:r>
        <w:rPr>
          <w:rFonts w:ascii="Arial" w:cs="Arial" w:eastAsia="Arial" w:hAnsi="Arial"/>
          <w:color w:val="1C1C1C"/>
          <w:sz w:val="22"/>
          <w:szCs w:val="22"/>
        </w:rPr>
        <w:t xml:space="preserve">Email — public contact email is hello@sc101.org</w:t>
      </w:r>
    </w:p>
    <w:p>
      <w:pPr>
        <w:pStyle w:val="ListParagraph"/>
        <w:numPr>
          <w:ilvl w:val="0"/>
          <w:numId w:val="2"/>
        </w:numPr>
        <w:spacing w:after="40" w:before="40"/>
      </w:pPr>
      <w:r>
        <w:rPr>
          <w:rFonts w:ascii="Arial" w:cs="Arial" w:eastAsia="Arial" w:hAnsi="Arial"/>
          <w:color w:val="1C1C1C"/>
          <w:sz w:val="22"/>
          <w:szCs w:val="22"/>
        </w:rPr>
        <w:t xml:space="preserve">Podcast hosting platform — for The Sickle Cell Podcast</w:t>
      </w:r>
    </w:p>
    <w:p>
      <w:pPr>
        <w:pStyle w:val="ListParagraph"/>
        <w:numPr>
          <w:ilvl w:val="0"/>
          <w:numId w:val="2"/>
        </w:numPr>
        <w:spacing w:after="40" w:before="40"/>
      </w:pPr>
      <w:r>
        <w:rPr>
          <w:rFonts w:ascii="Arial" w:cs="Arial" w:eastAsia="Arial" w:hAnsi="Arial"/>
          <w:color w:val="1C1C1C"/>
          <w:sz w:val="22"/>
          <w:szCs w:val="22"/>
        </w:rPr>
        <w:t xml:space="preserve">Live streaming — Instagram Live and YouTube Live for Ask the Experts events</w:t>
      </w:r>
    </w:p>
    <w:p>
      <w:pPr>
        <w:pStyle w:val="ListParagraph"/>
        <w:numPr>
          <w:ilvl w:val="0"/>
          <w:numId w:val="2"/>
        </w:numPr>
        <w:spacing w:after="40" w:before="40"/>
      </w:pPr>
      <w:r>
        <w:rPr>
          <w:rFonts w:ascii="Arial" w:cs="Arial" w:eastAsia="Arial" w:hAnsi="Arial"/>
          <w:color w:val="1C1C1C"/>
          <w:sz w:val="22"/>
          <w:szCs w:val="22"/>
        </w:rPr>
        <w:t xml:space="preserve">Graphic design tools — for creating patient-friendly social media graphics</w:t>
      </w:r>
    </w:p>
    <w:p>
      <w:pPr>
        <w:spacing w:after="100" w:before="100"/>
      </w:pPr>
    </w:p>
    <w:p>
      <w:pPr>
        <w:pStyle w:val="Heading3"/>
        <w:spacing w:after="80" w:before="200"/>
      </w:pPr>
      <w:r>
        <w:rPr>
          <w:rFonts w:ascii="Arial" w:cs="Arial" w:eastAsia="Arial" w:hAnsi="Arial"/>
          <w:b/>
          <w:bCs/>
          <w:color w:val="2E6DA4"/>
          <w:sz w:val="22"/>
          <w:szCs w:val="22"/>
        </w:rPr>
        <w:t xml:space="preserve">7.4 Research &amp; Survey Tools</w:t>
      </w:r>
    </w:p>
    <w:p>
      <w:pPr>
        <w:pStyle w:val="ListParagraph"/>
        <w:numPr>
          <w:ilvl w:val="0"/>
          <w:numId w:val="2"/>
        </w:numPr>
        <w:spacing w:after="40" w:before="40"/>
      </w:pPr>
      <w:r>
        <w:rPr>
          <w:rFonts w:ascii="Arial" w:cs="Arial" w:eastAsia="Arial" w:hAnsi="Arial"/>
          <w:color w:val="1C1C1C"/>
          <w:sz w:val="22"/>
          <w:szCs w:val="22"/>
        </w:rPr>
        <w:t xml:space="preserve">Sickle Cell Studies platform — custom-built or adapted platform for listing clinical trials and collecting patient questions</w:t>
      </w:r>
    </w:p>
    <w:p>
      <w:pPr>
        <w:pStyle w:val="ListParagraph"/>
        <w:numPr>
          <w:ilvl w:val="0"/>
          <w:numId w:val="2"/>
        </w:numPr>
        <w:spacing w:after="40" w:before="40"/>
      </w:pPr>
      <w:r>
        <w:rPr>
          <w:rFonts w:ascii="Arial" w:cs="Arial" w:eastAsia="Arial" w:hAnsi="Arial"/>
          <w:color w:val="1C1C1C"/>
          <w:sz w:val="22"/>
          <w:szCs w:val="22"/>
        </w:rPr>
        <w:t xml:space="preserve">#OurVoice survey tool — used bi-annually to collect global community data; specific tool not identified</w:t>
      </w:r>
    </w:p>
    <w:p>
      <w:pPr>
        <w:spacing w:after="100" w:before="100"/>
      </w:pPr>
    </w:p>
    <w:p>
      <w:pPr>
        <w:pStyle w:val="Heading3"/>
        <w:spacing w:after="80" w:before="200"/>
      </w:pPr>
      <w:r>
        <w:rPr>
          <w:rFonts w:ascii="Arial" w:cs="Arial" w:eastAsia="Arial" w:hAnsi="Arial"/>
          <w:b/>
          <w:bCs/>
          <w:color w:val="2E6DA4"/>
          <w:sz w:val="22"/>
          <w:szCs w:val="22"/>
        </w:rPr>
        <w:t xml:space="preserve">7.5 Identified Technology Gaps</w:t>
      </w:r>
    </w:p>
    <w:p>
      <w:pPr>
        <w:spacing w:after="100" w:before="60"/>
      </w:pPr>
      <w:r>
        <w:rPr>
          <w:rFonts w:ascii="Arial" w:cs="Arial" w:eastAsia="Arial" w:hAnsi="Arial"/>
          <w:color w:val="1C1C1C"/>
          <w:sz w:val="22"/>
          <w:szCs w:val="22"/>
        </w:rPr>
        <w:t xml:space="preserve">Based on the active job posting and organizational profile, SC101 has current or upcoming technology needs in:</w:t>
      </w:r>
    </w:p>
    <w:p>
      <w:pPr>
        <w:pStyle w:val="ListParagraph"/>
        <w:numPr>
          <w:ilvl w:val="0"/>
          <w:numId w:val="2"/>
        </w:numPr>
        <w:spacing w:after="40" w:before="40"/>
      </w:pPr>
      <w:r>
        <w:rPr>
          <w:rFonts w:ascii="Arial" w:cs="Arial" w:eastAsia="Arial" w:hAnsi="Arial"/>
          <w:color w:val="1C1C1C"/>
          <w:sz w:val="22"/>
          <w:szCs w:val="22"/>
        </w:rPr>
        <w:t xml:space="preserve">WordPress LMS build-out — Netflix-style video library with structured lesson progression, quizzes, and advanced filtering</w:t>
      </w:r>
    </w:p>
    <w:p>
      <w:pPr>
        <w:pStyle w:val="ListParagraph"/>
        <w:numPr>
          <w:ilvl w:val="0"/>
          <w:numId w:val="2"/>
        </w:numPr>
        <w:spacing w:after="40" w:before="40"/>
      </w:pPr>
      <w:r>
        <w:rPr>
          <w:rFonts w:ascii="Arial" w:cs="Arial" w:eastAsia="Arial" w:hAnsi="Arial"/>
          <w:color w:val="1C1C1C"/>
          <w:sz w:val="22"/>
          <w:szCs w:val="22"/>
        </w:rPr>
        <w:t xml:space="preserve">Mobile app — the FACTSS App is listed as 'coming soon', suggesting active or planned development</w:t>
      </w:r>
    </w:p>
    <w:p>
      <w:pPr>
        <w:pStyle w:val="ListParagraph"/>
        <w:numPr>
          <w:ilvl w:val="0"/>
          <w:numId w:val="2"/>
        </w:numPr>
        <w:spacing w:after="40" w:before="40"/>
      </w:pPr>
      <w:r>
        <w:rPr>
          <w:rFonts w:ascii="Arial" w:cs="Arial" w:eastAsia="Arial" w:hAnsi="Arial"/>
          <w:color w:val="1C1C1C"/>
          <w:sz w:val="22"/>
          <w:szCs w:val="22"/>
        </w:rPr>
        <w:t xml:space="preserve">CRM or donor management — no system is visible; likely a gap for managing institutional partners and donors</w:t>
      </w:r>
    </w:p>
    <w:p>
      <w:pPr>
        <w:pStyle w:val="ListParagraph"/>
        <w:numPr>
          <w:ilvl w:val="0"/>
          <w:numId w:val="2"/>
        </w:numPr>
        <w:spacing w:after="40" w:before="40"/>
      </w:pPr>
      <w:r>
        <w:rPr>
          <w:rFonts w:ascii="Arial" w:cs="Arial" w:eastAsia="Arial" w:hAnsi="Arial"/>
          <w:color w:val="1C1C1C"/>
          <w:sz w:val="22"/>
          <w:szCs w:val="22"/>
        </w:rPr>
        <w:t xml:space="preserve">Marketing automation — no automation tools are referenced; likely managed manually given team size</w:t>
      </w:r>
    </w:p>
    <w:p>
      <w:pP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3A5C" w:val="clear"/>
            <w:tcMar>
              <w:top w:type="dxa" w:w="160"/>
              <w:left w:type="dxa" w:w="240"/>
              <w:bottom w:type="dxa" w:w="160"/>
              <w:right w:type="dxa" w:w="240"/>
            </w:tcMar>
          </w:tcPr>
          <w:p>
            <w:pPr>
              <w:spacing w:after="0" w:before="0"/>
            </w:pPr>
            <w:r>
              <w:rPr>
                <w:rFonts w:ascii="Arial" w:cs="Arial" w:eastAsia="Arial" w:hAnsi="Arial"/>
                <w:b/>
                <w:bCs/>
                <w:color w:val="B03A2E"/>
                <w:sz w:val="30"/>
                <w:szCs w:val="30"/>
              </w:rPr>
              <w:t xml:space="preserve">08  </w:t>
            </w:r>
            <w:r>
              <w:rPr>
                <w:rFonts w:ascii="Arial" w:cs="Arial" w:eastAsia="Arial" w:hAnsi="Arial"/>
                <w:b/>
                <w:bCs/>
                <w:color w:val="FFFFFF"/>
                <w:sz w:val="30"/>
                <w:szCs w:val="30"/>
              </w:rPr>
              <w:t xml:space="preserve">Sales System</w:t>
            </w:r>
          </w:p>
        </w:tc>
      </w:tr>
    </w:tbl>
    <w:p>
      <w:pPr>
        <w:spacing w:after="120" w:before="160"/>
      </w:pPr>
    </w:p>
    <w:p>
      <w:pPr>
        <w:pStyle w:val="Heading3"/>
        <w:spacing w:after="80" w:before="200"/>
      </w:pPr>
      <w:r>
        <w:rPr>
          <w:rFonts w:ascii="Arial" w:cs="Arial" w:eastAsia="Arial" w:hAnsi="Arial"/>
          <w:b/>
          <w:bCs/>
          <w:color w:val="2E6DA4"/>
          <w:sz w:val="22"/>
          <w:szCs w:val="22"/>
        </w:rPr>
        <w:t xml:space="preserve">8.1 Lead Sources</w:t>
      </w:r>
    </w:p>
    <w:p>
      <w:pPr>
        <w:pStyle w:val="ListParagraph"/>
        <w:numPr>
          <w:ilvl w:val="0"/>
          <w:numId w:val="2"/>
        </w:numPr>
        <w:spacing w:after="40" w:before="40"/>
      </w:pPr>
      <w:r>
        <w:rPr>
          <w:rFonts w:ascii="Arial" w:cs="Arial" w:eastAsia="Arial" w:hAnsi="Arial"/>
          <w:color w:val="1C1C1C"/>
          <w:sz w:val="22"/>
          <w:szCs w:val="22"/>
        </w:rPr>
        <w:t xml:space="preserve">Inbound from pharma and research companies who discover SC101 through its community presence</w:t>
      </w:r>
    </w:p>
    <w:p>
      <w:pPr>
        <w:pStyle w:val="ListParagraph"/>
        <w:numPr>
          <w:ilvl w:val="0"/>
          <w:numId w:val="2"/>
        </w:numPr>
        <w:spacing w:after="40" w:before="40"/>
      </w:pPr>
      <w:r>
        <w:rPr>
          <w:rFonts w:ascii="Arial" w:cs="Arial" w:eastAsia="Arial" w:hAnsi="Arial"/>
          <w:color w:val="1C1C1C"/>
          <w:sz w:val="22"/>
          <w:szCs w:val="22"/>
        </w:rPr>
        <w:t xml:space="preserve">Conference networking — ASH, Global Congress on SCD, and other hematology events</w:t>
      </w:r>
    </w:p>
    <w:p>
      <w:pPr>
        <w:pStyle w:val="ListParagraph"/>
        <w:numPr>
          <w:ilvl w:val="0"/>
          <w:numId w:val="2"/>
        </w:numPr>
        <w:spacing w:after="40" w:before="40"/>
      </w:pPr>
      <w:r>
        <w:rPr>
          <w:rFonts w:ascii="Arial" w:cs="Arial" w:eastAsia="Arial" w:hAnsi="Arial"/>
          <w:color w:val="1C1C1C"/>
          <w:sz w:val="22"/>
          <w:szCs w:val="22"/>
        </w:rPr>
        <w:t xml:space="preserve">Referrals from existing partners</w:t>
      </w:r>
    </w:p>
    <w:p>
      <w:pPr>
        <w:pStyle w:val="ListParagraph"/>
        <w:numPr>
          <w:ilvl w:val="0"/>
          <w:numId w:val="2"/>
        </w:numPr>
        <w:spacing w:after="40" w:before="40"/>
      </w:pPr>
      <w:r>
        <w:rPr>
          <w:rFonts w:ascii="Arial" w:cs="Arial" w:eastAsia="Arial" w:hAnsi="Arial"/>
          <w:color w:val="1C1C1C"/>
          <w:sz w:val="22"/>
          <w:szCs w:val="22"/>
        </w:rPr>
        <w:t xml:space="preserve">Media and press coverage of SC101's programs and campaigns</w:t>
      </w:r>
    </w:p>
    <w:p>
      <w:pPr>
        <w:spacing w:after="100" w:before="100"/>
      </w:pPr>
    </w:p>
    <w:p>
      <w:pPr>
        <w:pStyle w:val="Heading3"/>
        <w:spacing w:after="80" w:before="200"/>
      </w:pPr>
      <w:r>
        <w:rPr>
          <w:rFonts w:ascii="Arial" w:cs="Arial" w:eastAsia="Arial" w:hAnsi="Arial"/>
          <w:b/>
          <w:bCs/>
          <w:color w:val="2E6DA4"/>
          <w:sz w:val="22"/>
          <w:szCs w:val="22"/>
        </w:rPr>
        <w:t xml:space="preserve">8.2 Prospecting Methods</w:t>
      </w:r>
    </w:p>
    <w:p>
      <w:pPr>
        <w:spacing w:after="100" w:before="60"/>
      </w:pPr>
      <w:r>
        <w:rPr>
          <w:rFonts w:ascii="Arial" w:cs="Arial" w:eastAsia="Arial" w:hAnsi="Arial"/>
          <w:color w:val="1C1C1C"/>
          <w:sz w:val="22"/>
          <w:szCs w:val="22"/>
        </w:rPr>
        <w:t xml:space="preserve">SC101 does not appear to run outbound prospecting. The organization relies on:</w:t>
      </w:r>
    </w:p>
    <w:p>
      <w:pPr>
        <w:pStyle w:val="ListParagraph"/>
        <w:numPr>
          <w:ilvl w:val="0"/>
          <w:numId w:val="2"/>
        </w:numPr>
        <w:spacing w:after="40" w:before="40"/>
      </w:pPr>
      <w:r>
        <w:rPr>
          <w:rFonts w:ascii="Arial" w:cs="Arial" w:eastAsia="Arial" w:hAnsi="Arial"/>
          <w:color w:val="1C1C1C"/>
          <w:sz w:val="22"/>
          <w:szCs w:val="22"/>
        </w:rPr>
        <w:t xml:space="preserve">Its established reputation as the leading SCD digital platform</w:t>
      </w:r>
    </w:p>
    <w:p>
      <w:pPr>
        <w:pStyle w:val="ListParagraph"/>
        <w:numPr>
          <w:ilvl w:val="0"/>
          <w:numId w:val="2"/>
        </w:numPr>
        <w:spacing w:after="40" w:before="40"/>
      </w:pPr>
      <w:r>
        <w:rPr>
          <w:rFonts w:ascii="Arial" w:cs="Arial" w:eastAsia="Arial" w:hAnsi="Arial"/>
          <w:color w:val="1C1C1C"/>
          <w:sz w:val="22"/>
          <w:szCs w:val="22"/>
        </w:rPr>
        <w:t xml:space="preserve">Cassandra Trimnell's personal brand and presence at industry events</w:t>
      </w:r>
    </w:p>
    <w:p>
      <w:pPr>
        <w:pStyle w:val="ListParagraph"/>
        <w:numPr>
          <w:ilvl w:val="0"/>
          <w:numId w:val="2"/>
        </w:numPr>
        <w:spacing w:after="40" w:before="40"/>
      </w:pPr>
      <w:r>
        <w:rPr>
          <w:rFonts w:ascii="Arial" w:cs="Arial" w:eastAsia="Arial" w:hAnsi="Arial"/>
          <w:color w:val="1C1C1C"/>
          <w:sz w:val="22"/>
          <w:szCs w:val="22"/>
        </w:rPr>
        <w:t xml:space="preserve">Publication of research results and survey data that demonstrate community credibility</w:t>
      </w:r>
    </w:p>
    <w:p>
      <w:pPr>
        <w:spacing w:after="100" w:before="100"/>
      </w:pPr>
    </w:p>
    <w:p>
      <w:pPr>
        <w:pStyle w:val="Heading3"/>
        <w:spacing w:after="80" w:before="200"/>
      </w:pPr>
      <w:r>
        <w:rPr>
          <w:rFonts w:ascii="Arial" w:cs="Arial" w:eastAsia="Arial" w:hAnsi="Arial"/>
          <w:b/>
          <w:bCs/>
          <w:color w:val="2E6DA4"/>
          <w:sz w:val="22"/>
          <w:szCs w:val="22"/>
        </w:rPr>
        <w:t xml:space="preserve">8.3 Outreach Channels</w:t>
      </w:r>
    </w:p>
    <w:p>
      <w:pPr>
        <w:pStyle w:val="ListParagraph"/>
        <w:numPr>
          <w:ilvl w:val="0"/>
          <w:numId w:val="2"/>
        </w:numPr>
        <w:spacing w:after="40" w:before="40"/>
      </w:pPr>
      <w:r>
        <w:rPr>
          <w:rFonts w:ascii="Arial" w:cs="Arial" w:eastAsia="Arial" w:hAnsi="Arial"/>
          <w:color w:val="1C1C1C"/>
          <w:sz w:val="22"/>
          <w:szCs w:val="22"/>
        </w:rPr>
        <w:t xml:space="preserve">Email — primary outreach channel for institutional communications</w:t>
      </w:r>
    </w:p>
    <w:p>
      <w:pPr>
        <w:pStyle w:val="ListParagraph"/>
        <w:numPr>
          <w:ilvl w:val="0"/>
          <w:numId w:val="2"/>
        </w:numPr>
        <w:spacing w:after="40" w:before="40"/>
      </w:pPr>
      <w:r>
        <w:rPr>
          <w:rFonts w:ascii="Arial" w:cs="Arial" w:eastAsia="Arial" w:hAnsi="Arial"/>
          <w:color w:val="1C1C1C"/>
          <w:sz w:val="22"/>
          <w:szCs w:val="22"/>
        </w:rPr>
        <w:t xml:space="preserve">LinkedIn — used for professional announcements and indirect visibility to potential partners</w:t>
      </w:r>
    </w:p>
    <w:p>
      <w:pPr>
        <w:pStyle w:val="ListParagraph"/>
        <w:numPr>
          <w:ilvl w:val="0"/>
          <w:numId w:val="2"/>
        </w:numPr>
        <w:spacing w:after="40" w:before="40"/>
      </w:pPr>
      <w:r>
        <w:rPr>
          <w:rFonts w:ascii="Arial" w:cs="Arial" w:eastAsia="Arial" w:hAnsi="Arial"/>
          <w:color w:val="1C1C1C"/>
          <w:sz w:val="22"/>
          <w:szCs w:val="22"/>
        </w:rPr>
        <w:t xml:space="preserve">Conference presentations — direct face-to-face exposure to pharma and research decision-makers</w:t>
      </w:r>
    </w:p>
    <w:p>
      <w:pPr>
        <w:spacing w:after="100" w:before="100"/>
      </w:pPr>
    </w:p>
    <w:p>
      <w:pPr>
        <w:pStyle w:val="Heading3"/>
        <w:spacing w:after="80" w:before="200"/>
      </w:pPr>
      <w:r>
        <w:rPr>
          <w:rFonts w:ascii="Arial" w:cs="Arial" w:eastAsia="Arial" w:hAnsi="Arial"/>
          <w:b/>
          <w:bCs/>
          <w:color w:val="2E6DA4"/>
          <w:sz w:val="22"/>
          <w:szCs w:val="22"/>
        </w:rPr>
        <w:t xml:space="preserve">8.4 Sales Messaging</w:t>
      </w:r>
    </w:p>
    <w:p>
      <w:pPr>
        <w:spacing w:after="100" w:before="60"/>
      </w:pPr>
      <w:r>
        <w:rPr>
          <w:rFonts w:ascii="Arial" w:cs="Arial" w:eastAsia="Arial" w:hAnsi="Arial"/>
          <w:color w:val="1C1C1C"/>
          <w:sz w:val="22"/>
          <w:szCs w:val="22"/>
        </w:rPr>
        <w:t xml:space="preserve">SC101's value proposition to institutional partners centers on:</w:t>
      </w:r>
    </w:p>
    <w:p>
      <w:pPr>
        <w:pStyle w:val="ListParagraph"/>
        <w:numPr>
          <w:ilvl w:val="0"/>
          <w:numId w:val="2"/>
        </w:numPr>
        <w:spacing w:after="40" w:before="40"/>
      </w:pPr>
      <w:r>
        <w:rPr>
          <w:rFonts w:ascii="Arial" w:cs="Arial" w:eastAsia="Arial" w:hAnsi="Arial"/>
          <w:color w:val="1C1C1C"/>
          <w:sz w:val="22"/>
          <w:szCs w:val="22"/>
        </w:rPr>
        <w:t xml:space="preserve">'Largest digital SCD platform globally' — scale and reach</w:t>
      </w:r>
    </w:p>
    <w:p>
      <w:pPr>
        <w:pStyle w:val="ListParagraph"/>
        <w:numPr>
          <w:ilvl w:val="0"/>
          <w:numId w:val="2"/>
        </w:numPr>
        <w:spacing w:after="40" w:before="40"/>
      </w:pPr>
      <w:r>
        <w:rPr>
          <w:rFonts w:ascii="Arial" w:cs="Arial" w:eastAsia="Arial" w:hAnsi="Arial"/>
          <w:color w:val="1C1C1C"/>
          <w:sz w:val="22"/>
          <w:szCs w:val="22"/>
        </w:rPr>
        <w:t xml:space="preserve">'Trusted by 70%+ SCD patients' — community credibility</w:t>
      </w:r>
    </w:p>
    <w:p>
      <w:pPr>
        <w:pStyle w:val="ListParagraph"/>
        <w:numPr>
          <w:ilvl w:val="0"/>
          <w:numId w:val="2"/>
        </w:numPr>
        <w:spacing w:after="40" w:before="40"/>
      </w:pPr>
      <w:r>
        <w:rPr>
          <w:rFonts w:ascii="Arial" w:cs="Arial" w:eastAsia="Arial" w:hAnsi="Arial"/>
          <w:color w:val="1C1C1C"/>
          <w:sz w:val="22"/>
          <w:szCs w:val="22"/>
        </w:rPr>
        <w:t xml:space="preserve">'130+ countries reached' — global access</w:t>
      </w:r>
    </w:p>
    <w:p>
      <w:pPr>
        <w:pStyle w:val="ListParagraph"/>
        <w:numPr>
          <w:ilvl w:val="0"/>
          <w:numId w:val="2"/>
        </w:numPr>
        <w:spacing w:after="40" w:before="40"/>
      </w:pPr>
      <w:r>
        <w:rPr>
          <w:rFonts w:ascii="Arial" w:cs="Arial" w:eastAsia="Arial" w:hAnsi="Arial"/>
          <w:color w:val="1C1C1C"/>
          <w:sz w:val="22"/>
          <w:szCs w:val="22"/>
        </w:rPr>
        <w:t xml:space="preserve">'Patient-led and patient-informed' — authenticity that pharma cannot replicate internally</w:t>
      </w:r>
    </w:p>
    <w:p>
      <w:pPr>
        <w:pStyle w:val="ListParagraph"/>
        <w:numPr>
          <w:ilvl w:val="0"/>
          <w:numId w:val="2"/>
        </w:numPr>
        <w:spacing w:after="40" w:before="40"/>
      </w:pPr>
      <w:r>
        <w:rPr>
          <w:rFonts w:ascii="Arial" w:cs="Arial" w:eastAsia="Arial" w:hAnsi="Arial"/>
          <w:color w:val="1C1C1C"/>
          <w:sz w:val="22"/>
          <w:szCs w:val="22"/>
        </w:rPr>
        <w:t xml:space="preserve">'Data-driven community insights' — actionable survey data from the community</w:t>
      </w:r>
    </w:p>
    <w:p>
      <w:pPr>
        <w:spacing w:after="100" w:before="100"/>
      </w:pPr>
    </w:p>
    <w:p>
      <w:pPr>
        <w:pStyle w:val="Heading3"/>
        <w:spacing w:after="80" w:before="200"/>
      </w:pPr>
      <w:r>
        <w:rPr>
          <w:rFonts w:ascii="Arial" w:cs="Arial" w:eastAsia="Arial" w:hAnsi="Arial"/>
          <w:b/>
          <w:bCs/>
          <w:color w:val="2E6DA4"/>
          <w:sz w:val="22"/>
          <w:szCs w:val="22"/>
        </w:rPr>
        <w:t xml:space="preserve">8.5 Sales Pipeline Stages</w:t>
      </w:r>
    </w:p>
    <w:p>
      <w:pPr>
        <w:spacing w:after="100" w:before="60"/>
      </w:pPr>
      <w:r>
        <w:rPr>
          <w:rFonts w:ascii="Arial" w:cs="Arial" w:eastAsia="Arial" w:hAnsi="Arial"/>
          <w:color w:val="1C1C1C"/>
          <w:sz w:val="22"/>
          <w:szCs w:val="22"/>
        </w:rPr>
        <w:t xml:space="preserve">Based on organizational profile (inferred):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1. Initial contact</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Pharma partner reaches out or is met at a conference</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2. Discovery</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SC101 understands the partner's product, trial, or educational need</w:t>
            </w:r>
          </w:p>
        </w:tc>
      </w:tr>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3. Proposal</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SC101 proposes a partnership structure (campaign, consulting, sponsorship)</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4. Agreement</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Terms finalized; grant, contract, or sponsorship agreement signed</w:t>
            </w:r>
          </w:p>
        </w:tc>
      </w:tr>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5. Execution</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Content created, community engaged, events hosted</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6. Reporting</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Engagement data and outcomes shared with partner</w:t>
            </w:r>
          </w:p>
        </w:tc>
      </w:tr>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7. Renewal</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Partner renews for next campaign cycle or survey wave</w:t>
            </w:r>
          </w:p>
        </w:tc>
      </w:tr>
    </w:tbl>
    <w:p>
      <w:pPr>
        <w:spacing w:after="100" w:before="100"/>
      </w:pPr>
    </w:p>
    <w:p>
      <w:pPr>
        <w:pStyle w:val="Heading3"/>
        <w:spacing w:after="80" w:before="200"/>
      </w:pPr>
      <w:r>
        <w:rPr>
          <w:rFonts w:ascii="Arial" w:cs="Arial" w:eastAsia="Arial" w:hAnsi="Arial"/>
          <w:b/>
          <w:bCs/>
          <w:color w:val="2E6DA4"/>
          <w:sz w:val="22"/>
          <w:szCs w:val="22"/>
        </w:rPr>
        <w:t xml:space="preserve">8.6 Closing Process</w:t>
      </w:r>
    </w:p>
    <w:p>
      <w:pPr>
        <w:spacing w:after="100" w:before="60"/>
      </w:pPr>
      <w:r>
        <w:rPr>
          <w:rFonts w:ascii="Arial" w:cs="Arial" w:eastAsia="Arial" w:hAnsi="Arial"/>
          <w:color w:val="1C1C1C"/>
          <w:sz w:val="22"/>
          <w:szCs w:val="22"/>
        </w:rPr>
        <w:t xml:space="preserve">Agreements are likely finalized by Cassandra Trimnell with input from the Director of Research (Dr. Boateng) for research-oriented partnerships. No formal sales closing process is documented.</w:t>
      </w:r>
    </w:p>
    <w:p>
      <w:pP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3A5C" w:val="clear"/>
            <w:tcMar>
              <w:top w:type="dxa" w:w="160"/>
              <w:left w:type="dxa" w:w="240"/>
              <w:bottom w:type="dxa" w:w="160"/>
              <w:right w:type="dxa" w:w="240"/>
            </w:tcMar>
          </w:tcPr>
          <w:p>
            <w:pPr>
              <w:spacing w:after="0" w:before="0"/>
            </w:pPr>
            <w:r>
              <w:rPr>
                <w:rFonts w:ascii="Arial" w:cs="Arial" w:eastAsia="Arial" w:hAnsi="Arial"/>
                <w:b/>
                <w:bCs/>
                <w:color w:val="B03A2E"/>
                <w:sz w:val="30"/>
                <w:szCs w:val="30"/>
              </w:rPr>
              <w:t xml:space="preserve">09  </w:t>
            </w:r>
            <w:r>
              <w:rPr>
                <w:rFonts w:ascii="Arial" w:cs="Arial" w:eastAsia="Arial" w:hAnsi="Arial"/>
                <w:b/>
                <w:bCs/>
                <w:color w:val="FFFFFF"/>
                <w:sz w:val="30"/>
                <w:szCs w:val="30"/>
              </w:rPr>
              <w:t xml:space="preserve">Marketing System</w:t>
            </w:r>
          </w:p>
        </w:tc>
      </w:tr>
    </w:tbl>
    <w:p>
      <w:pPr>
        <w:spacing w:after="120" w:before="160"/>
      </w:pPr>
    </w:p>
    <w:p>
      <w:pPr>
        <w:pStyle w:val="Heading3"/>
        <w:spacing w:after="80" w:before="200"/>
      </w:pPr>
      <w:r>
        <w:rPr>
          <w:rFonts w:ascii="Arial" w:cs="Arial" w:eastAsia="Arial" w:hAnsi="Arial"/>
          <w:b/>
          <w:bCs/>
          <w:color w:val="2E6DA4"/>
          <w:sz w:val="22"/>
          <w:szCs w:val="22"/>
        </w:rPr>
        <w:t xml:space="preserve">9.1 Marketing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Instagram</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Primary channel — patient-friendly graphics, reels, live events. Largest SCD patient community on the platform.</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YouTube</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Live-streamed expert Q&amp;A, podcast video content. Global reach across time zones.</w:t>
            </w:r>
          </w:p>
        </w:tc>
      </w:tr>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LinkedIn</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Professional updates, conference announcements, advocacy news for institutional audience.</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sc101.org</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Central hub for all educational content — blog, learn center, resources, clinical trials.</w:t>
            </w:r>
          </w:p>
        </w:tc>
      </w:tr>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Email</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Outreach to community for surveys, events, and campaigns (inferred; no email tool confirmed).</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The Sickle Cell Podcast</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Audio content that extends reach to patients who prefer listening to reading.</w:t>
            </w:r>
          </w:p>
        </w:tc>
      </w:tr>
    </w:tbl>
    <w:p>
      <w:pPr>
        <w:spacing w:after="100" w:before="100"/>
      </w:pPr>
    </w:p>
    <w:p>
      <w:pPr>
        <w:pStyle w:val="Heading3"/>
        <w:spacing w:after="80" w:before="200"/>
      </w:pPr>
      <w:r>
        <w:rPr>
          <w:rFonts w:ascii="Arial" w:cs="Arial" w:eastAsia="Arial" w:hAnsi="Arial"/>
          <w:b/>
          <w:bCs/>
          <w:color w:val="2E6DA4"/>
          <w:sz w:val="22"/>
          <w:szCs w:val="22"/>
        </w:rPr>
        <w:t xml:space="preserve">9.2 Content Strategy</w:t>
      </w:r>
    </w:p>
    <w:p>
      <w:pPr>
        <w:spacing w:after="100" w:before="60"/>
      </w:pPr>
      <w:r>
        <w:rPr>
          <w:rFonts w:ascii="Arial" w:cs="Arial" w:eastAsia="Arial" w:hAnsi="Arial"/>
          <w:color w:val="1C1C1C"/>
          <w:sz w:val="22"/>
          <w:szCs w:val="22"/>
        </w:rPr>
        <w:t xml:space="preserve">SC101 publishes content across four main types:</w:t>
      </w:r>
    </w:p>
    <w:p>
      <w:pPr>
        <w:pStyle w:val="ListParagraph"/>
        <w:numPr>
          <w:ilvl w:val="0"/>
          <w:numId w:val="2"/>
        </w:numPr>
        <w:spacing w:after="40" w:before="40"/>
      </w:pPr>
      <w:r>
        <w:rPr>
          <w:rFonts w:ascii="Arial" w:cs="Arial" w:eastAsia="Arial" w:hAnsi="Arial"/>
          <w:color w:val="1C1C1C"/>
          <w:sz w:val="22"/>
          <w:szCs w:val="22"/>
        </w:rPr>
        <w:t xml:space="preserve">Medical education — plain-language explanations of treatments, symptoms, medications (e.g., hydroxyurea, bone marrow transplant, gene therapy)</w:t>
      </w:r>
    </w:p>
    <w:p>
      <w:pPr>
        <w:pStyle w:val="ListParagraph"/>
        <w:numPr>
          <w:ilvl w:val="0"/>
          <w:numId w:val="2"/>
        </w:numPr>
        <w:spacing w:after="40" w:before="40"/>
      </w:pPr>
      <w:r>
        <w:rPr>
          <w:rFonts w:ascii="Arial" w:cs="Arial" w:eastAsia="Arial" w:hAnsi="Arial"/>
          <w:color w:val="1C1C1C"/>
          <w:sz w:val="22"/>
          <w:szCs w:val="22"/>
        </w:rPr>
        <w:t xml:space="preserve">Patient stories — first-person accounts from people living with SCD in the US, Africa, Kenya, and elsewhere</w:t>
      </w:r>
    </w:p>
    <w:p>
      <w:pPr>
        <w:pStyle w:val="ListParagraph"/>
        <w:numPr>
          <w:ilvl w:val="0"/>
          <w:numId w:val="2"/>
        </w:numPr>
        <w:spacing w:after="40" w:before="40"/>
      </w:pPr>
      <w:r>
        <w:rPr>
          <w:rFonts w:ascii="Arial" w:cs="Arial" w:eastAsia="Arial" w:hAnsi="Arial"/>
          <w:color w:val="1C1C1C"/>
          <w:sz w:val="22"/>
          <w:szCs w:val="22"/>
        </w:rPr>
        <w:t xml:space="preserve">Advocacy news — campaign updates, award announcements, conference coverage</w:t>
      </w:r>
    </w:p>
    <w:p>
      <w:pPr>
        <w:pStyle w:val="ListParagraph"/>
        <w:numPr>
          <w:ilvl w:val="0"/>
          <w:numId w:val="2"/>
        </w:numPr>
        <w:spacing w:after="40" w:before="40"/>
      </w:pPr>
      <w:r>
        <w:rPr>
          <w:rFonts w:ascii="Arial" w:cs="Arial" w:eastAsia="Arial" w:hAnsi="Arial"/>
          <w:color w:val="1C1C1C"/>
          <w:sz w:val="22"/>
          <w:szCs w:val="22"/>
        </w:rPr>
        <w:t xml:space="preserve">Awareness campaigns — World Sickle Cell Day, Juneteenth, Black History Month, National Sickle Cell Awareness Month (September)</w:t>
      </w:r>
    </w:p>
    <w:p>
      <w:pPr>
        <w:spacing w:after="100" w:before="100"/>
      </w:pPr>
    </w:p>
    <w:p>
      <w:pPr>
        <w:pStyle w:val="Heading3"/>
        <w:spacing w:after="80" w:before="200"/>
      </w:pPr>
      <w:r>
        <w:rPr>
          <w:rFonts w:ascii="Arial" w:cs="Arial" w:eastAsia="Arial" w:hAnsi="Arial"/>
          <w:b/>
          <w:bCs/>
          <w:color w:val="2E6DA4"/>
          <w:sz w:val="22"/>
          <w:szCs w:val="22"/>
        </w:rPr>
        <w:t xml:space="preserve">9.3 Advertising Strategy</w:t>
      </w:r>
    </w:p>
    <w:p>
      <w:pPr>
        <w:spacing w:after="100" w:before="60"/>
      </w:pPr>
      <w:r>
        <w:rPr>
          <w:rFonts w:ascii="Arial" w:cs="Arial" w:eastAsia="Arial" w:hAnsi="Arial"/>
          <w:color w:val="1C1C1C"/>
          <w:sz w:val="22"/>
          <w:szCs w:val="22"/>
        </w:rPr>
        <w:t xml:space="preserve">SC101 does not appear to run paid advertising. Growth is driven by organic social reach, community sharing, and word of mouth. Partner organizations may amplify SC101 content through their own channels as part of partnership agreements.</w:t>
      </w:r>
    </w:p>
    <w:p>
      <w:pPr>
        <w:spacing w:after="100" w:before="100"/>
      </w:pPr>
    </w:p>
    <w:p>
      <w:pPr>
        <w:pStyle w:val="Heading3"/>
        <w:spacing w:after="80" w:before="200"/>
      </w:pPr>
      <w:r>
        <w:rPr>
          <w:rFonts w:ascii="Arial" w:cs="Arial" w:eastAsia="Arial" w:hAnsi="Arial"/>
          <w:b/>
          <w:bCs/>
          <w:color w:val="2E6DA4"/>
          <w:sz w:val="22"/>
          <w:szCs w:val="22"/>
        </w:rPr>
        <w:t xml:space="preserve">9.4 SEO Strategy</w:t>
      </w:r>
    </w:p>
    <w:p>
      <w:pPr>
        <w:spacing w:after="100" w:before="60"/>
      </w:pPr>
      <w:r>
        <w:rPr>
          <w:rFonts w:ascii="Arial" w:cs="Arial" w:eastAsia="Arial" w:hAnsi="Arial"/>
          <w:color w:val="1C1C1C"/>
          <w:sz w:val="22"/>
          <w:szCs w:val="22"/>
        </w:rPr>
        <w:t xml:space="preserve">SC101 has a content-heavy website with detailed articles on specific sickle cell topics (hydroxyurea, pulse oximeter accuracy, bone marrow transplant, menstruation and SCD, etc.). This structure supports organic search visibility for people searching for sickle cell-specific information. No paid SEO tools or agencies are referenced.</w:t>
      </w:r>
    </w:p>
    <w:p>
      <w:pPr>
        <w:spacing w:after="100" w:before="100"/>
      </w:pPr>
    </w:p>
    <w:p>
      <w:pPr>
        <w:pStyle w:val="Heading3"/>
        <w:spacing w:after="80" w:before="200"/>
      </w:pPr>
      <w:r>
        <w:rPr>
          <w:rFonts w:ascii="Arial" w:cs="Arial" w:eastAsia="Arial" w:hAnsi="Arial"/>
          <w:b/>
          <w:bCs/>
          <w:color w:val="2E6DA4"/>
          <w:sz w:val="22"/>
          <w:szCs w:val="22"/>
        </w:rPr>
        <w:t xml:space="preserve">9.5 Social Media Strategy</w:t>
      </w:r>
    </w:p>
    <w:p>
      <w:pPr>
        <w:pStyle w:val="ListParagraph"/>
        <w:numPr>
          <w:ilvl w:val="0"/>
          <w:numId w:val="2"/>
        </w:numPr>
        <w:spacing w:after="40" w:before="40"/>
      </w:pPr>
      <w:r>
        <w:rPr>
          <w:rFonts w:ascii="Arial" w:cs="Arial" w:eastAsia="Arial" w:hAnsi="Arial"/>
          <w:color w:val="1C1C1C"/>
          <w:sz w:val="22"/>
          <w:szCs w:val="22"/>
        </w:rPr>
        <w:t xml:space="preserve">Frequency — high-volume posting during awareness months (20+ posts per campaign); sustained posting year-round</w:t>
      </w:r>
    </w:p>
    <w:p>
      <w:pPr>
        <w:pStyle w:val="ListParagraph"/>
        <w:numPr>
          <w:ilvl w:val="0"/>
          <w:numId w:val="2"/>
        </w:numPr>
        <w:spacing w:after="40" w:before="40"/>
      </w:pPr>
      <w:r>
        <w:rPr>
          <w:rFonts w:ascii="Arial" w:cs="Arial" w:eastAsia="Arial" w:hAnsi="Arial"/>
          <w:color w:val="1C1C1C"/>
          <w:sz w:val="22"/>
          <w:szCs w:val="22"/>
        </w:rPr>
        <w:t xml:space="preserve">Format — short, visual, patient-friendly graphics with clear facts; avoid medical jargon</w:t>
      </w:r>
    </w:p>
    <w:p>
      <w:pPr>
        <w:pStyle w:val="ListParagraph"/>
        <w:numPr>
          <w:ilvl w:val="0"/>
          <w:numId w:val="2"/>
        </w:numPr>
        <w:spacing w:after="40" w:before="40"/>
      </w:pPr>
      <w:r>
        <w:rPr>
          <w:rFonts w:ascii="Arial" w:cs="Arial" w:eastAsia="Arial" w:hAnsi="Arial"/>
          <w:color w:val="1C1C1C"/>
          <w:sz w:val="22"/>
          <w:szCs w:val="22"/>
        </w:rPr>
        <w:t xml:space="preserve">Engagement — community is encouraged to share, comment, and ask questions</w:t>
      </w:r>
    </w:p>
    <w:p>
      <w:pPr>
        <w:pStyle w:val="ListParagraph"/>
        <w:numPr>
          <w:ilvl w:val="0"/>
          <w:numId w:val="2"/>
        </w:numPr>
        <w:spacing w:after="40" w:before="40"/>
      </w:pPr>
      <w:r>
        <w:rPr>
          <w:rFonts w:ascii="Arial" w:cs="Arial" w:eastAsia="Arial" w:hAnsi="Arial"/>
          <w:color w:val="1C1C1C"/>
          <w:sz w:val="22"/>
          <w:szCs w:val="22"/>
        </w:rPr>
        <w:t xml:space="preserve">Live events — Ask the Experts runs on World Sickle Cell Day and at other key dates; attracts thousands of live viewers globally</w:t>
      </w:r>
    </w:p>
    <w:p>
      <w:pPr>
        <w:pStyle w:val="ListParagraph"/>
        <w:numPr>
          <w:ilvl w:val="0"/>
          <w:numId w:val="2"/>
        </w:numPr>
        <w:spacing w:after="40" w:before="40"/>
      </w:pPr>
      <w:r>
        <w:rPr>
          <w:rFonts w:ascii="Arial" w:cs="Arial" w:eastAsia="Arial" w:hAnsi="Arial"/>
          <w:color w:val="1C1C1C"/>
          <w:sz w:val="22"/>
          <w:szCs w:val="22"/>
        </w:rPr>
        <w:t xml:space="preserve">Community campaigns — hashtags like #OurVoice, #CurativeSCD101, and #SickleCellAwareness are used to coordinate community activity</w:t>
      </w:r>
    </w:p>
    <w:p>
      <w:pPr>
        <w:pStyle w:val="ListParagraph"/>
        <w:numPr>
          <w:ilvl w:val="0"/>
          <w:numId w:val="2"/>
        </w:numPr>
        <w:spacing w:after="40" w:before="40"/>
      </w:pPr>
      <w:r>
        <w:rPr>
          <w:rFonts w:ascii="Arial" w:cs="Arial" w:eastAsia="Arial" w:hAnsi="Arial"/>
          <w:color w:val="1C1C1C"/>
          <w:sz w:val="22"/>
          <w:szCs w:val="22"/>
        </w:rPr>
        <w:t xml:space="preserve">Partner amplification — when SC101 partners with pharma companies, both organizations post about the collaboration</w:t>
      </w:r>
    </w:p>
    <w:p>
      <w:pP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3A5C" w:val="clear"/>
            <w:tcMar>
              <w:top w:type="dxa" w:w="160"/>
              <w:left w:type="dxa" w:w="240"/>
              <w:bottom w:type="dxa" w:w="160"/>
              <w:right w:type="dxa" w:w="240"/>
            </w:tcMar>
          </w:tcPr>
          <w:p>
            <w:pPr>
              <w:spacing w:after="0" w:before="0"/>
            </w:pPr>
            <w:r>
              <w:rPr>
                <w:rFonts w:ascii="Arial" w:cs="Arial" w:eastAsia="Arial" w:hAnsi="Arial"/>
                <w:b/>
                <w:bCs/>
                <w:color w:val="B03A2E"/>
                <w:sz w:val="30"/>
                <w:szCs w:val="30"/>
              </w:rPr>
              <w:t xml:space="preserve">10  </w:t>
            </w:r>
            <w:r>
              <w:rPr>
                <w:rFonts w:ascii="Arial" w:cs="Arial" w:eastAsia="Arial" w:hAnsi="Arial"/>
                <w:b/>
                <w:bCs/>
                <w:color w:val="FFFFFF"/>
                <w:sz w:val="30"/>
                <w:szCs w:val="30"/>
              </w:rPr>
              <w:t xml:space="preserve">Delivery System</w:t>
            </w:r>
          </w:p>
        </w:tc>
      </w:tr>
    </w:tbl>
    <w:p>
      <w:pPr>
        <w:spacing w:after="120" w:before="160"/>
      </w:pPr>
    </w:p>
    <w:p>
      <w:pPr>
        <w:pStyle w:val="Heading3"/>
        <w:spacing w:after="80" w:before="200"/>
      </w:pPr>
      <w:r>
        <w:rPr>
          <w:rFonts w:ascii="Arial" w:cs="Arial" w:eastAsia="Arial" w:hAnsi="Arial"/>
          <w:b/>
          <w:bCs/>
          <w:color w:val="2E6DA4"/>
          <w:sz w:val="22"/>
          <w:szCs w:val="22"/>
        </w:rPr>
        <w:t xml:space="preserve">10.1 Project Kickoff</w:t>
      </w:r>
    </w:p>
    <w:p>
      <w:pPr>
        <w:spacing w:after="100" w:before="60"/>
      </w:pPr>
      <w:r>
        <w:rPr>
          <w:rFonts w:ascii="Arial" w:cs="Arial" w:eastAsia="Arial" w:hAnsi="Arial"/>
          <w:color w:val="1C1C1C"/>
          <w:sz w:val="22"/>
          <w:szCs w:val="22"/>
        </w:rPr>
        <w:t xml:space="preserve">For a new institutional partnership, kickoff involves:</w:t>
      </w:r>
    </w:p>
    <w:p>
      <w:pPr>
        <w:pStyle w:val="ListParagraph"/>
        <w:numPr>
          <w:ilvl w:val="0"/>
          <w:numId w:val="2"/>
        </w:numPr>
        <w:spacing w:after="40" w:before="40"/>
      </w:pPr>
      <w:r>
        <w:rPr>
          <w:rFonts w:ascii="Arial" w:cs="Arial" w:eastAsia="Arial" w:hAnsi="Arial"/>
          <w:color w:val="1C1C1C"/>
          <w:sz w:val="22"/>
          <w:szCs w:val="22"/>
        </w:rPr>
        <w:t xml:space="preserve">Internal briefing — SC101 team reviews the partner's materials, trial protocol, or product information</w:t>
      </w:r>
    </w:p>
    <w:p>
      <w:pPr>
        <w:pStyle w:val="ListParagraph"/>
        <w:numPr>
          <w:ilvl w:val="0"/>
          <w:numId w:val="2"/>
        </w:numPr>
        <w:spacing w:after="40" w:before="40"/>
      </w:pPr>
      <w:r>
        <w:rPr>
          <w:rFonts w:ascii="Arial" w:cs="Arial" w:eastAsia="Arial" w:hAnsi="Arial"/>
          <w:color w:val="1C1C1C"/>
          <w:sz w:val="22"/>
          <w:szCs w:val="22"/>
        </w:rPr>
        <w:t xml:space="preserve">Community context review — team assesses how the partner's topic fits current community concerns and gaps</w:t>
      </w:r>
    </w:p>
    <w:p>
      <w:pPr>
        <w:pStyle w:val="ListParagraph"/>
        <w:numPr>
          <w:ilvl w:val="0"/>
          <w:numId w:val="2"/>
        </w:numPr>
        <w:spacing w:after="40" w:before="40"/>
      </w:pPr>
      <w:r>
        <w:rPr>
          <w:rFonts w:ascii="Arial" w:cs="Arial" w:eastAsia="Arial" w:hAnsi="Arial"/>
          <w:color w:val="1C1C1C"/>
          <w:sz w:val="22"/>
          <w:szCs w:val="22"/>
        </w:rPr>
        <w:t xml:space="preserve">Content planning — SC101 determines what formats and channels will best serve the partnership goal</w:t>
      </w:r>
    </w:p>
    <w:p>
      <w:pPr>
        <w:spacing w:after="100" w:before="100"/>
      </w:pPr>
    </w:p>
    <w:p>
      <w:pPr>
        <w:pStyle w:val="Heading3"/>
        <w:spacing w:after="80" w:before="200"/>
      </w:pPr>
      <w:r>
        <w:rPr>
          <w:rFonts w:ascii="Arial" w:cs="Arial" w:eastAsia="Arial" w:hAnsi="Arial"/>
          <w:b/>
          <w:bCs/>
          <w:color w:val="2E6DA4"/>
          <w:sz w:val="22"/>
          <w:szCs w:val="22"/>
        </w:rPr>
        <w:t xml:space="preserve">10.2 Task Allocation</w:t>
      </w:r>
    </w:p>
    <w:p>
      <w:pPr>
        <w:spacing w:after="100" w:before="60"/>
      </w:pPr>
      <w:r>
        <w:rPr>
          <w:rFonts w:ascii="Arial" w:cs="Arial" w:eastAsia="Arial" w:hAnsi="Arial"/>
          <w:color w:val="1C1C1C"/>
          <w:sz w:val="22"/>
          <w:szCs w:val="22"/>
        </w:rPr>
        <w:t xml:space="preserve">Based on team roles:</w:t>
      </w:r>
    </w:p>
    <w:p>
      <w:pPr>
        <w:pStyle w:val="ListParagraph"/>
        <w:numPr>
          <w:ilvl w:val="0"/>
          <w:numId w:val="2"/>
        </w:numPr>
        <w:spacing w:after="40" w:before="40"/>
      </w:pPr>
      <w:r>
        <w:rPr>
          <w:rFonts w:ascii="Arial" w:cs="Arial" w:eastAsia="Arial" w:hAnsi="Arial"/>
          <w:color w:val="1C1C1C"/>
          <w:sz w:val="22"/>
          <w:szCs w:val="22"/>
        </w:rPr>
        <w:t xml:space="preserve">Content creation — Sabrina Ehrlich (Content Contributor) and other writers</w:t>
      </w:r>
    </w:p>
    <w:p>
      <w:pPr>
        <w:pStyle w:val="ListParagraph"/>
        <w:numPr>
          <w:ilvl w:val="0"/>
          <w:numId w:val="2"/>
        </w:numPr>
        <w:spacing w:after="40" w:before="40"/>
      </w:pPr>
      <w:r>
        <w:rPr>
          <w:rFonts w:ascii="Arial" w:cs="Arial" w:eastAsia="Arial" w:hAnsi="Arial"/>
          <w:color w:val="1C1C1C"/>
          <w:sz w:val="22"/>
          <w:szCs w:val="22"/>
        </w:rPr>
        <w:t xml:space="preserve">Medical review — Dr. Keith Quirolo and Dr. Stephen Boateng</w:t>
      </w:r>
    </w:p>
    <w:p>
      <w:pPr>
        <w:pStyle w:val="ListParagraph"/>
        <w:numPr>
          <w:ilvl w:val="0"/>
          <w:numId w:val="2"/>
        </w:numPr>
        <w:spacing w:after="40" w:before="40"/>
      </w:pPr>
      <w:r>
        <w:rPr>
          <w:rFonts w:ascii="Arial" w:cs="Arial" w:eastAsia="Arial" w:hAnsi="Arial"/>
          <w:color w:val="1C1C1C"/>
          <w:sz w:val="22"/>
          <w:szCs w:val="22"/>
        </w:rPr>
        <w:t xml:space="preserve">Program execution — Natalie Arias (Program Manager) and Ada Gonzalez (Program Coordinator)</w:t>
      </w:r>
    </w:p>
    <w:p>
      <w:pPr>
        <w:pStyle w:val="ListParagraph"/>
        <w:numPr>
          <w:ilvl w:val="0"/>
          <w:numId w:val="2"/>
        </w:numPr>
        <w:spacing w:after="40" w:before="40"/>
      </w:pPr>
      <w:r>
        <w:rPr>
          <w:rFonts w:ascii="Arial" w:cs="Arial" w:eastAsia="Arial" w:hAnsi="Arial"/>
          <w:color w:val="1C1C1C"/>
          <w:sz w:val="22"/>
          <w:szCs w:val="22"/>
        </w:rPr>
        <w:t xml:space="preserve">Community engagement — Ashlie Kégo (Ambassador) and Cassandra Trimnell</w:t>
      </w:r>
    </w:p>
    <w:p>
      <w:pPr>
        <w:pStyle w:val="ListParagraph"/>
        <w:numPr>
          <w:ilvl w:val="0"/>
          <w:numId w:val="2"/>
        </w:numPr>
        <w:spacing w:after="40" w:before="40"/>
      </w:pPr>
      <w:r>
        <w:rPr>
          <w:rFonts w:ascii="Arial" w:cs="Arial" w:eastAsia="Arial" w:hAnsi="Arial"/>
          <w:color w:val="1C1C1C"/>
          <w:sz w:val="22"/>
          <w:szCs w:val="22"/>
        </w:rPr>
        <w:t xml:space="preserve">Research partnerships — Dr. Stephen Boateng</w:t>
      </w:r>
    </w:p>
    <w:p>
      <w:pPr>
        <w:spacing w:after="100" w:before="100"/>
      </w:pPr>
    </w:p>
    <w:p>
      <w:pPr>
        <w:pStyle w:val="Heading3"/>
        <w:spacing w:after="80" w:before="200"/>
      </w:pPr>
      <w:r>
        <w:rPr>
          <w:rFonts w:ascii="Arial" w:cs="Arial" w:eastAsia="Arial" w:hAnsi="Arial"/>
          <w:b/>
          <w:bCs/>
          <w:color w:val="2E6DA4"/>
          <w:sz w:val="22"/>
          <w:szCs w:val="22"/>
        </w:rPr>
        <w:t xml:space="preserve">10.3 Work Execution</w:t>
      </w:r>
    </w:p>
    <w:p>
      <w:pPr>
        <w:pStyle w:val="ListParagraph"/>
        <w:numPr>
          <w:ilvl w:val="0"/>
          <w:numId w:val="2"/>
        </w:numPr>
        <w:spacing w:after="40" w:before="40"/>
      </w:pPr>
      <w:r>
        <w:rPr>
          <w:rFonts w:ascii="Arial" w:cs="Arial" w:eastAsia="Arial" w:hAnsi="Arial"/>
          <w:color w:val="1C1C1C"/>
          <w:sz w:val="22"/>
          <w:szCs w:val="22"/>
        </w:rPr>
        <w:t xml:space="preserve">Articles are written and published to the Learn Center and blog</w:t>
      </w:r>
    </w:p>
    <w:p>
      <w:pPr>
        <w:pStyle w:val="ListParagraph"/>
        <w:numPr>
          <w:ilvl w:val="0"/>
          <w:numId w:val="2"/>
        </w:numPr>
        <w:spacing w:after="40" w:before="40"/>
      </w:pPr>
      <w:r>
        <w:rPr>
          <w:rFonts w:ascii="Arial" w:cs="Arial" w:eastAsia="Arial" w:hAnsi="Arial"/>
          <w:color w:val="1C1C1C"/>
          <w:sz w:val="22"/>
          <w:szCs w:val="22"/>
        </w:rPr>
        <w:t xml:space="preserve">Social media posts are created and scheduled</w:t>
      </w:r>
    </w:p>
    <w:p>
      <w:pPr>
        <w:pStyle w:val="ListParagraph"/>
        <w:numPr>
          <w:ilvl w:val="0"/>
          <w:numId w:val="2"/>
        </w:numPr>
        <w:spacing w:after="40" w:before="40"/>
      </w:pPr>
      <w:r>
        <w:rPr>
          <w:rFonts w:ascii="Arial" w:cs="Arial" w:eastAsia="Arial" w:hAnsi="Arial"/>
          <w:color w:val="1C1C1C"/>
          <w:sz w:val="22"/>
          <w:szCs w:val="22"/>
        </w:rPr>
        <w:t xml:space="preserve">Live events are coordinated with expert panelists and promoted in advance</w:t>
      </w:r>
    </w:p>
    <w:p>
      <w:pPr>
        <w:pStyle w:val="ListParagraph"/>
        <w:numPr>
          <w:ilvl w:val="0"/>
          <w:numId w:val="2"/>
        </w:numPr>
        <w:spacing w:after="40" w:before="40"/>
      </w:pPr>
      <w:r>
        <w:rPr>
          <w:rFonts w:ascii="Arial" w:cs="Arial" w:eastAsia="Arial" w:hAnsi="Arial"/>
          <w:color w:val="1C1C1C"/>
          <w:sz w:val="22"/>
          <w:szCs w:val="22"/>
        </w:rPr>
        <w:t xml:space="preserve">Surveys are deployed and responses collected</w:t>
      </w:r>
    </w:p>
    <w:p>
      <w:pPr>
        <w:pStyle w:val="ListParagraph"/>
        <w:numPr>
          <w:ilvl w:val="0"/>
          <w:numId w:val="2"/>
        </w:numPr>
        <w:spacing w:after="40" w:before="40"/>
      </w:pPr>
      <w:r>
        <w:rPr>
          <w:rFonts w:ascii="Arial" w:cs="Arial" w:eastAsia="Arial" w:hAnsi="Arial"/>
          <w:color w:val="1C1C1C"/>
          <w:sz w:val="22"/>
          <w:szCs w:val="22"/>
        </w:rPr>
        <w:t xml:space="preserve">Conference presentations are prepared and delivered</w:t>
      </w:r>
    </w:p>
    <w:p>
      <w:pPr>
        <w:spacing w:after="100" w:before="100"/>
      </w:pPr>
    </w:p>
    <w:p>
      <w:pPr>
        <w:pStyle w:val="Heading3"/>
        <w:spacing w:after="80" w:before="200"/>
      </w:pPr>
      <w:r>
        <w:rPr>
          <w:rFonts w:ascii="Arial" w:cs="Arial" w:eastAsia="Arial" w:hAnsi="Arial"/>
          <w:b/>
          <w:bCs/>
          <w:color w:val="2E6DA4"/>
          <w:sz w:val="22"/>
          <w:szCs w:val="22"/>
        </w:rPr>
        <w:t xml:space="preserve">10.4 Quality Control</w:t>
      </w:r>
    </w:p>
    <w:p>
      <w:pPr>
        <w:spacing w:after="100" w:before="60"/>
      </w:pPr>
      <w:r>
        <w:rPr>
          <w:rFonts w:ascii="Arial" w:cs="Arial" w:eastAsia="Arial" w:hAnsi="Arial"/>
          <w:color w:val="1C1C1C"/>
          <w:sz w:val="22"/>
          <w:szCs w:val="22"/>
        </w:rPr>
        <w:t xml:space="preserve">Medical accuracy is controlled by the Chief Medical Officer (Dr. Quirolo) and Director of Research (Dr. Boateng). Content is written from a patient perspective and reviewed for clinical accuracy before publication. All content includes a disclaimer noting it is for educational purposes only and not a substitute for individual medical care.</w:t>
      </w:r>
    </w:p>
    <w:p>
      <w:pPr>
        <w:spacing w:after="100" w:before="100"/>
      </w:pPr>
    </w:p>
    <w:p>
      <w:pPr>
        <w:pStyle w:val="Heading3"/>
        <w:spacing w:after="80" w:before="200"/>
      </w:pPr>
      <w:r>
        <w:rPr>
          <w:rFonts w:ascii="Arial" w:cs="Arial" w:eastAsia="Arial" w:hAnsi="Arial"/>
          <w:b/>
          <w:bCs/>
          <w:color w:val="2E6DA4"/>
          <w:sz w:val="22"/>
          <w:szCs w:val="22"/>
        </w:rPr>
        <w:t xml:space="preserve">10.5 Final Delivery</w:t>
      </w:r>
    </w:p>
    <w:p>
      <w:pPr>
        <w:spacing w:after="100" w:before="60"/>
      </w:pPr>
      <w:r>
        <w:rPr>
          <w:rFonts w:ascii="Arial" w:cs="Arial" w:eastAsia="Arial" w:hAnsi="Arial"/>
          <w:color w:val="1C1C1C"/>
          <w:sz w:val="22"/>
          <w:szCs w:val="22"/>
        </w:rPr>
        <w:t xml:space="preserve">Delivery to the community is via published content on sc101.org and social media platforms. Delivery to institutional partners includes engagement metrics, survey results, and proof of community reach.</w:t>
      </w:r>
    </w:p>
    <w:p>
      <w:pP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3A5C" w:val="clear"/>
            <w:tcMar>
              <w:top w:type="dxa" w:w="160"/>
              <w:left w:type="dxa" w:w="240"/>
              <w:bottom w:type="dxa" w:w="160"/>
              <w:right w:type="dxa" w:w="240"/>
            </w:tcMar>
          </w:tcPr>
          <w:p>
            <w:pPr>
              <w:spacing w:after="0" w:before="0"/>
            </w:pPr>
            <w:r>
              <w:rPr>
                <w:rFonts w:ascii="Arial" w:cs="Arial" w:eastAsia="Arial" w:hAnsi="Arial"/>
                <w:b/>
                <w:bCs/>
                <w:color w:val="B03A2E"/>
                <w:sz w:val="30"/>
                <w:szCs w:val="30"/>
              </w:rPr>
              <w:t xml:space="preserve">11  </w:t>
            </w:r>
            <w:r>
              <w:rPr>
                <w:rFonts w:ascii="Arial" w:cs="Arial" w:eastAsia="Arial" w:hAnsi="Arial"/>
                <w:b/>
                <w:bCs/>
                <w:color w:val="FFFFFF"/>
                <w:sz w:val="30"/>
                <w:szCs w:val="30"/>
              </w:rPr>
              <w:t xml:space="preserve">Customer Success</w:t>
            </w:r>
          </w:p>
        </w:tc>
      </w:tr>
    </w:tbl>
    <w:p>
      <w:pPr>
        <w:spacing w:after="120" w:before="160"/>
      </w:pPr>
    </w:p>
    <w:p>
      <w:pPr>
        <w:pStyle w:val="Heading3"/>
        <w:spacing w:after="80" w:before="200"/>
      </w:pPr>
      <w:r>
        <w:rPr>
          <w:rFonts w:ascii="Arial" w:cs="Arial" w:eastAsia="Arial" w:hAnsi="Arial"/>
          <w:b/>
          <w:bCs/>
          <w:color w:val="2E6DA4"/>
          <w:sz w:val="22"/>
          <w:szCs w:val="22"/>
        </w:rPr>
        <w:t xml:space="preserve">11.1 Community Member Support</w:t>
      </w:r>
    </w:p>
    <w:p>
      <w:pPr>
        <w:pStyle w:val="ListParagraph"/>
        <w:numPr>
          <w:ilvl w:val="0"/>
          <w:numId w:val="2"/>
        </w:numPr>
        <w:spacing w:after="40" w:before="40"/>
      </w:pPr>
      <w:r>
        <w:rPr>
          <w:rFonts w:ascii="Arial" w:cs="Arial" w:eastAsia="Arial" w:hAnsi="Arial"/>
          <w:color w:val="1C1C1C"/>
          <w:sz w:val="22"/>
          <w:szCs w:val="22"/>
        </w:rPr>
        <w:t xml:space="preserve">Contact form on sc101.org (hello@sc101.org)</w:t>
      </w:r>
    </w:p>
    <w:p>
      <w:pPr>
        <w:pStyle w:val="ListParagraph"/>
        <w:numPr>
          <w:ilvl w:val="0"/>
          <w:numId w:val="2"/>
        </w:numPr>
        <w:spacing w:after="40" w:before="40"/>
      </w:pPr>
      <w:r>
        <w:rPr>
          <w:rFonts w:ascii="Arial" w:cs="Arial" w:eastAsia="Arial" w:hAnsi="Arial"/>
          <w:color w:val="1C1C1C"/>
          <w:sz w:val="22"/>
          <w:szCs w:val="22"/>
        </w:rPr>
        <w:t xml:space="preserve">Community Q&amp;A via Ask the Experts Live events</w:t>
      </w:r>
    </w:p>
    <w:p>
      <w:pPr>
        <w:pStyle w:val="ListParagraph"/>
        <w:numPr>
          <w:ilvl w:val="0"/>
          <w:numId w:val="2"/>
        </w:numPr>
        <w:spacing w:after="40" w:before="40"/>
      </w:pPr>
      <w:r>
        <w:rPr>
          <w:rFonts w:ascii="Arial" w:cs="Arial" w:eastAsia="Arial" w:hAnsi="Arial"/>
          <w:color w:val="1C1C1C"/>
          <w:sz w:val="22"/>
          <w:szCs w:val="22"/>
        </w:rPr>
        <w:t xml:space="preserve">Social media comment engagement — team responds to questions on posts</w:t>
      </w:r>
    </w:p>
    <w:p>
      <w:pPr>
        <w:pStyle w:val="ListParagraph"/>
        <w:numPr>
          <w:ilvl w:val="0"/>
          <w:numId w:val="2"/>
        </w:numPr>
        <w:spacing w:after="40" w:before="40"/>
      </w:pPr>
      <w:r>
        <w:rPr>
          <w:rFonts w:ascii="Arial" w:cs="Arial" w:eastAsia="Arial" w:hAnsi="Arial"/>
          <w:color w:val="1C1C1C"/>
          <w:sz w:val="22"/>
          <w:szCs w:val="22"/>
        </w:rPr>
        <w:t xml:space="preserve">Sicklepedia — self-service reference for common terms and concepts</w:t>
      </w:r>
    </w:p>
    <w:p>
      <w:pPr>
        <w:pStyle w:val="ListParagraph"/>
        <w:numPr>
          <w:ilvl w:val="0"/>
          <w:numId w:val="2"/>
        </w:numPr>
        <w:spacing w:after="40" w:before="40"/>
      </w:pPr>
      <w:r>
        <w:rPr>
          <w:rFonts w:ascii="Arial" w:cs="Arial" w:eastAsia="Arial" w:hAnsi="Arial"/>
          <w:color w:val="1C1C1C"/>
          <w:sz w:val="22"/>
          <w:szCs w:val="22"/>
        </w:rPr>
        <w:t xml:space="preserve">Sickle Cell Studies — self-service platform for finding research opportunities</w:t>
      </w:r>
    </w:p>
    <w:p>
      <w:pPr>
        <w:spacing w:after="100" w:before="100"/>
      </w:pPr>
    </w:p>
    <w:p>
      <w:pPr>
        <w:pStyle w:val="Heading3"/>
        <w:spacing w:after="80" w:before="200"/>
      </w:pPr>
      <w:r>
        <w:rPr>
          <w:rFonts w:ascii="Arial" w:cs="Arial" w:eastAsia="Arial" w:hAnsi="Arial"/>
          <w:b/>
          <w:bCs/>
          <w:color w:val="2E6DA4"/>
          <w:sz w:val="22"/>
          <w:szCs w:val="22"/>
        </w:rPr>
        <w:t xml:space="preserve">11.2 Institutional Partner Support</w:t>
      </w:r>
    </w:p>
    <w:p>
      <w:pPr>
        <w:spacing w:after="100" w:before="60"/>
      </w:pPr>
      <w:r>
        <w:rPr>
          <w:rFonts w:ascii="Arial" w:cs="Arial" w:eastAsia="Arial" w:hAnsi="Arial"/>
          <w:color w:val="1C1C1C"/>
          <w:sz w:val="22"/>
          <w:szCs w:val="22"/>
        </w:rPr>
        <w:t xml:space="preserve">Partners communicate directly with Cassandra Trimnell and the relevant team leads. No formal ticketing or support system is visible. Given team size, account management is handled personally.</w:t>
      </w:r>
    </w:p>
    <w:p>
      <w:pPr>
        <w:spacing w:after="100" w:before="100"/>
      </w:pPr>
    </w:p>
    <w:p>
      <w:pPr>
        <w:pStyle w:val="Heading3"/>
        <w:spacing w:after="80" w:before="200"/>
      </w:pPr>
      <w:r>
        <w:rPr>
          <w:rFonts w:ascii="Arial" w:cs="Arial" w:eastAsia="Arial" w:hAnsi="Arial"/>
          <w:b/>
          <w:bCs/>
          <w:color w:val="2E6DA4"/>
          <w:sz w:val="22"/>
          <w:szCs w:val="22"/>
        </w:rPr>
        <w:t xml:space="preserve">11.3 Issue Resolution</w:t>
      </w:r>
    </w:p>
    <w:p>
      <w:pPr>
        <w:spacing w:after="100" w:before="60"/>
      </w:pPr>
      <w:r>
        <w:rPr>
          <w:rFonts w:ascii="Arial" w:cs="Arial" w:eastAsia="Arial" w:hAnsi="Arial"/>
          <w:color w:val="1C1C1C"/>
          <w:sz w:val="22"/>
          <w:szCs w:val="22"/>
        </w:rPr>
        <w:t xml:space="preserve">SC101's approach to community trust issues is transparent and direct. When community concerns arise (e.g., around gene therapy safety, or misconceptions about sickle cell trait), SC101 publishes educational content addressing those concerns directly. The #OurVoice survey process demonstrates responsiveness: SC101 collects community input and publishes the results back to the community before acting on them.</w:t>
      </w:r>
    </w:p>
    <w:p>
      <w:pPr>
        <w:spacing w:after="100" w:before="100"/>
      </w:pPr>
    </w:p>
    <w:p>
      <w:pPr>
        <w:pStyle w:val="Heading3"/>
        <w:spacing w:after="80" w:before="200"/>
      </w:pPr>
      <w:r>
        <w:rPr>
          <w:rFonts w:ascii="Arial" w:cs="Arial" w:eastAsia="Arial" w:hAnsi="Arial"/>
          <w:b/>
          <w:bCs/>
          <w:color w:val="2E6DA4"/>
          <w:sz w:val="22"/>
          <w:szCs w:val="22"/>
        </w:rPr>
        <w:t xml:space="preserve">11.4 Long-Term Account Management</w:t>
      </w:r>
    </w:p>
    <w:p>
      <w:pPr>
        <w:spacing w:after="100" w:before="60"/>
      </w:pPr>
      <w:r>
        <w:rPr>
          <w:rFonts w:ascii="Arial" w:cs="Arial" w:eastAsia="Arial" w:hAnsi="Arial"/>
          <w:color w:val="1C1C1C"/>
          <w:sz w:val="22"/>
          <w:szCs w:val="22"/>
        </w:rPr>
        <w:t xml:space="preserve">Institutional relationships are maintained through:</w:t>
      </w:r>
    </w:p>
    <w:p>
      <w:pPr>
        <w:pStyle w:val="ListParagraph"/>
        <w:numPr>
          <w:ilvl w:val="0"/>
          <w:numId w:val="2"/>
        </w:numPr>
        <w:spacing w:after="40" w:before="40"/>
      </w:pPr>
      <w:r>
        <w:rPr>
          <w:rFonts w:ascii="Arial" w:cs="Arial" w:eastAsia="Arial" w:hAnsi="Arial"/>
          <w:color w:val="1C1C1C"/>
          <w:sz w:val="22"/>
          <w:szCs w:val="22"/>
        </w:rPr>
        <w:t xml:space="preserve">Annual conference attendance and presentations</w:t>
      </w:r>
    </w:p>
    <w:p>
      <w:pPr>
        <w:pStyle w:val="ListParagraph"/>
        <w:numPr>
          <w:ilvl w:val="0"/>
          <w:numId w:val="2"/>
        </w:numPr>
        <w:spacing w:after="40" w:before="40"/>
      </w:pPr>
      <w:r>
        <w:rPr>
          <w:rFonts w:ascii="Arial" w:cs="Arial" w:eastAsia="Arial" w:hAnsi="Arial"/>
          <w:color w:val="1C1C1C"/>
          <w:sz w:val="22"/>
          <w:szCs w:val="22"/>
        </w:rPr>
        <w:t xml:space="preserve">Recurring survey cycles that give sponsors a natural renewal point</w:t>
      </w:r>
    </w:p>
    <w:p>
      <w:pPr>
        <w:pStyle w:val="ListParagraph"/>
        <w:numPr>
          <w:ilvl w:val="0"/>
          <w:numId w:val="2"/>
        </w:numPr>
        <w:spacing w:after="40" w:before="40"/>
      </w:pPr>
      <w:r>
        <w:rPr>
          <w:rFonts w:ascii="Arial" w:cs="Arial" w:eastAsia="Arial" w:hAnsi="Arial"/>
          <w:color w:val="1C1C1C"/>
          <w:sz w:val="22"/>
          <w:szCs w:val="22"/>
        </w:rPr>
        <w:t xml:space="preserve">Ongoing community campaigns that require continued content and community engagement</w:t>
      </w:r>
    </w:p>
    <w:p>
      <w:pPr>
        <w:pStyle w:val="ListParagraph"/>
        <w:numPr>
          <w:ilvl w:val="0"/>
          <w:numId w:val="2"/>
        </w:numPr>
        <w:spacing w:after="40" w:before="40"/>
      </w:pPr>
      <w:r>
        <w:rPr>
          <w:rFonts w:ascii="Arial" w:cs="Arial" w:eastAsia="Arial" w:hAnsi="Arial"/>
          <w:color w:val="1C1C1C"/>
          <w:sz w:val="22"/>
          <w:szCs w:val="22"/>
        </w:rPr>
        <w:t xml:space="preserve">Cassandra Trimnell's personal relationships with key contacts at partner organizations</w:t>
      </w:r>
    </w:p>
    <w:p>
      <w:pP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3A5C" w:val="clear"/>
            <w:tcMar>
              <w:top w:type="dxa" w:w="160"/>
              <w:left w:type="dxa" w:w="240"/>
              <w:bottom w:type="dxa" w:w="160"/>
              <w:right w:type="dxa" w:w="240"/>
            </w:tcMar>
          </w:tcPr>
          <w:p>
            <w:pPr>
              <w:spacing w:after="0" w:before="0"/>
            </w:pPr>
            <w:r>
              <w:rPr>
                <w:rFonts w:ascii="Arial" w:cs="Arial" w:eastAsia="Arial" w:hAnsi="Arial"/>
                <w:b/>
                <w:bCs/>
                <w:color w:val="B03A2E"/>
                <w:sz w:val="30"/>
                <w:szCs w:val="30"/>
              </w:rPr>
              <w:t xml:space="preserve">12  </w:t>
            </w:r>
            <w:r>
              <w:rPr>
                <w:rFonts w:ascii="Arial" w:cs="Arial" w:eastAsia="Arial" w:hAnsi="Arial"/>
                <w:b/>
                <w:bCs/>
                <w:color w:val="FFFFFF"/>
                <w:sz w:val="30"/>
                <w:szCs w:val="30"/>
              </w:rPr>
              <w:t xml:space="preserve">Key Metrics</w:t>
            </w:r>
          </w:p>
        </w:tc>
      </w:tr>
    </w:tbl>
    <w:p>
      <w:pPr>
        <w:spacing w:after="120" w:before="160"/>
      </w:pPr>
    </w:p>
    <w:p>
      <w:pPr>
        <w:pStyle w:val="Heading3"/>
        <w:spacing w:after="80" w:before="200"/>
      </w:pPr>
      <w:r>
        <w:rPr>
          <w:rFonts w:ascii="Arial" w:cs="Arial" w:eastAsia="Arial" w:hAnsi="Arial"/>
          <w:b/>
          <w:bCs/>
          <w:color w:val="2E6DA4"/>
          <w:sz w:val="22"/>
          <w:szCs w:val="22"/>
        </w:rPr>
        <w:t xml:space="preserve">12.1 Community Reach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Total social media followers</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70,000+ across all platforms</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Countries reached</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130+</w:t>
            </w:r>
          </w:p>
        </w:tc>
      </w:tr>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Total users reached (cumulative)</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3,000,000+</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Social media posts published</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1,000+</w:t>
            </w:r>
          </w:p>
        </w:tc>
      </w:tr>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Percentage of followers with SCD</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Over 70%</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Peak single post reach</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Up to 85,000 people per post</w:t>
            </w:r>
          </w:p>
        </w:tc>
      </w:tr>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Single campaign reach</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500,000+ people (September 2025 awareness month campaign)</w:t>
            </w:r>
          </w:p>
        </w:tc>
      </w:tr>
    </w:tbl>
    <w:p>
      <w:pPr>
        <w:spacing w:after="100" w:before="100"/>
      </w:pPr>
    </w:p>
    <w:p>
      <w:pPr>
        <w:pStyle w:val="Heading3"/>
        <w:spacing w:after="80" w:before="200"/>
      </w:pPr>
      <w:r>
        <w:rPr>
          <w:rFonts w:ascii="Arial" w:cs="Arial" w:eastAsia="Arial" w:hAnsi="Arial"/>
          <w:b/>
          <w:bCs/>
          <w:color w:val="2E6DA4"/>
          <w:sz w:val="22"/>
          <w:szCs w:val="22"/>
        </w:rPr>
        <w:t xml:space="preserve">12.2 Platform-Specific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Instagram followers</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45,000+ (combined platforms per 2021 data; likely higher now)</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LinkedIn company followers</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1,803</w:t>
            </w:r>
          </w:p>
        </w:tc>
      </w:tr>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Website articles published</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40+ indexed articles on sc101.org</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Clinical trials listed</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Active; regularly updated on Sickle Cell Studies platform</w:t>
            </w:r>
          </w:p>
        </w:tc>
      </w:tr>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Countries with survey participants</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Global (#OurVoice) — no country count specified</w:t>
            </w:r>
          </w:p>
        </w:tc>
      </w:tr>
    </w:tbl>
    <w:p>
      <w:pPr>
        <w:spacing w:after="100" w:before="100"/>
      </w:pPr>
    </w:p>
    <w:p>
      <w:pPr>
        <w:pStyle w:val="Heading3"/>
        <w:spacing w:after="80" w:before="200"/>
      </w:pPr>
      <w:r>
        <w:rPr>
          <w:rFonts w:ascii="Arial" w:cs="Arial" w:eastAsia="Arial" w:hAnsi="Arial"/>
          <w:b/>
          <w:bCs/>
          <w:color w:val="2E6DA4"/>
          <w:sz w:val="22"/>
          <w:szCs w:val="22"/>
        </w:rPr>
        <w:t xml:space="preserve">12.3 Engagement Metrics (2020 Baseline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Social media shares</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4,900</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Social media likes</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3,500</w:t>
            </w:r>
          </w:p>
        </w:tc>
      </w:tr>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Post clicks</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3,300</w:t>
            </w:r>
          </w:p>
        </w:tc>
      </w:tr>
      <w:tr>
        <w:tc>
          <w:tcPr>
            <w:tcW w:type="dxa" w:w="280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b/>
                <w:bCs/>
                <w:color w:val="1A3A5C"/>
                <w:sz w:val="20"/>
                <w:szCs w:val="20"/>
              </w:rPr>
              <w:t xml:space="preserve">Comments</w:t>
            </w:r>
          </w:p>
        </w:tc>
        <w:tc>
          <w:tcPr>
            <w:tcW w:type="dxa" w:w="6560"/>
            <w:tcBorders>
              <w:top w:val="single" w:color="C8D6E3" w:sz="1"/>
              <w:left w:val="single" w:color="C8D6E3" w:sz="1"/>
              <w:bottom w:val="single" w:color="C8D6E3" w:sz="1"/>
              <w:right w:val="single" w:color="C8D6E3" w:sz="1"/>
            </w:tcBorders>
            <w:shd w:fill="F4F6F8" w:val="clear"/>
            <w:tcMar>
              <w:top w:type="dxa" w:w="100"/>
              <w:left w:type="dxa" w:w="160"/>
              <w:bottom w:type="dxa" w:w="100"/>
              <w:right w:type="dxa" w:w="160"/>
            </w:tcMar>
          </w:tcPr>
          <w:p>
            <w:r>
              <w:rPr>
                <w:rFonts w:ascii="Arial" w:cs="Arial" w:eastAsia="Arial" w:hAnsi="Arial"/>
                <w:color w:val="1C1C1C"/>
                <w:sz w:val="20"/>
                <w:szCs w:val="20"/>
              </w:rPr>
              <w:t xml:space="preserve">520</w:t>
            </w:r>
          </w:p>
        </w:tc>
      </w:tr>
      <w:tr>
        <w:tc>
          <w:tcPr>
            <w:tcW w:type="dxa" w:w="2800"/>
            <w:tcBorders>
              <w:top w:val="single" w:color="C8D6E3" w:sz="1"/>
              <w:left w:val="single" w:color="C8D6E3" w:sz="1"/>
              <w:bottom w:val="single" w:color="C8D6E3" w:sz="1"/>
              <w:right w:val="single" w:color="C8D6E3" w:sz="1"/>
            </w:tcBorders>
            <w:shd w:fill="D6E8F5" w:val="clear"/>
            <w:tcMar>
              <w:top w:type="dxa" w:w="100"/>
              <w:left w:type="dxa" w:w="160"/>
              <w:bottom w:type="dxa" w:w="100"/>
              <w:right w:type="dxa" w:w="160"/>
            </w:tcMar>
          </w:tcPr>
          <w:p>
            <w:r>
              <w:rPr>
                <w:rFonts w:ascii="Arial" w:cs="Arial" w:eastAsia="Arial" w:hAnsi="Arial"/>
                <w:b/>
                <w:bCs/>
                <w:color w:val="1A3A5C"/>
                <w:sz w:val="20"/>
                <w:szCs w:val="20"/>
              </w:rPr>
              <w:t xml:space="preserve">Countries accessing content</w:t>
            </w:r>
          </w:p>
        </w:tc>
        <w:tc>
          <w:tcPr>
            <w:tcW w:type="dxa" w:w="6560"/>
            <w:tcBorders>
              <w:top w:val="single" w:color="C8D6E3" w:sz="1"/>
              <w:left w:val="single" w:color="C8D6E3" w:sz="1"/>
              <w:bottom w:val="single" w:color="C8D6E3" w:sz="1"/>
              <w:right w:val="single" w:color="C8D6E3"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115 (as of 2020; 130+ as of latest data)</w:t>
            </w:r>
          </w:p>
        </w:tc>
      </w:tr>
    </w:tbl>
    <w:p>
      <w:pPr>
        <w:spacing w:after="100" w:before="100"/>
      </w:pPr>
    </w:p>
    <w:p>
      <w:pPr>
        <w:pStyle w:val="Heading3"/>
        <w:spacing w:after="80" w:before="200"/>
      </w:pPr>
      <w:r>
        <w:rPr>
          <w:rFonts w:ascii="Arial" w:cs="Arial" w:eastAsia="Arial" w:hAnsi="Arial"/>
          <w:b/>
          <w:bCs/>
          <w:color w:val="2E6DA4"/>
          <w:sz w:val="22"/>
          <w:szCs w:val="22"/>
        </w:rPr>
        <w:t xml:space="preserve">12.4 Program Metrics</w:t>
      </w:r>
    </w:p>
    <w:p>
      <w:pPr>
        <w:pStyle w:val="ListParagraph"/>
        <w:numPr>
          <w:ilvl w:val="0"/>
          <w:numId w:val="2"/>
        </w:numPr>
        <w:spacing w:after="40" w:before="40"/>
      </w:pPr>
      <w:r>
        <w:rPr>
          <w:rFonts w:ascii="Arial" w:cs="Arial" w:eastAsia="Arial" w:hAnsi="Arial"/>
          <w:color w:val="1C1C1C"/>
          <w:sz w:val="22"/>
          <w:szCs w:val="22"/>
        </w:rPr>
        <w:t xml:space="preserve">Number of sickle cell questions answered (350+ in 2020)</w:t>
      </w:r>
    </w:p>
    <w:p>
      <w:pPr>
        <w:pStyle w:val="ListParagraph"/>
        <w:numPr>
          <w:ilvl w:val="0"/>
          <w:numId w:val="2"/>
        </w:numPr>
        <w:spacing w:after="40" w:before="40"/>
      </w:pPr>
      <w:r>
        <w:rPr>
          <w:rFonts w:ascii="Arial" w:cs="Arial" w:eastAsia="Arial" w:hAnsi="Arial"/>
          <w:color w:val="1C1C1C"/>
          <w:sz w:val="22"/>
          <w:szCs w:val="22"/>
        </w:rPr>
        <w:t xml:space="preserve">Number of educational social media posts per year (220+ in 2020)</w:t>
      </w:r>
    </w:p>
    <w:p>
      <w:pPr>
        <w:pStyle w:val="ListParagraph"/>
        <w:numPr>
          <w:ilvl w:val="0"/>
          <w:numId w:val="2"/>
        </w:numPr>
        <w:spacing w:after="40" w:before="40"/>
      </w:pPr>
      <w:r>
        <w:rPr>
          <w:rFonts w:ascii="Arial" w:cs="Arial" w:eastAsia="Arial" w:hAnsi="Arial"/>
          <w:color w:val="1C1C1C"/>
          <w:sz w:val="22"/>
          <w:szCs w:val="22"/>
        </w:rPr>
        <w:t xml:space="preserve">Number of community partnerships (20+ in 2020)</w:t>
      </w:r>
    </w:p>
    <w:p>
      <w:pPr>
        <w:pStyle w:val="ListParagraph"/>
        <w:numPr>
          <w:ilvl w:val="0"/>
          <w:numId w:val="2"/>
        </w:numPr>
        <w:spacing w:after="40" w:before="40"/>
      </w:pPr>
      <w:r>
        <w:rPr>
          <w:rFonts w:ascii="Arial" w:cs="Arial" w:eastAsia="Arial" w:hAnsi="Arial"/>
          <w:color w:val="1C1C1C"/>
          <w:sz w:val="22"/>
          <w:szCs w:val="22"/>
        </w:rPr>
        <w:t xml:space="preserve">Number of podcast episodes (10 in 2020; ongoing)</w:t>
      </w:r>
    </w:p>
    <w:p>
      <w:pPr>
        <w:pStyle w:val="ListParagraph"/>
        <w:numPr>
          <w:ilvl w:val="0"/>
          <w:numId w:val="2"/>
        </w:numPr>
        <w:spacing w:after="40" w:before="40"/>
      </w:pPr>
      <w:r>
        <w:rPr>
          <w:rFonts w:ascii="Arial" w:cs="Arial" w:eastAsia="Arial" w:hAnsi="Arial"/>
          <w:color w:val="1C1C1C"/>
          <w:sz w:val="22"/>
          <w:szCs w:val="22"/>
        </w:rPr>
        <w:t xml:space="preserve">Number of Ask the Experts Live events (recurring; at least annually for World Sickle Cell Day)</w:t>
      </w:r>
    </w:p>
    <w:p>
      <w:pP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3A5C" w:val="clear"/>
            <w:tcMar>
              <w:top w:type="dxa" w:w="160"/>
              <w:left w:type="dxa" w:w="240"/>
              <w:bottom w:type="dxa" w:w="160"/>
              <w:right w:type="dxa" w:w="240"/>
            </w:tcMar>
          </w:tcPr>
          <w:p>
            <w:pPr>
              <w:spacing w:after="0" w:before="0"/>
            </w:pPr>
            <w:r>
              <w:rPr>
                <w:rFonts w:ascii="Arial" w:cs="Arial" w:eastAsia="Arial" w:hAnsi="Arial"/>
                <w:b/>
                <w:bCs/>
                <w:color w:val="B03A2E"/>
                <w:sz w:val="30"/>
                <w:szCs w:val="30"/>
              </w:rPr>
              <w:t xml:space="preserve">13  </w:t>
            </w:r>
            <w:r>
              <w:rPr>
                <w:rFonts w:ascii="Arial" w:cs="Arial" w:eastAsia="Arial" w:hAnsi="Arial"/>
                <w:b/>
                <w:bCs/>
                <w:color w:val="FFFFFF"/>
                <w:sz w:val="30"/>
                <w:szCs w:val="30"/>
              </w:rPr>
              <w:t xml:space="preserve">Opportunities for B2B Service Providers</w:t>
            </w:r>
          </w:p>
        </w:tc>
      </w:tr>
    </w:tbl>
    <w:p>
      <w:pPr>
        <w:spacing w:after="120" w:before="160"/>
      </w:pPr>
    </w:p>
    <w:p>
      <w:pPr>
        <w:pStyle w:val="Heading3"/>
        <w:spacing w:after="80" w:before="200"/>
      </w:pPr>
      <w:r>
        <w:rPr>
          <w:rFonts w:ascii="Arial" w:cs="Arial" w:eastAsia="Arial" w:hAnsi="Arial"/>
          <w:b/>
          <w:bCs/>
          <w:color w:val="2E6DA4"/>
          <w:sz w:val="22"/>
          <w:szCs w:val="22"/>
        </w:rPr>
        <w:t xml:space="preserve">13.1 Technology &amp; Development</w:t>
      </w:r>
    </w:p>
    <w:p>
      <w:pPr>
        <w:spacing w:after="100" w:before="60"/>
      </w:pPr>
      <w:r>
        <w:rPr>
          <w:rFonts w:ascii="Arial" w:cs="Arial" w:eastAsia="Arial" w:hAnsi="Arial"/>
          <w:color w:val="1C1C1C"/>
          <w:sz w:val="22"/>
          <w:szCs w:val="22"/>
        </w:rPr>
        <w:t xml:space="preserve">SC101 has an active need for WordPress development. The job posting describes a specific and complex build:</w:t>
      </w:r>
    </w:p>
    <w:p>
      <w:pPr>
        <w:pStyle w:val="ListParagraph"/>
        <w:numPr>
          <w:ilvl w:val="0"/>
          <w:numId w:val="2"/>
        </w:numPr>
        <w:spacing w:after="40" w:before="40"/>
      </w:pPr>
      <w:r>
        <w:rPr>
          <w:rFonts w:ascii="Arial" w:cs="Arial" w:eastAsia="Arial" w:hAnsi="Arial"/>
          <w:color w:val="1C1C1C"/>
          <w:sz w:val="22"/>
          <w:szCs w:val="22"/>
        </w:rPr>
        <w:t xml:space="preserve">LMS integration (LearnDash, LifterLMS, or TutorLMS)</w:t>
      </w:r>
    </w:p>
    <w:p>
      <w:pPr>
        <w:pStyle w:val="ListParagraph"/>
        <w:numPr>
          <w:ilvl w:val="0"/>
          <w:numId w:val="2"/>
        </w:numPr>
        <w:spacing w:after="40" w:before="40"/>
      </w:pPr>
      <w:r>
        <w:rPr>
          <w:rFonts w:ascii="Arial" w:cs="Arial" w:eastAsia="Arial" w:hAnsi="Arial"/>
          <w:color w:val="1C1C1C"/>
          <w:sz w:val="22"/>
          <w:szCs w:val="22"/>
        </w:rPr>
        <w:t xml:space="preserve">Custom post types for Series, Lessons, and Resources</w:t>
      </w:r>
    </w:p>
    <w:p>
      <w:pPr>
        <w:pStyle w:val="ListParagraph"/>
        <w:numPr>
          <w:ilvl w:val="0"/>
          <w:numId w:val="2"/>
        </w:numPr>
        <w:spacing w:after="40" w:before="40"/>
      </w:pPr>
      <w:r>
        <w:rPr>
          <w:rFonts w:ascii="Arial" w:cs="Arial" w:eastAsia="Arial" w:hAnsi="Arial"/>
          <w:color w:val="1C1C1C"/>
          <w:sz w:val="22"/>
          <w:szCs w:val="22"/>
        </w:rPr>
        <w:t xml:space="preserve">Netflix-style video library UI with advanced AJAX filtering</w:t>
      </w:r>
    </w:p>
    <w:p>
      <w:pPr>
        <w:pStyle w:val="ListParagraph"/>
        <w:numPr>
          <w:ilvl w:val="0"/>
          <w:numId w:val="2"/>
        </w:numPr>
        <w:spacing w:after="40" w:before="40"/>
      </w:pPr>
      <w:r>
        <w:rPr>
          <w:rFonts w:ascii="Arial" w:cs="Arial" w:eastAsia="Arial" w:hAnsi="Arial"/>
          <w:color w:val="1C1C1C"/>
          <w:sz w:val="22"/>
          <w:szCs w:val="22"/>
        </w:rPr>
        <w:t xml:space="preserve">Custom lesson template with video player, text, and interactive quizzes</w:t>
      </w:r>
    </w:p>
    <w:p>
      <w:pPr>
        <w:pStyle w:val="ListParagraph"/>
        <w:numPr>
          <w:ilvl w:val="0"/>
          <w:numId w:val="2"/>
        </w:numPr>
        <w:spacing w:after="40" w:before="40"/>
      </w:pPr>
      <w:r>
        <w:rPr>
          <w:rFonts w:ascii="Arial" w:cs="Arial" w:eastAsia="Arial" w:hAnsi="Arial"/>
          <w:color w:val="1C1C1C"/>
          <w:sz w:val="22"/>
          <w:szCs w:val="22"/>
        </w:rPr>
        <w:t xml:space="preserve">Performance optimization for high-traffic video browsing</w:t>
      </w:r>
    </w:p>
    <w:p>
      <w:pPr>
        <w:spacing w:after="100" w:before="60"/>
      </w:pPr>
      <w:r>
        <w:rPr>
          <w:rFonts w:ascii="Arial" w:cs="Arial" w:eastAsia="Arial" w:hAnsi="Arial"/>
          <w:color w:val="1C1C1C"/>
          <w:sz w:val="22"/>
          <w:szCs w:val="22"/>
        </w:rPr>
        <w:t xml:space="preserve">Budget is $20–$30/hour for 1–3 months. This is an immediate, confirmed opportunity for a skilled WordPress/LMS developer.</w:t>
      </w:r>
    </w:p>
    <w:p>
      <w:pPr>
        <w:spacing w:after="100" w:before="100"/>
      </w:pPr>
    </w:p>
    <w:p>
      <w:pPr>
        <w:spacing w:after="100" w:before="60"/>
      </w:pPr>
      <w:r>
        <w:rPr>
          <w:rFonts w:ascii="Arial" w:cs="Arial" w:eastAsia="Arial" w:hAnsi="Arial"/>
          <w:color w:val="1C1C1C"/>
          <w:sz w:val="22"/>
          <w:szCs w:val="22"/>
        </w:rPr>
        <w:t xml:space="preserve">Other technology opportunities:</w:t>
      </w:r>
    </w:p>
    <w:p>
      <w:pPr>
        <w:pStyle w:val="ListParagraph"/>
        <w:numPr>
          <w:ilvl w:val="0"/>
          <w:numId w:val="2"/>
        </w:numPr>
        <w:spacing w:after="40" w:before="40"/>
      </w:pPr>
      <w:r>
        <w:rPr>
          <w:rFonts w:ascii="Arial" w:cs="Arial" w:eastAsia="Arial" w:hAnsi="Arial"/>
          <w:color w:val="1C1C1C"/>
          <w:sz w:val="22"/>
          <w:szCs w:val="22"/>
        </w:rPr>
        <w:t xml:space="preserve">Mobile app development — the FACTSS App is listed as 'coming soon'; this may represent an active or near-future development project</w:t>
      </w:r>
    </w:p>
    <w:p>
      <w:pPr>
        <w:pStyle w:val="ListParagraph"/>
        <w:numPr>
          <w:ilvl w:val="0"/>
          <w:numId w:val="2"/>
        </w:numPr>
        <w:spacing w:after="40" w:before="40"/>
      </w:pPr>
      <w:r>
        <w:rPr>
          <w:rFonts w:ascii="Arial" w:cs="Arial" w:eastAsia="Arial" w:hAnsi="Arial"/>
          <w:color w:val="1C1C1C"/>
          <w:sz w:val="22"/>
          <w:szCs w:val="22"/>
        </w:rPr>
        <w:t xml:space="preserve">CRM implementation — no CRM is visible; a nonprofit-friendly CRM (HubSpot for Nonprofits, Salesforce NPSP) could significantly improve partner and donor management</w:t>
      </w:r>
    </w:p>
    <w:p>
      <w:pPr>
        <w:pStyle w:val="ListParagraph"/>
        <w:numPr>
          <w:ilvl w:val="0"/>
          <w:numId w:val="2"/>
        </w:numPr>
        <w:spacing w:after="40" w:before="40"/>
      </w:pPr>
      <w:r>
        <w:rPr>
          <w:rFonts w:ascii="Arial" w:cs="Arial" w:eastAsia="Arial" w:hAnsi="Arial"/>
          <w:color w:val="1C1C1C"/>
          <w:sz w:val="22"/>
          <w:szCs w:val="22"/>
        </w:rPr>
        <w:t xml:space="preserve">Email marketing automation — managing 70,000+ community members manually is not sustainable; a marketing automation tool could help</w:t>
      </w:r>
    </w:p>
    <w:p>
      <w:pPr>
        <w:pStyle w:val="ListParagraph"/>
        <w:numPr>
          <w:ilvl w:val="0"/>
          <w:numId w:val="2"/>
        </w:numPr>
        <w:spacing w:after="40" w:before="40"/>
      </w:pPr>
      <w:r>
        <w:rPr>
          <w:rFonts w:ascii="Arial" w:cs="Arial" w:eastAsia="Arial" w:hAnsi="Arial"/>
          <w:color w:val="1C1C1C"/>
          <w:sz w:val="22"/>
          <w:szCs w:val="22"/>
        </w:rPr>
        <w:t xml:space="preserve">Survey and data platform — the #OurVoice survey tool may need upgrading as participation scales</w:t>
      </w:r>
    </w:p>
    <w:p>
      <w:pPr>
        <w:spacing w:after="100" w:before="100"/>
      </w:pPr>
    </w:p>
    <w:p>
      <w:pPr>
        <w:pStyle w:val="Heading3"/>
        <w:spacing w:after="80" w:before="200"/>
      </w:pPr>
      <w:r>
        <w:rPr>
          <w:rFonts w:ascii="Arial" w:cs="Arial" w:eastAsia="Arial" w:hAnsi="Arial"/>
          <w:b/>
          <w:bCs/>
          <w:color w:val="2E6DA4"/>
          <w:sz w:val="22"/>
          <w:szCs w:val="22"/>
        </w:rPr>
        <w:t xml:space="preserve">13.2 Marketing &amp; Content Partnerships</w:t>
      </w:r>
    </w:p>
    <w:p>
      <w:pPr>
        <w:pStyle w:val="ListParagraph"/>
        <w:numPr>
          <w:ilvl w:val="0"/>
          <w:numId w:val="2"/>
        </w:numPr>
        <w:spacing w:after="40" w:before="40"/>
      </w:pPr>
      <w:r>
        <w:rPr>
          <w:rFonts w:ascii="Arial" w:cs="Arial" w:eastAsia="Arial" w:hAnsi="Arial"/>
          <w:color w:val="1C1C1C"/>
          <w:sz w:val="22"/>
          <w:szCs w:val="22"/>
        </w:rPr>
        <w:t xml:space="preserve">Video production — SC101 relies heavily on video content (live events, podcast, YouTube); a video production partner could improve quality</w:t>
      </w:r>
    </w:p>
    <w:p>
      <w:pPr>
        <w:pStyle w:val="ListParagraph"/>
        <w:numPr>
          <w:ilvl w:val="0"/>
          <w:numId w:val="2"/>
        </w:numPr>
        <w:spacing w:after="40" w:before="40"/>
      </w:pPr>
      <w:r>
        <w:rPr>
          <w:rFonts w:ascii="Arial" w:cs="Arial" w:eastAsia="Arial" w:hAnsi="Arial"/>
          <w:color w:val="1C1C1C"/>
          <w:sz w:val="22"/>
          <w:szCs w:val="22"/>
        </w:rPr>
        <w:t xml:space="preserve">Graphic design — patient-friendly social media graphics are central to SC101's content strategy; a design partner or template library could accelerate output</w:t>
      </w:r>
    </w:p>
    <w:p>
      <w:pPr>
        <w:pStyle w:val="ListParagraph"/>
        <w:numPr>
          <w:ilvl w:val="0"/>
          <w:numId w:val="2"/>
        </w:numPr>
        <w:spacing w:after="40" w:before="40"/>
      </w:pPr>
      <w:r>
        <w:rPr>
          <w:rFonts w:ascii="Arial" w:cs="Arial" w:eastAsia="Arial" w:hAnsi="Arial"/>
          <w:color w:val="1C1C1C"/>
          <w:sz w:val="22"/>
          <w:szCs w:val="22"/>
        </w:rPr>
        <w:t xml:space="preserve">SEO and content strategy — SC101 has strong domain content but may benefit from a structured SEO strategy to increase organic search traffic</w:t>
      </w:r>
    </w:p>
    <w:p>
      <w:pPr>
        <w:pStyle w:val="ListParagraph"/>
        <w:numPr>
          <w:ilvl w:val="0"/>
          <w:numId w:val="2"/>
        </w:numPr>
        <w:spacing w:after="40" w:before="40"/>
      </w:pPr>
      <w:r>
        <w:rPr>
          <w:rFonts w:ascii="Arial" w:cs="Arial" w:eastAsia="Arial" w:hAnsi="Arial"/>
          <w:color w:val="1C1C1C"/>
          <w:sz w:val="22"/>
          <w:szCs w:val="22"/>
        </w:rPr>
        <w:t xml:space="preserve">Translation and localization — SC101 reaches 130+ countries; non-English content could expand reach significantly (some Spanish content already exists)</w:t>
      </w:r>
    </w:p>
    <w:p>
      <w:pPr>
        <w:spacing w:after="100" w:before="100"/>
      </w:pPr>
    </w:p>
    <w:p>
      <w:pPr>
        <w:pStyle w:val="Heading3"/>
        <w:spacing w:after="80" w:before="200"/>
      </w:pPr>
      <w:r>
        <w:rPr>
          <w:rFonts w:ascii="Arial" w:cs="Arial" w:eastAsia="Arial" w:hAnsi="Arial"/>
          <w:b/>
          <w:bCs/>
          <w:color w:val="2E6DA4"/>
          <w:sz w:val="22"/>
          <w:szCs w:val="22"/>
        </w:rPr>
        <w:t xml:space="preserve">13.3 Operational &amp; Consulting Partnerships</w:t>
      </w:r>
    </w:p>
    <w:p>
      <w:pPr>
        <w:pStyle w:val="ListParagraph"/>
        <w:numPr>
          <w:ilvl w:val="0"/>
          <w:numId w:val="2"/>
        </w:numPr>
        <w:spacing w:after="40" w:before="40"/>
      </w:pPr>
      <w:r>
        <w:rPr>
          <w:rFonts w:ascii="Arial" w:cs="Arial" w:eastAsia="Arial" w:hAnsi="Arial"/>
          <w:color w:val="1C1C1C"/>
          <w:sz w:val="22"/>
          <w:szCs w:val="22"/>
        </w:rPr>
        <w:t xml:space="preserve">Grant writing and fundraising — SC101 depends on pharma grants; a nonprofit fundraising specialist could help diversify revenue</w:t>
      </w:r>
    </w:p>
    <w:p>
      <w:pPr>
        <w:pStyle w:val="ListParagraph"/>
        <w:numPr>
          <w:ilvl w:val="0"/>
          <w:numId w:val="2"/>
        </w:numPr>
        <w:spacing w:after="40" w:before="40"/>
      </w:pPr>
      <w:r>
        <w:rPr>
          <w:rFonts w:ascii="Arial" w:cs="Arial" w:eastAsia="Arial" w:hAnsi="Arial"/>
          <w:color w:val="1C1C1C"/>
          <w:sz w:val="22"/>
          <w:szCs w:val="22"/>
        </w:rPr>
        <w:t xml:space="preserve">Partnership development — a BDR or business development agency could help SC101 reach new pharma and research partners proactively</w:t>
      </w:r>
    </w:p>
    <w:p>
      <w:pPr>
        <w:pStyle w:val="ListParagraph"/>
        <w:numPr>
          <w:ilvl w:val="0"/>
          <w:numId w:val="2"/>
        </w:numPr>
        <w:spacing w:after="40" w:before="40"/>
      </w:pPr>
      <w:r>
        <w:rPr>
          <w:rFonts w:ascii="Arial" w:cs="Arial" w:eastAsia="Arial" w:hAnsi="Arial"/>
          <w:color w:val="1C1C1C"/>
          <w:sz w:val="22"/>
          <w:szCs w:val="22"/>
        </w:rPr>
        <w:t xml:space="preserve">Event production — the Ask the Experts Live format is high-impact; a live event or webinar production partner could improve the experience and expand attendance</w:t>
      </w:r>
    </w:p>
    <w:p>
      <w:pPr>
        <w:pStyle w:val="ListParagraph"/>
        <w:numPr>
          <w:ilvl w:val="0"/>
          <w:numId w:val="2"/>
        </w:numPr>
        <w:spacing w:after="40" w:before="40"/>
      </w:pPr>
      <w:r>
        <w:rPr>
          <w:rFonts w:ascii="Arial" w:cs="Arial" w:eastAsia="Arial" w:hAnsi="Arial"/>
          <w:color w:val="1C1C1C"/>
          <w:sz w:val="22"/>
          <w:szCs w:val="22"/>
        </w:rPr>
        <w:t xml:space="preserve">Data analysis — community survey data (#OurVoice) could be analyzed more deeply with the right analytics partner</w:t>
      </w:r>
    </w:p>
    <w:p>
      <w:pPr>
        <w:spacing w:after="100" w:before="100"/>
      </w:pPr>
    </w:p>
    <w:p>
      <w:pPr>
        <w:pStyle w:val="Heading3"/>
        <w:spacing w:after="80" w:before="200"/>
      </w:pPr>
      <w:r>
        <w:rPr>
          <w:rFonts w:ascii="Arial" w:cs="Arial" w:eastAsia="Arial" w:hAnsi="Arial"/>
          <w:b/>
          <w:bCs/>
          <w:color w:val="2E6DA4"/>
          <w:sz w:val="22"/>
          <w:szCs w:val="22"/>
        </w:rPr>
        <w:t xml:space="preserve">13.4 Outsourcing Opportunities</w:t>
      </w:r>
    </w:p>
    <w:p>
      <w:pPr>
        <w:pStyle w:val="ListParagraph"/>
        <w:numPr>
          <w:ilvl w:val="0"/>
          <w:numId w:val="2"/>
        </w:numPr>
        <w:spacing w:after="40" w:before="40"/>
      </w:pPr>
      <w:r>
        <w:rPr>
          <w:rFonts w:ascii="Arial" w:cs="Arial" w:eastAsia="Arial" w:hAnsi="Arial"/>
          <w:color w:val="1C1C1C"/>
          <w:sz w:val="22"/>
          <w:szCs w:val="22"/>
        </w:rPr>
        <w:t xml:space="preserve">Web development — currently outsourced (per job posting); ongoing opportunity for a development agency</w:t>
      </w:r>
    </w:p>
    <w:p>
      <w:pPr>
        <w:pStyle w:val="ListParagraph"/>
        <w:numPr>
          <w:ilvl w:val="0"/>
          <w:numId w:val="2"/>
        </w:numPr>
        <w:spacing w:after="40" w:before="40"/>
      </w:pPr>
      <w:r>
        <w:rPr>
          <w:rFonts w:ascii="Arial" w:cs="Arial" w:eastAsia="Arial" w:hAnsi="Arial"/>
          <w:color w:val="1C1C1C"/>
          <w:sz w:val="22"/>
          <w:szCs w:val="22"/>
        </w:rPr>
        <w:t xml:space="preserve">Content writing — community contributors are used but a dedicated content agency could add capacity</w:t>
      </w:r>
    </w:p>
    <w:p>
      <w:pPr>
        <w:pStyle w:val="ListParagraph"/>
        <w:numPr>
          <w:ilvl w:val="0"/>
          <w:numId w:val="2"/>
        </w:numPr>
        <w:spacing w:after="40" w:before="40"/>
      </w:pPr>
      <w:r>
        <w:rPr>
          <w:rFonts w:ascii="Arial" w:cs="Arial" w:eastAsia="Arial" w:hAnsi="Arial"/>
          <w:color w:val="1C1C1C"/>
          <w:sz w:val="22"/>
          <w:szCs w:val="22"/>
        </w:rPr>
        <w:t xml:space="preserve">Social media management — high posting frequency requires sustained effort; a social media management tool or agency could help scale</w:t>
      </w:r>
    </w:p>
    <w:p>
      <w:pPr>
        <w:pStyle w:val="ListParagraph"/>
        <w:numPr>
          <w:ilvl w:val="0"/>
          <w:numId w:val="2"/>
        </w:numPr>
        <w:spacing w:after="40" w:before="40"/>
      </w:pPr>
      <w:r>
        <w:rPr>
          <w:rFonts w:ascii="Arial" w:cs="Arial" w:eastAsia="Arial" w:hAnsi="Arial"/>
          <w:color w:val="1C1C1C"/>
          <w:sz w:val="22"/>
          <w:szCs w:val="22"/>
        </w:rPr>
        <w:t xml:space="preserve">Podcast production — audio editing and episode production for The Sickle Cell Podcast</w:t>
      </w:r>
    </w:p>
    <w:p>
      <w:pP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3A5C" w:val="clear"/>
            <w:tcMar>
              <w:top w:type="dxa" w:w="160"/>
              <w:left w:type="dxa" w:w="240"/>
              <w:bottom w:type="dxa" w:w="160"/>
              <w:right w:type="dxa" w:w="240"/>
            </w:tcMar>
          </w:tcPr>
          <w:p>
            <w:pPr>
              <w:spacing w:after="0" w:before="0"/>
            </w:pPr>
            <w:r>
              <w:rPr>
                <w:rFonts w:ascii="Arial" w:cs="Arial" w:eastAsia="Arial" w:hAnsi="Arial"/>
                <w:b/>
                <w:bCs/>
                <w:color w:val="B03A2E"/>
                <w:sz w:val="30"/>
                <w:szCs w:val="30"/>
              </w:rPr>
              <w:t xml:space="preserve">14  </w:t>
            </w:r>
            <w:r>
              <w:rPr>
                <w:rFonts w:ascii="Arial" w:cs="Arial" w:eastAsia="Arial" w:hAnsi="Arial"/>
                <w:b/>
                <w:bCs/>
                <w:color w:val="FFFFFF"/>
                <w:sz w:val="30"/>
                <w:szCs w:val="30"/>
              </w:rPr>
              <w:t xml:space="preserve">Summary of Business Operations</w:t>
            </w:r>
          </w:p>
        </w:tc>
      </w:tr>
    </w:tbl>
    <w:p>
      <w:pPr>
        <w:spacing w:after="120" w:before="160"/>
      </w:pPr>
    </w:p>
    <w:p>
      <w:pPr>
        <w:spacing w:after="100" w:before="60"/>
      </w:pPr>
      <w:r>
        <w:rPr>
          <w:rFonts w:ascii="Arial" w:cs="Arial" w:eastAsia="Arial" w:hAnsi="Arial"/>
          <w:color w:val="1C1C1C"/>
          <w:sz w:val="22"/>
          <w:szCs w:val="22"/>
        </w:rPr>
        <w:t xml:space="preserve">Sickle Cell 101 is a small but high-impact nonprofit based in Silicon Valley. It was founded in 2013 by Cassandra Trimnell, who lives with sickle cell disease. Its mission is to educate, empower, and connect the global sickle cell community through digital platforms.</w:t>
      </w:r>
    </w:p>
    <w:p>
      <w:pPr>
        <w:spacing w:after="60" w:before="40"/>
      </w:pPr>
    </w:p>
    <w:p>
      <w:pPr>
        <w:spacing w:after="100" w:before="60"/>
      </w:pPr>
      <w:r>
        <w:rPr>
          <w:rFonts w:ascii="Arial" w:cs="Arial" w:eastAsia="Arial" w:hAnsi="Arial"/>
          <w:color w:val="1C1C1C"/>
          <w:sz w:val="22"/>
          <w:szCs w:val="22"/>
        </w:rPr>
        <w:t xml:space="preserve">The organization runs on a two-sided model. On one side, it serves a free community of 70,000+ followers — most of them SCD patients — by publishing plain-language health education, running live expert Q&amp;A events, listing clinical trials, producing a podcast, and running global community surveys. On the other side, it generates revenue by partnering with pharmaceutical companies, research institutions, and government agencies who want credible, trusted access to that community.</w:t>
      </w:r>
    </w:p>
    <w:p>
      <w:pPr>
        <w:spacing w:after="60" w:before="40"/>
      </w:pPr>
    </w:p>
    <w:p>
      <w:pPr>
        <w:spacing w:after="100" w:before="60"/>
      </w:pPr>
      <w:r>
        <w:rPr>
          <w:rFonts w:ascii="Arial" w:cs="Arial" w:eastAsia="Arial" w:hAnsi="Arial"/>
          <w:color w:val="1C1C1C"/>
          <w:sz w:val="22"/>
          <w:szCs w:val="22"/>
        </w:rPr>
        <w:t xml:space="preserve">SC101's strength is trust. Because the organization is patient-led and patient-centered, the SCD community trusts its content in a way they do not trust pharma marketing or academic outreach. This trust is SC101's primary commercial asset. Pharma companies pay to partner with SC101 because they cannot replicate that trust internally.</w:t>
      </w:r>
    </w:p>
    <w:p>
      <w:pPr>
        <w:spacing w:after="60" w:before="40"/>
      </w:pPr>
    </w:p>
    <w:p>
      <w:pPr>
        <w:spacing w:after="100" w:before="60"/>
      </w:pPr>
      <w:r>
        <w:rPr>
          <w:rFonts w:ascii="Arial" w:cs="Arial" w:eastAsia="Arial" w:hAnsi="Arial"/>
          <w:color w:val="1C1C1C"/>
          <w:sz w:val="22"/>
          <w:szCs w:val="22"/>
        </w:rPr>
        <w:t xml:space="preserve">Operationally, SC101 is lean. It has 11 employees covering leadership, research, programs, content, and community. It outsources web development. It does not have a formal sales team, CRM, or marketing automation stack. Leadership drives partnerships through personal relationships and conference presence.</w:t>
      </w:r>
    </w:p>
    <w:p>
      <w:pPr>
        <w:spacing w:after="60" w:before="40"/>
      </w:pPr>
    </w:p>
    <w:p>
      <w:pPr>
        <w:spacing w:after="100" w:before="60"/>
      </w:pPr>
      <w:r>
        <w:rPr>
          <w:rFonts w:ascii="Arial" w:cs="Arial" w:eastAsia="Arial" w:hAnsi="Arial"/>
          <w:color w:val="1C1C1C"/>
          <w:sz w:val="22"/>
          <w:szCs w:val="22"/>
        </w:rPr>
        <w:t xml:space="preserve">The organization is actively investing in its digital infrastructure. It is building a new educational video platform on WordPress (LMS-style, Crash Course / TED-Ed aesthetic). It has a mobile app in development. These projects represent near-term technology needs that external vendors can address.</w:t>
      </w:r>
    </w:p>
    <w:p>
      <w:pPr>
        <w:spacing w:after="60" w:before="40"/>
      </w:pPr>
    </w:p>
    <w:p>
      <w:pPr>
        <w:spacing w:after="100" w:before="60"/>
      </w:pPr>
      <w:r>
        <w:rPr>
          <w:rFonts w:ascii="Arial" w:cs="Arial" w:eastAsia="Arial" w:hAnsi="Arial"/>
          <w:color w:val="1C1C1C"/>
          <w:sz w:val="22"/>
          <w:szCs w:val="22"/>
        </w:rPr>
        <w:t xml:space="preserve">For any B2B service provider looking to work with SC101, the most important thing to understand is this: SC101 is mission-driven and community-accountable. Any partner or vendor must demonstrate genuine value to the SCD community — not just a commercial benefit to SC101. Partnerships that put patient needs first will be welcomed. Partnerships that feel exploitative will not.</w:t>
      </w:r>
    </w:p>
    <w:p>
      <w:pPr>
        <w:spacing w:after="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6"/>
              <w:left w:val="single" w:color="2E6DA4" w:sz="6"/>
              <w:bottom w:val="single" w:color="2E6DA4" w:sz="6"/>
              <w:right w:val="single" w:color="2E6DA4" w:sz="6"/>
            </w:tcBorders>
            <w:shd w:fill="D6E8F5" w:val="clear"/>
            <w:tcMar>
              <w:top w:type="dxa" w:w="240"/>
              <w:left w:type="dxa" w:w="360"/>
              <w:bottom w:type="dxa" w:w="240"/>
              <w:right w:type="dxa" w:w="360"/>
            </w:tcMar>
          </w:tcPr>
          <w:p>
            <w:pPr>
              <w:spacing w:after="120" w:before="0"/>
            </w:pPr>
            <w:r>
              <w:rPr>
                <w:rFonts w:ascii="Arial" w:cs="Arial" w:eastAsia="Arial" w:hAnsi="Arial"/>
                <w:b/>
                <w:bCs/>
                <w:color w:val="1A3A5C"/>
                <w:sz w:val="24"/>
                <w:szCs w:val="24"/>
              </w:rPr>
              <w:t xml:space="preserve">Contact Information</w:t>
            </w:r>
          </w:p>
          <w:p>
            <w:pPr>
              <w:spacing w:after="80" w:before="0"/>
            </w:pPr>
            <w:r>
              <w:rPr>
                <w:rFonts w:ascii="Arial" w:cs="Arial" w:eastAsia="Arial" w:hAnsi="Arial"/>
                <w:b/>
                <w:bCs/>
                <w:color w:val="1A3A5C"/>
                <w:sz w:val="21"/>
                <w:szCs w:val="21"/>
              </w:rPr>
              <w:t xml:space="preserve">Website:  </w:t>
            </w:r>
            <w:r>
              <w:rPr>
                <w:rFonts w:ascii="Arial" w:cs="Arial" w:eastAsia="Arial" w:hAnsi="Arial"/>
                <w:color w:val="1C1C1C"/>
                <w:sz w:val="21"/>
                <w:szCs w:val="21"/>
              </w:rPr>
              <w:t xml:space="preserve">https://www.sc101.org</w:t>
            </w:r>
          </w:p>
          <w:p>
            <w:pPr>
              <w:spacing w:after="80" w:before="0"/>
            </w:pPr>
            <w:r>
              <w:rPr>
                <w:rFonts w:ascii="Arial" w:cs="Arial" w:eastAsia="Arial" w:hAnsi="Arial"/>
                <w:b/>
                <w:bCs/>
                <w:color w:val="1A3A5C"/>
                <w:sz w:val="21"/>
                <w:szCs w:val="21"/>
              </w:rPr>
              <w:t xml:space="preserve">Email:  </w:t>
            </w:r>
            <w:r>
              <w:rPr>
                <w:rFonts w:ascii="Arial" w:cs="Arial" w:eastAsia="Arial" w:hAnsi="Arial"/>
                <w:color w:val="1C1C1C"/>
                <w:sz w:val="21"/>
                <w:szCs w:val="21"/>
              </w:rPr>
              <w:t xml:space="preserve">hello@sc101.org</w:t>
            </w:r>
          </w:p>
          <w:p>
            <w:pPr>
              <w:spacing w:after="80" w:before="0"/>
            </w:pPr>
            <w:r>
              <w:rPr>
                <w:rFonts w:ascii="Arial" w:cs="Arial" w:eastAsia="Arial" w:hAnsi="Arial"/>
                <w:b/>
                <w:bCs/>
                <w:color w:val="1A3A5C"/>
                <w:sz w:val="21"/>
                <w:szCs w:val="21"/>
              </w:rPr>
              <w:t xml:space="preserve">Location:  </w:t>
            </w:r>
            <w:r>
              <w:rPr>
                <w:rFonts w:ascii="Arial" w:cs="Arial" w:eastAsia="Arial" w:hAnsi="Arial"/>
                <w:color w:val="1C1C1C"/>
                <w:sz w:val="21"/>
                <w:szCs w:val="21"/>
              </w:rPr>
              <w:t xml:space="preserve">San Ramon, California</w:t>
            </w:r>
          </w:p>
          <w:p>
            <w:pPr>
              <w:spacing w:after="80" w:before="0"/>
            </w:pPr>
            <w:r>
              <w:rPr>
                <w:rFonts w:ascii="Arial" w:cs="Arial" w:eastAsia="Arial" w:hAnsi="Arial"/>
                <w:b/>
                <w:bCs/>
                <w:color w:val="1A3A5C"/>
                <w:sz w:val="21"/>
                <w:szCs w:val="21"/>
              </w:rPr>
              <w:t xml:space="preserve">LinkedIn:  </w:t>
            </w:r>
            <w:r>
              <w:rPr>
                <w:rFonts w:ascii="Arial" w:cs="Arial" w:eastAsia="Arial" w:hAnsi="Arial"/>
                <w:color w:val="1C1C1C"/>
                <w:sz w:val="21"/>
                <w:szCs w:val="21"/>
              </w:rPr>
              <w:t xml:space="preserve">linkedin.com/company/sicklecell101</w:t>
            </w:r>
          </w:p>
          <w:p>
            <w:pPr>
              <w:spacing w:after="0" w:before="0"/>
            </w:pPr>
            <w:r>
              <w:rPr>
                <w:rFonts w:ascii="Arial" w:cs="Arial" w:eastAsia="Arial" w:hAnsi="Arial"/>
                <w:b/>
                <w:bCs/>
                <w:color w:val="1A3A5C"/>
                <w:sz w:val="21"/>
                <w:szCs w:val="21"/>
              </w:rPr>
              <w:t xml:space="preserve">Instagram:  </w:t>
            </w:r>
            <w:r>
              <w:rPr>
                <w:rFonts w:ascii="Arial" w:cs="Arial" w:eastAsia="Arial" w:hAnsi="Arial"/>
                <w:color w:val="1C1C1C"/>
                <w:sz w:val="21"/>
                <w:szCs w:val="21"/>
              </w:rPr>
              <w:t xml:space="preserve">@SickleCell101</w:t>
            </w:r>
          </w:p>
        </w:tc>
      </w:tr>
    </w:tbl>
    <w:p>
      <w:pPr>
        <w:spacing w:after="60" w:before="200"/>
      </w:pPr>
    </w:p>
    <w:p>
      <w:pPr>
        <w:spacing w:after="0" w:before="0"/>
        <w:jc w:val="center"/>
      </w:pPr>
      <w:r>
        <w:rPr>
          <w:rFonts w:ascii="Arial" w:cs="Arial" w:eastAsia="Arial" w:hAnsi="Arial"/>
          <w:i/>
          <w:iCs/>
          <w:color w:val="8E9AAB"/>
          <w:sz w:val="18"/>
          <w:szCs w:val="18"/>
        </w:rPr>
        <w:t xml:space="preserve">End of Business Operations Manual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spacing w:after="0" w:before="120"/>
      <w:jc w:val="right"/>
    </w:pPr>
    <w:r>
      <w:rPr>
        <w:rFonts w:ascii="Arial" w:cs="Arial" w:eastAsia="Arial" w:hAnsi="Arial"/>
        <w:color w:val="8E9AAB"/>
        <w:sz w:val="18"/>
        <w:szCs w:val="18"/>
      </w:rPr>
      <w:t xml:space="preserve">Page </w:t>
    </w:r>
    <w:r>
      <w:rPr>
        <w:rFonts w:ascii="Arial" w:cs="Arial" w:eastAsia="Arial" w:hAnsi="Arial"/>
        <w:color w:val="8E9AAB"/>
        <w:sz w:val="18"/>
        <w:szCs w:val="18"/>
      </w:rPr>
      <w:fldChar w:fldCharType="begin"/>
      <w:instrText xml:space="preserve">PAGE</w:instrText>
      <w:fldChar w:fldCharType="separate"/>
      <w:fldChar w:fldCharType="end"/>
    </w:r>
    <w:r>
      <w:rPr>
        <w:rFonts w:ascii="Arial" w:cs="Arial" w:eastAsia="Arial" w:hAnsi="Arial"/>
        <w:color w:val="8E9AAB"/>
        <w:sz w:val="18"/>
        <w:szCs w:val="18"/>
      </w:rPr>
      <w:t xml:space="preserve"> of </w:t>
    </w:r>
    <w:r>
      <w:rPr>
        <w:rFonts w:ascii="Arial" w:cs="Arial" w:eastAsia="Arial" w:hAnsi="Arial"/>
        <w:color w:val="8E9AA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spacing w:after="120" w:before="0"/>
    </w:pPr>
    <w:r>
      <w:rPr>
        <w:rFonts w:ascii="Arial" w:cs="Arial" w:eastAsia="Arial" w:hAnsi="Arial"/>
        <w:color w:val="8E9AAB"/>
        <w:sz w:val="18"/>
        <w:szCs w:val="18"/>
      </w:rPr>
      <w:t xml:space="preserve">Sickle Cell 101 — Business Operations Manual</w:t>
    </w:r>
    <w:r>
      <w:rPr>
        <w:rFonts w:ascii="Arial" w:cs="Arial" w:eastAsia="Arial" w:hAnsi="Arial"/>
        <w:color w:val="8E9AAB"/>
        <w:sz w:val="18"/>
        <w:szCs w:val="18"/>
      </w:rPr>
      <w:t xml:space="preserve">    |    sc101.org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1A3A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2026-04-25T08:45:19.290Z</dcterms:created>
  <dcterms:modified xsi:type="dcterms:W3CDTF">2026-04-25T08:45:19.291Z</dcterms:modified>
</cp:coreProperties>
</file>

<file path=docProps/custom.xml><?xml version="1.0" encoding="utf-8"?>
<Properties xmlns="http://schemas.openxmlformats.org/officeDocument/2006/custom-properties" xmlns:vt="http://schemas.openxmlformats.org/officeDocument/2006/docPropsVTypes"/>
</file>