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Business Operations Manual</w:t>
      </w:r>
    </w:p>
    <w:p>
      <w:pPr>
        <w:spacing w:after="120"/>
        <w:jc w:val="center"/>
      </w:pPr>
      <w:r>
        <w:rPr>
          <w:color w:val="444444"/>
          <w:sz w:val="32"/>
          <w:szCs w:val="32"/>
        </w:rPr>
        <w:t xml:space="preserve">Bridgeway Advisors</w:t>
      </w:r>
    </w:p>
    <w:p>
      <w:pPr>
        <w:spacing w:after="3200"/>
        <w:jc w:val="center"/>
      </w:pPr>
      <w:r>
        <w:rPr>
          <w:i/>
          <w:iCs/>
          <w:color w:val="666666"/>
          <w:sz w:val="22"/>
          <w:szCs w:val="22"/>
        </w:rPr>
        <w:t xml:space="preserve">Prepared for external B2B partners — BDRs, marketing agencies, consultants, automation engineers, and vendors</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Company Overview</w:t>
      </w:r>
    </w:p>
    <w:p>
      <w:pPr>
        <w:pStyle w:val="Heading2"/>
        <w:spacing w:after="100" w:before="240"/>
      </w:pPr>
      <w:r>
        <w:t xml:space="preserve">1.1 Business Name</w:t>
      </w:r>
    </w:p>
    <w:p>
      <w:pPr>
        <w:spacing w:after="160"/>
      </w:pPr>
      <w:r>
        <w:rPr>
          <w:b w:val="false"/>
          <w:bCs w:val="false"/>
        </w:rPr>
        <w:t xml:space="preserve">Bridgeway Advisors, along with a related, separately regulated entity called Bridgeway Securities. The firm is headquartered at 1 Chisholm Trail Road, Suite 450, Round Rock, TX (Austin metro area), with a second office presence in New York City.</w:t>
      </w:r>
    </w:p>
    <w:p>
      <w:pPr>
        <w:pStyle w:val="Heading2"/>
        <w:spacing w:after="100" w:before="240"/>
      </w:pPr>
      <w:r>
        <w:t xml:space="preserve">1.2 Industry</w:t>
      </w:r>
    </w:p>
    <w:p>
      <w:pPr>
        <w:spacing w:after="160"/>
      </w:pPr>
      <w:r>
        <w:rPr>
          <w:b w:val="false"/>
          <w:bCs w:val="false"/>
        </w:rPr>
        <w:t xml:space="preserve">Investment banking and financial advisory, with a focus on treasury advisory, capital markets advisory, and corporate finance advisory.</w:t>
      </w:r>
    </w:p>
    <w:p>
      <w:pPr>
        <w:pStyle w:val="Heading2"/>
        <w:spacing w:after="100" w:before="240"/>
      </w:pPr>
      <w:r>
        <w:t xml:space="preserve">1.3 Core Products or Services</w:t>
      </w:r>
    </w:p>
    <w:p>
      <w:pPr>
        <w:pStyle w:val="ListParagraph"/>
        <w:numPr>
          <w:ilvl w:val="0"/>
          <w:numId w:val="2"/>
        </w:numPr>
        <w:spacing w:after="80"/>
      </w:pPr>
      <w:r>
        <w:rPr>
          <w:b w:val="false"/>
          <w:bCs w:val="false"/>
        </w:rPr>
        <w:t xml:space="preserve"/>
      </w:r>
      <w:r>
        <w:rPr>
          <w:b/>
          <w:bCs/>
        </w:rPr>
        <w:t xml:space="preserve">Treasury advisory</w:t>
      </w:r>
      <w:r>
        <w:rPr>
          <w:b w:val="false"/>
          <w:bCs w:val="false"/>
        </w:rPr>
        <w:t xml:space="preserve"> — helping corporate treasury teams manage financing, cash, and risk.</w:t>
      </w:r>
    </w:p>
    <w:p>
      <w:pPr>
        <w:pStyle w:val="ListParagraph"/>
        <w:numPr>
          <w:ilvl w:val="0"/>
          <w:numId w:val="2"/>
        </w:numPr>
        <w:spacing w:after="80"/>
      </w:pPr>
      <w:r>
        <w:rPr>
          <w:b w:val="false"/>
          <w:bCs w:val="false"/>
        </w:rPr>
        <w:t xml:space="preserve"/>
      </w:r>
      <w:r>
        <w:rPr>
          <w:b/>
          <w:bCs/>
        </w:rPr>
        <w:t xml:space="preserve">Capital markets advisory</w:t>
      </w:r>
      <w:r>
        <w:rPr>
          <w:b w:val="false"/>
          <w:bCs w:val="false"/>
        </w:rPr>
        <w:t xml:space="preserve"> — helping companies raise or restructure debt and access capital markets.</w:t>
      </w:r>
    </w:p>
    <w:p>
      <w:pPr>
        <w:pStyle w:val="ListParagraph"/>
        <w:numPr>
          <w:ilvl w:val="0"/>
          <w:numId w:val="2"/>
        </w:numPr>
        <w:spacing w:after="80"/>
      </w:pPr>
      <w:r>
        <w:rPr>
          <w:b w:val="false"/>
          <w:bCs w:val="false"/>
        </w:rPr>
        <w:t xml:space="preserve"/>
      </w:r>
      <w:r>
        <w:rPr>
          <w:b/>
          <w:bCs/>
        </w:rPr>
        <w:t xml:space="preserve">Corporate finance advisory</w:t>
      </w:r>
      <w:r>
        <w:rPr>
          <w:b w:val="false"/>
          <w:bCs w:val="false"/>
        </w:rPr>
        <w:t xml:space="preserve"> — broader financial strategy support for corporate clients.</w:t>
      </w:r>
    </w:p>
    <w:p>
      <w:pPr>
        <w:pStyle w:val="ListParagraph"/>
        <w:numPr>
          <w:ilvl w:val="0"/>
          <w:numId w:val="2"/>
        </w:numPr>
        <w:spacing w:after="80"/>
      </w:pPr>
      <w:r>
        <w:rPr>
          <w:b w:val="false"/>
          <w:bCs w:val="false"/>
        </w:rPr>
        <w:t xml:space="preserve">The company website names four specific focus areas: financing strategy, capital allocation, treasury technology, and comprehensive risk management.</w:t>
      </w:r>
    </w:p>
    <w:p>
      <w:pPr>
        <w:pStyle w:val="ListParagraph"/>
        <w:numPr>
          <w:ilvl w:val="0"/>
          <w:numId w:val="2"/>
        </w:numPr>
        <w:spacing w:after="80"/>
      </w:pPr>
      <w:r>
        <w:rPr>
          <w:b w:val="false"/>
          <w:bCs w:val="false"/>
        </w:rPr>
        <w:t xml:space="preserve">Bridgeway Securities appears to be the affiliated, separately regulated arm that handles capital markets transaction execution ("deal" work), based on a job posting that describes two regulatorily-separated web properties for the two brands.</w:t>
      </w:r>
    </w:p>
    <w:p>
      <w:pPr>
        <w:pStyle w:val="Heading2"/>
        <w:spacing w:after="100" w:before="240"/>
      </w:pPr>
      <w:r>
        <w:t xml:space="preserve">1.4 Target Customers</w:t>
      </w:r>
    </w:p>
    <w:p>
      <w:pPr>
        <w:spacing w:after="160"/>
      </w:pPr>
      <w:r>
        <w:rPr>
          <w:b w:val="false"/>
          <w:bCs w:val="false"/>
        </w:rPr>
        <w:t xml:space="preserve">Large companies — the website specifically uses the phrase "Fortune 500 clients." The firm's LinkedIn profile says it focuses on advising treasury teams, so the day-to-day buyer is usually someone in corporate treasury, finance, or the CFO's office at a large company.</w:t>
      </w:r>
    </w:p>
    <w:p>
      <w:pPr>
        <w:pStyle w:val="Heading2"/>
        <w:spacing w:after="100" w:before="240"/>
      </w:pPr>
      <w:r>
        <w:t xml:space="preserve">1.5 Value Proposition</w:t>
      </w:r>
    </w:p>
    <w:p>
      <w:pPr>
        <w:spacing w:after="160"/>
      </w:pPr>
      <w:r>
        <w:rPr>
          <w:b w:val="false"/>
          <w:bCs w:val="false"/>
        </w:rPr>
        <w:t xml:space="preserve">Bridgeway Advisors positions itself around three ideas, taken directly from its website:</w:t>
      </w:r>
    </w:p>
    <w:p>
      <w:pPr>
        <w:pStyle w:val="ListParagraph"/>
        <w:numPr>
          <w:ilvl w:val="0"/>
          <w:numId w:val="2"/>
        </w:numPr>
        <w:spacing w:after="80"/>
      </w:pPr>
      <w:r>
        <w:rPr>
          <w:b w:val="false"/>
          <w:bCs w:val="false"/>
        </w:rPr>
        <w:t xml:space="preserve"/>
      </w:r>
      <w:r>
        <w:rPr>
          <w:b/>
          <w:bCs/>
        </w:rPr>
        <w:t xml:space="preserve">Selective client coverage</w:t>
      </w:r>
      <w:r>
        <w:rPr>
          <w:b w:val="false"/>
          <w:bCs w:val="false"/>
        </w:rPr>
        <w:t xml:space="preserve"> — the firm intentionally serves fewer clients so it can go deeper with each one.</w:t>
      </w:r>
    </w:p>
    <w:p>
      <w:pPr>
        <w:pStyle w:val="ListParagraph"/>
        <w:numPr>
          <w:ilvl w:val="0"/>
          <w:numId w:val="2"/>
        </w:numPr>
        <w:spacing w:after="80"/>
      </w:pPr>
      <w:r>
        <w:rPr>
          <w:b w:val="false"/>
          <w:bCs w:val="false"/>
        </w:rPr>
        <w:t xml:space="preserve"/>
      </w:r>
      <w:r>
        <w:rPr>
          <w:b/>
          <w:bCs/>
        </w:rPr>
        <w:t xml:space="preserve">Actionable insights</w:t>
      </w:r>
      <w:r>
        <w:rPr>
          <w:b w:val="false"/>
          <w:bCs w:val="false"/>
        </w:rPr>
        <w:t xml:space="preserve"> — advice clients can act on, especially in areas that get overlooked.</w:t>
      </w:r>
    </w:p>
    <w:p>
      <w:pPr>
        <w:pStyle w:val="ListParagraph"/>
        <w:numPr>
          <w:ilvl w:val="0"/>
          <w:numId w:val="2"/>
        </w:numPr>
        <w:spacing w:after="80"/>
      </w:pPr>
      <w:r>
        <w:rPr>
          <w:b w:val="false"/>
          <w:bCs w:val="false"/>
        </w:rPr>
        <w:t xml:space="preserve"/>
      </w:r>
      <w:r>
        <w:rPr>
          <w:b/>
          <w:bCs/>
        </w:rPr>
        <w:t xml:space="preserve">Senior industry expertise</w:t>
      </w:r>
      <w:r>
        <w:rPr>
          <w:b w:val="false"/>
          <w:bCs w:val="false"/>
        </w:rPr>
        <w:t xml:space="preserve"> — an experienced advisory team with an entrepreneurial background.</w:t>
      </w:r>
    </w:p>
    <w:p>
      <w:pPr>
        <w:spacing w:after="160"/>
      </w:pPr>
      <w:r>
        <w:rPr>
          <w:b w:val="false"/>
          <w:bCs w:val="false"/>
        </w:rPr>
        <w:t xml:space="preserve">The firm also describes itself as a mission-driven, Black-owned investment bank, and this identity is a visible, consistent part of its brand on both LinkedIn and its website.</w:t>
      </w:r>
    </w:p>
    <w:p>
      <w:pPr>
        <w:pStyle w:val="Heading2"/>
        <w:spacing w:after="100" w:before="240"/>
      </w:pPr>
      <w:r>
        <w:t xml:space="preserve">1.6 Business Model</w:t>
      </w:r>
    </w:p>
    <w:p>
      <w:pPr>
        <w:pStyle w:val="ListParagraph"/>
        <w:numPr>
          <w:ilvl w:val="0"/>
          <w:numId w:val="2"/>
        </w:numPr>
        <w:spacing w:after="80"/>
      </w:pPr>
      <w:r>
        <w:rPr>
          <w:b w:val="false"/>
          <w:bCs w:val="false"/>
        </w:rPr>
        <w:t xml:space="preserve"/>
      </w:r>
      <w:r>
        <w:rPr>
          <w:b/>
          <w:bCs/>
        </w:rPr>
        <w:t xml:space="preserve">How the company makes money:</w:t>
      </w:r>
      <w:r>
        <w:rPr>
          <w:b w:val="false"/>
          <w:bCs w:val="false"/>
        </w:rPr>
        <w:t xml:space="preserve"> No specific fee terms are published in the available sources. Based on the firm's positioning as a boutique advisory and capital markets firm, revenue almost certainly comes from professional service fees tied to advisory engagements and capital markets transactions. This is a reasonable inference based on how firms like this typically operate, not a confirmed fact from the source material.</w:t>
      </w:r>
    </w:p>
    <w:p>
      <w:pPr>
        <w:pStyle w:val="ListParagraph"/>
        <w:numPr>
          <w:ilvl w:val="0"/>
          <w:numId w:val="2"/>
        </w:numPr>
        <w:spacing w:after="80"/>
      </w:pPr>
      <w:r>
        <w:rPr>
          <w:b w:val="false"/>
          <w:bCs w:val="false"/>
        </w:rPr>
        <w:t xml:space="preserve"/>
      </w:r>
      <w:r>
        <w:rPr>
          <w:b/>
          <w:bCs/>
        </w:rPr>
        <w:t xml:space="preserve">Pricing model:</w:t>
      </w:r>
      <w:r>
        <w:rPr>
          <w:b w:val="false"/>
          <w:bCs w:val="false"/>
        </w:rPr>
        <w:t xml:space="preserve"> Not published. Boutique advisory firms of this type typically use some mix of retainer fees (ongoing advisory work) and transaction fees (tied to a specific financing or capital markets deal).</w:t>
      </w:r>
    </w:p>
    <w:p>
      <w:pPr>
        <w:pStyle w:val="ListParagraph"/>
        <w:numPr>
          <w:ilvl w:val="0"/>
          <w:numId w:val="2"/>
        </w:numPr>
        <w:spacing w:after="80"/>
      </w:pPr>
      <w:r>
        <w:rPr>
          <w:b w:val="false"/>
          <w:bCs w:val="false"/>
        </w:rPr>
        <w:t xml:space="preserve"/>
      </w:r>
      <w:r>
        <w:rPr>
          <w:b/>
          <w:bCs/>
        </w:rPr>
        <w:t xml:space="preserve">Revenue streams:</w:t>
      </w:r>
      <w:r>
        <w:rPr>
          <w:b w:val="false"/>
          <w:bCs w:val="false"/>
        </w:rPr>
        <w:t xml:space="preserve"> Likely two streams: (1) ongoing treasury and corporate finance advisory work, and (2) fees tied to specific capital markets transactions handled through Bridgeway Securities.</w:t>
      </w:r>
    </w:p>
    <w:p>
      <w:pPr>
        <w:pStyle w:val="Heading1"/>
        <w:spacing w:after="160" w:before="360"/>
      </w:pPr>
      <w:r>
        <w:t xml:space="preserve">2. Customer Segments</w:t>
      </w:r>
    </w:p>
    <w:p>
      <w:pPr>
        <w:pStyle w:val="Heading2"/>
        <w:spacing w:after="100" w:before="240"/>
      </w:pPr>
      <w:r>
        <w:t xml:space="preserve">2.1 Ideal Customer Profile</w:t>
      </w:r>
    </w:p>
    <w:p>
      <w:pPr>
        <w:spacing w:after="160"/>
      </w:pPr>
      <w:r>
        <w:rPr>
          <w:b w:val="false"/>
          <w:bCs w:val="false"/>
        </w:rPr>
        <w:t xml:space="preserve">A large company — the website repeatedly references "Fortune 500" clients — with an in-house treasury or corporate finance function that needs outside advice on financing, capital allocation, or risk.</w:t>
      </w:r>
    </w:p>
    <w:p>
      <w:pPr>
        <w:pStyle w:val="Heading2"/>
        <w:spacing w:after="100" w:before="240"/>
      </w:pPr>
      <w:r>
        <w:t xml:space="preserve">2.2 Customer Industries</w:t>
      </w:r>
    </w:p>
    <w:p>
      <w:pPr>
        <w:spacing w:after="160"/>
      </w:pPr>
      <w:r>
        <w:rPr>
          <w:b w:val="false"/>
          <w:bCs w:val="false"/>
        </w:rPr>
        <w:t xml:space="preserve">Not specified in the source material. The firm's language ("treasury teams," "corporate debt issuers," "Fortune 500 clients") suggests it works across industries rather than one specific sector, wherever a company has meaningful treasury and capital markets activity.</w:t>
      </w:r>
    </w:p>
    <w:p>
      <w:pPr>
        <w:pStyle w:val="Heading2"/>
        <w:spacing w:after="100" w:before="240"/>
      </w:pPr>
      <w:r>
        <w:t xml:space="preserve">2.3 Customer Size</w:t>
      </w:r>
    </w:p>
    <w:p>
      <w:pPr>
        <w:spacing w:after="160"/>
      </w:pPr>
      <w:r>
        <w:rPr>
          <w:b w:val="false"/>
          <w:bCs w:val="false"/>
        </w:rPr>
        <w:t xml:space="preserve">Large enterprise. The source material never mentions small or mid-sized businesses as clients — only large, established companies.</w:t>
      </w:r>
    </w:p>
    <w:p>
      <w:pPr>
        <w:pStyle w:val="Heading2"/>
        <w:spacing w:after="100" w:before="240"/>
      </w:pPr>
      <w:r>
        <w:t xml:space="preserve">2.4 Common Customer Problems</w:t>
      </w:r>
    </w:p>
    <w:p>
      <w:pPr>
        <w:spacing w:after="160"/>
      </w:pPr>
      <w:r>
        <w:rPr>
          <w:b w:val="false"/>
          <w:bCs w:val="false"/>
        </w:rPr>
        <w:t xml:space="preserve">Based on the firm's stated focus areas:</w:t>
      </w:r>
    </w:p>
    <w:p>
      <w:pPr>
        <w:pStyle w:val="ListParagraph"/>
        <w:numPr>
          <w:ilvl w:val="0"/>
          <w:numId w:val="2"/>
        </w:numPr>
        <w:spacing w:after="80"/>
      </w:pPr>
      <w:r>
        <w:rPr>
          <w:b w:val="false"/>
          <w:bCs w:val="false"/>
        </w:rPr>
        <w:t xml:space="preserve">Deciding how to finance or refinance corporate debt.</w:t>
      </w:r>
    </w:p>
    <w:p>
      <w:pPr>
        <w:pStyle w:val="ListParagraph"/>
        <w:numPr>
          <w:ilvl w:val="0"/>
          <w:numId w:val="2"/>
        </w:numPr>
        <w:spacing w:after="80"/>
      </w:pPr>
      <w:r>
        <w:rPr>
          <w:b w:val="false"/>
          <w:bCs w:val="false"/>
        </w:rPr>
        <w:t xml:space="preserve">Allocating capital effectively across the business.</w:t>
      </w:r>
    </w:p>
    <w:p>
      <w:pPr>
        <w:pStyle w:val="ListParagraph"/>
        <w:numPr>
          <w:ilvl w:val="0"/>
          <w:numId w:val="2"/>
        </w:numPr>
        <w:spacing w:after="80"/>
      </w:pPr>
      <w:r>
        <w:rPr>
          <w:b w:val="false"/>
          <w:bCs w:val="false"/>
        </w:rPr>
        <w:t xml:space="preserve">Modernizing treasury technology and processes.</w:t>
      </w:r>
    </w:p>
    <w:p>
      <w:pPr>
        <w:pStyle w:val="ListParagraph"/>
        <w:numPr>
          <w:ilvl w:val="0"/>
          <w:numId w:val="2"/>
        </w:numPr>
        <w:spacing w:after="80"/>
      </w:pPr>
      <w:r>
        <w:rPr>
          <w:b w:val="false"/>
          <w:bCs w:val="false"/>
        </w:rPr>
        <w:t xml:space="preserve">Managing financial and market risk.</w:t>
      </w:r>
    </w:p>
    <w:p>
      <w:pPr>
        <w:pStyle w:val="Heading2"/>
        <w:spacing w:after="100" w:before="240"/>
      </w:pPr>
      <w:r>
        <w:t xml:space="preserve">2.5 Typical Customer Goals</w:t>
      </w:r>
    </w:p>
    <w:p>
      <w:pPr>
        <w:spacing w:after="160"/>
      </w:pPr>
      <w:r>
        <w:rPr>
          <w:b w:val="false"/>
          <w:bCs w:val="false"/>
        </w:rPr>
        <w:t xml:space="preserve">Get senior-level, actionable advice on financing and treasury decisions from a small, deeply engaged advisory team, rather than a large team at a big bank.</w:t>
      </w:r>
    </w:p>
    <w:p>
      <w:pPr>
        <w:pStyle w:val="Heading1"/>
        <w:spacing w:after="160" w:before="360"/>
      </w:pPr>
      <w:r>
        <w:t xml:space="preserve">3. Product / Service Breakdown</w:t>
      </w:r>
    </w:p>
    <w:p>
      <w:pPr>
        <w:pStyle w:val="Heading2"/>
        <w:spacing w:after="100" w:before="240"/>
      </w:pPr>
      <w:r>
        <w:t xml:space="preserve">3.1 Core Services</w:t>
      </w:r>
    </w:p>
    <w:p>
      <w:pPr>
        <w:pStyle w:val="ListParagraph"/>
        <w:numPr>
          <w:ilvl w:val="0"/>
          <w:numId w:val="2"/>
        </w:numPr>
        <w:spacing w:after="80"/>
      </w:pPr>
      <w:r>
        <w:rPr>
          <w:b w:val="false"/>
          <w:bCs w:val="false"/>
        </w:rPr>
        <w:t xml:space="preserve">Treasury advisory</w:t>
      </w:r>
    </w:p>
    <w:p>
      <w:pPr>
        <w:pStyle w:val="ListParagraph"/>
        <w:numPr>
          <w:ilvl w:val="0"/>
          <w:numId w:val="2"/>
        </w:numPr>
        <w:spacing w:after="80"/>
      </w:pPr>
      <w:r>
        <w:rPr>
          <w:b w:val="false"/>
          <w:bCs w:val="false"/>
        </w:rPr>
        <w:t xml:space="preserve">Capital markets advisory</w:t>
      </w:r>
    </w:p>
    <w:p>
      <w:pPr>
        <w:pStyle w:val="ListParagraph"/>
        <w:numPr>
          <w:ilvl w:val="0"/>
          <w:numId w:val="2"/>
        </w:numPr>
        <w:spacing w:after="80"/>
      </w:pPr>
      <w:r>
        <w:rPr>
          <w:b w:val="false"/>
          <w:bCs w:val="false"/>
        </w:rPr>
        <w:t xml:space="preserve">Corporate finance advisory</w:t>
      </w:r>
    </w:p>
    <w:p>
      <w:pPr>
        <w:pStyle w:val="Heading2"/>
        <w:spacing w:after="100" w:before="240"/>
      </w:pPr>
      <w:r>
        <w:t xml:space="preserve">3.2 Optional Services</w:t>
      </w:r>
    </w:p>
    <w:p>
      <w:pPr>
        <w:spacing w:after="160"/>
      </w:pPr>
      <w:r>
        <w:rPr>
          <w:b w:val="false"/>
          <w:bCs w:val="false"/>
        </w:rPr>
        <w:t xml:space="preserve">Not explicitly listed in the source material. The four "specialized expertise" areas on the website (financing strategy, capital allocation, treasury technology, risk management) may function as service lines clients can engage individually, but this is not confirmed.</w:t>
      </w:r>
    </w:p>
    <w:p>
      <w:pPr>
        <w:pStyle w:val="Heading2"/>
        <w:spacing w:after="100" w:before="240"/>
      </w:pPr>
      <w:r>
        <w:t xml:space="preserve">3.3 Product Features</w:t>
      </w:r>
    </w:p>
    <w:p>
      <w:pPr>
        <w:spacing w:after="160"/>
      </w:pPr>
      <w:r>
        <w:rPr>
          <w:b w:val="false"/>
          <w:bCs w:val="false"/>
        </w:rPr>
        <w:t xml:space="preserve">Not applicable in the traditional sense — this is a services firm, not a software or physical product company. The core "feature" of the service is senior-level, hands-on advisory attention, made possible by the firm's selective client coverage model.</w:t>
      </w:r>
    </w:p>
    <w:p>
      <w:pPr>
        <w:pStyle w:val="Heading2"/>
        <w:spacing w:after="100" w:before="240"/>
      </w:pPr>
      <w:r>
        <w:t xml:space="preserve">3.4 Deliverables Clients Receive</w:t>
      </w:r>
    </w:p>
    <w:p>
      <w:pPr>
        <w:spacing w:after="160"/>
      </w:pPr>
      <w:r>
        <w:rPr>
          <w:b w:val="false"/>
          <w:bCs w:val="false"/>
        </w:rPr>
        <w:t xml:space="preserve">Not explicitly described for client engagements in the source material. Based on the internship program description (which likely mirrors how the core advisory team works), typical deliverables probably include:</w:t>
      </w:r>
    </w:p>
    <w:p>
      <w:pPr>
        <w:pStyle w:val="ListParagraph"/>
        <w:numPr>
          <w:ilvl w:val="0"/>
          <w:numId w:val="2"/>
        </w:numPr>
        <w:spacing w:after="80"/>
      </w:pPr>
      <w:r>
        <w:rPr>
          <w:b w:val="false"/>
          <w:bCs w:val="false"/>
        </w:rPr>
        <w:t xml:space="preserve">Financial analysis and models, built in Excel.</w:t>
      </w:r>
    </w:p>
    <w:p>
      <w:pPr>
        <w:pStyle w:val="ListParagraph"/>
        <w:numPr>
          <w:ilvl w:val="0"/>
          <w:numId w:val="2"/>
        </w:numPr>
        <w:spacing w:after="80"/>
      </w:pPr>
      <w:r>
        <w:rPr>
          <w:b w:val="false"/>
          <w:bCs w:val="false"/>
        </w:rPr>
        <w:t xml:space="preserve">Client presentations and market updates, built in PowerPoint.</w:t>
      </w:r>
    </w:p>
    <w:p>
      <w:pPr>
        <w:pStyle w:val="ListParagraph"/>
        <w:numPr>
          <w:ilvl w:val="0"/>
          <w:numId w:val="2"/>
        </w:numPr>
        <w:spacing w:after="80"/>
      </w:pPr>
      <w:r>
        <w:rPr>
          <w:b w:val="false"/>
          <w:bCs w:val="false"/>
        </w:rPr>
        <w:t xml:space="preserve">Advisory recommendations delivered through direct meetings.</w:t>
      </w:r>
    </w:p>
    <w:p>
      <w:pPr>
        <w:pStyle w:val="Heading2"/>
        <w:spacing w:after="100" w:before="240"/>
      </w:pPr>
      <w:r>
        <w:t xml:space="preserve">3.5 What Makes the Service Different</w:t>
      </w:r>
    </w:p>
    <w:p>
      <w:pPr>
        <w:spacing w:after="160"/>
      </w:pPr>
      <w:r>
        <w:rPr>
          <w:b w:val="false"/>
          <w:bCs w:val="false"/>
        </w:rPr>
        <w:t xml:space="preserve">Selective coverage (fewer clients, more depth), senior banker-level experience on the team (the Founder &amp; CEO previously worked at Bank of America Merrill Lynch and J.P. Morgan), and the firm's identity as a mission-driven, Black-owned investment bank.</w:t>
      </w:r>
    </w:p>
    <w:p>
      <w:pPr>
        <w:pStyle w:val="Heading1"/>
        <w:spacing w:after="160" w:before="360"/>
      </w:pPr>
      <w:r>
        <w:t xml:space="preserve">4. Customer Journey</w:t>
      </w:r>
    </w:p>
    <w:p>
      <w:pPr>
        <w:pStyle w:val="Heading2"/>
        <w:spacing w:after="100" w:before="240"/>
      </w:pPr>
      <w:r>
        <w:t xml:space="preserve">4.1 Lead Generation</w:t>
      </w:r>
    </w:p>
    <w:p>
      <w:pPr>
        <w:spacing w:after="160"/>
      </w:pPr>
      <w:r>
        <w:rPr>
          <w:b w:val="false"/>
          <w:bCs w:val="false"/>
        </w:rPr>
        <w:t xml:space="preserve">Not explicitly documented. Given the founder's background in senior investment banking roles, new client relationships most likely come from personal and professional networks rather than inbound marketing. The firm's internship/bootcamp program (see Section 5) also creates informal relationship-building opportunities, since corporate partners interact directly with the firm through that program.</w:t>
      </w:r>
    </w:p>
    <w:p>
      <w:pPr>
        <w:pStyle w:val="Heading2"/>
        <w:spacing w:after="100" w:before="240"/>
      </w:pPr>
      <w:r>
        <w:t xml:space="preserve">4.2 Lead Qualification</w:t>
      </w:r>
    </w:p>
    <w:p>
      <w:pPr>
        <w:spacing w:after="160"/>
      </w:pPr>
      <w:r>
        <w:rPr>
          <w:b w:val="false"/>
          <w:bCs w:val="false"/>
        </w:rPr>
        <w:t xml:space="preserve">Not explicitly documented. The "selective client coverage" language on the website suggests the firm is deliberately choosy about which clients it takes on, likely prioritizing fit and depth of relationship over the number of clients served.</w:t>
      </w:r>
    </w:p>
    <w:p>
      <w:pPr>
        <w:pStyle w:val="Heading2"/>
        <w:spacing w:after="100" w:before="240"/>
      </w:pPr>
      <w:r>
        <w:t xml:space="preserve">4.3 Sales Process</w:t>
      </w:r>
    </w:p>
    <w:p>
      <w:pPr>
        <w:spacing w:after="160"/>
      </w:pPr>
      <w:r>
        <w:rPr>
          <w:b w:val="false"/>
          <w:bCs w:val="false"/>
        </w:rPr>
        <w:t xml:space="preserve">Not explicitly documented. Given the advisory nature of the business, this is very likely a relationship-led process handled directly by senior team members rather than a dedicated sales team — typical for a boutique investment bank this young (founded March 2025).</w:t>
      </w:r>
    </w:p>
    <w:p>
      <w:pPr>
        <w:pStyle w:val="Heading2"/>
        <w:spacing w:after="100" w:before="240"/>
      </w:pPr>
      <w:r>
        <w:t xml:space="preserve">4.4 Onboarding Process</w:t>
      </w:r>
    </w:p>
    <w:p>
      <w:pPr>
        <w:spacing w:after="160"/>
      </w:pPr>
      <w:r>
        <w:rPr>
          <w:b w:val="false"/>
          <w:bCs w:val="false"/>
        </w:rPr>
        <w:t xml:space="preserve">Not documented in the source material.</w:t>
      </w:r>
    </w:p>
    <w:p>
      <w:pPr>
        <w:pStyle w:val="Heading2"/>
        <w:spacing w:after="100" w:before="240"/>
      </w:pPr>
      <w:r>
        <w:t xml:space="preserve">4.5 Service Delivery</w:t>
      </w:r>
    </w:p>
    <w:p>
      <w:pPr>
        <w:spacing w:after="160"/>
      </w:pPr>
      <w:r>
        <w:rPr>
          <w:b w:val="false"/>
          <w:bCs w:val="false"/>
        </w:rPr>
        <w:t xml:space="preserve">Ongoing advisory work, most likely delivered through direct meetings, financial modeling, and presentation materials, based on the tools referenced elsewhere in the source material (Excel, PowerPoint, and market research tools).</w:t>
      </w:r>
    </w:p>
    <w:p>
      <w:pPr>
        <w:pStyle w:val="Heading2"/>
        <w:spacing w:after="100" w:before="240"/>
      </w:pPr>
      <w:r>
        <w:t xml:space="preserve">4.6 Client Communication</w:t>
      </w:r>
    </w:p>
    <w:p>
      <w:pPr>
        <w:spacing w:after="160"/>
      </w:pPr>
      <w:r>
        <w:rPr>
          <w:b w:val="false"/>
          <w:bCs w:val="false"/>
        </w:rPr>
        <w:t xml:space="preserve">Not explicitly documented for the client-facing business. Meetings between bankers and clients are referenced in the internship description, suggesting direct, relationship-based communication is the norm across the firm.</w:t>
      </w:r>
    </w:p>
    <w:p>
      <w:pPr>
        <w:pStyle w:val="Heading2"/>
        <w:spacing w:after="100" w:before="240"/>
      </w:pPr>
      <w:r>
        <w:t xml:space="preserve">4.7 Retention &amp; Upselling</w:t>
      </w:r>
    </w:p>
    <w:p>
      <w:pPr>
        <w:spacing w:after="160"/>
      </w:pPr>
      <w:r>
        <w:rPr>
          <w:b w:val="false"/>
          <w:bCs w:val="false"/>
        </w:rPr>
        <w:t xml:space="preserve">Not documented. The selective coverage model implies an intent to build long-term depth with each client rather than fast turnover, but no specific retention practices are described in the source material.</w:t>
      </w:r>
    </w:p>
    <w:p>
      <w:pPr>
        <w:pStyle w:val="Heading1"/>
        <w:spacing w:after="160" w:before="360"/>
      </w:pPr>
      <w:r>
        <w:t xml:space="preserve">5. Daily Business Operations</w:t>
      </w:r>
    </w:p>
    <w:p>
      <w:pPr>
        <w:pStyle w:val="Heading2"/>
        <w:spacing w:after="100" w:before="240"/>
      </w:pPr>
      <w:r>
        <w:t xml:space="preserve">5.1 Daily Activities</w:t>
      </w:r>
    </w:p>
    <w:p>
      <w:pPr>
        <w:spacing w:after="160"/>
      </w:pPr>
      <w:r>
        <w:rPr>
          <w:b w:val="false"/>
          <w:bCs w:val="false"/>
        </w:rPr>
        <w:t xml:space="preserve">Not explicitly documented. Typical daily activities for a firm like this would likely include market and research monitoring, client communication, and financial modeling work — this is a reasonable inference, not a confirmed fact.</w:t>
      </w:r>
    </w:p>
    <w:p>
      <w:pPr>
        <w:pStyle w:val="Heading2"/>
        <w:spacing w:after="100" w:before="240"/>
      </w:pPr>
      <w:r>
        <w:t xml:space="preserve">5.2 Weekly Activities</w:t>
      </w:r>
    </w:p>
    <w:p>
      <w:pPr>
        <w:spacing w:after="160"/>
      </w:pPr>
      <w:r>
        <w:rPr>
          <w:b w:val="false"/>
          <w:bCs w:val="false"/>
        </w:rPr>
        <w:t xml:space="preserve">Not documented in the source material.</w:t>
      </w:r>
    </w:p>
    <w:p>
      <w:pPr>
        <w:pStyle w:val="Heading2"/>
        <w:spacing w:after="100" w:before="240"/>
      </w:pPr>
      <w:r>
        <w:t xml:space="preserve">5.3 Monthly Activities</w:t>
      </w:r>
    </w:p>
    <w:p>
      <w:pPr>
        <w:spacing w:after="160"/>
      </w:pPr>
      <w:r>
        <w:rPr>
          <w:b w:val="false"/>
          <w:bCs w:val="false"/>
        </w:rPr>
        <w:t xml:space="preserve">Not documented in the source material.</w:t>
      </w:r>
    </w:p>
    <w:p>
      <w:pPr>
        <w:pStyle w:val="Heading2"/>
        <w:spacing w:after="100" w:before="240"/>
      </w:pPr>
      <w:r>
        <w:t xml:space="preserve">5.4 Key Operational Workflows</w:t>
      </w:r>
    </w:p>
    <w:p>
      <w:pPr>
        <w:spacing w:after="160"/>
      </w:pPr>
      <w:r>
        <w:rPr>
          <w:b w:val="false"/>
          <w:bCs w:val="false"/>
        </w:rPr>
        <w:t xml:space="preserve">The clearest documented recurring workflow is the internship / "Bootcamp" program:</w:t>
      </w:r>
    </w:p>
    <w:p>
      <w:pPr>
        <w:pStyle w:val="ListParagraph"/>
        <w:numPr>
          <w:ilvl w:val="0"/>
          <w:numId w:val="2"/>
        </w:numPr>
        <w:spacing w:after="80"/>
      </w:pPr>
      <w:r>
        <w:rPr>
          <w:b w:val="false"/>
          <w:bCs w:val="false"/>
        </w:rPr>
        <w:t xml:space="preserve">Multiple 8-week internship sessions run throughout the year.</w:t>
      </w:r>
    </w:p>
    <w:p>
      <w:pPr>
        <w:pStyle w:val="ListParagraph"/>
        <w:numPr>
          <w:ilvl w:val="0"/>
          <w:numId w:val="2"/>
        </w:numPr>
        <w:spacing w:after="80"/>
      </w:pPr>
      <w:r>
        <w:rPr>
          <w:b w:val="false"/>
          <w:bCs w:val="false"/>
        </w:rPr>
        <w:t xml:space="preserve">Each session reportedly involves around 50 students, who analyze real companies (recent examples cited: AbbVie, Eli Lilly, and Walmart), build 5-year financial forecasts, and present their findings to senior finance professionals.</w:t>
      </w:r>
    </w:p>
    <w:p>
      <w:pPr>
        <w:pStyle w:val="ListParagraph"/>
        <w:numPr>
          <w:ilvl w:val="0"/>
          <w:numId w:val="2"/>
        </w:numPr>
        <w:spacing w:after="80"/>
      </w:pPr>
      <w:r>
        <w:rPr>
          <w:b w:val="false"/>
          <w:bCs w:val="false"/>
        </w:rPr>
        <w:t xml:space="preserve">The program brings in outside professionals — from companies including Ford Motor Company, Southern Company, Verizon, and Wells Fargo — to interact with students, which doubles as a relationship- and brand-building activity for the firm.</w:t>
      </w:r>
    </w:p>
    <w:p>
      <w:pPr>
        <w:pStyle w:val="Heading1"/>
        <w:spacing w:after="160" w:before="360"/>
      </w:pPr>
      <w:r>
        <w:t xml:space="preserve">6. Team Structure</w:t>
      </w:r>
    </w:p>
    <w:p>
      <w:pPr>
        <w:pStyle w:val="Heading2"/>
        <w:spacing w:after="100" w:before="240"/>
      </w:pPr>
      <w:r>
        <w:t xml:space="preserve">6.1 Leadership Roles</w:t>
      </w:r>
    </w:p>
    <w:p>
      <w:pPr>
        <w:spacing w:after="160"/>
      </w:pPr>
      <w:r>
        <w:rPr>
          <w:b w:val="false"/>
          <w:bCs w:val="false"/>
        </w:rPr>
        <w:t xml:space="preserve"/>
      </w:r>
      <w:r>
        <w:rPr>
          <w:b/>
          <w:bCs/>
        </w:rPr>
        <w:t xml:space="preserve">Isaac Taylor</w:t>
      </w:r>
      <w:r>
        <w:rPr>
          <w:b w:val="false"/>
          <w:bCs w:val="false"/>
        </w:rPr>
        <w:t xml:space="preserve"> — Founder &amp; CEO of Bridgeway Advisors, in the role since March 2025. Before starting the firm, he held senior finance roles including Head of Capital Markets at Independence Point Advisors, Managing Partner at New Horizon Capital Partners, Managing Director at Bank of America Merrill Lynch, and Vice President at J.P. Morgan. He is based in the Austin, Texas area.</w:t>
      </w:r>
    </w:p>
    <w:p>
      <w:pPr>
        <w:pStyle w:val="Heading2"/>
        <w:spacing w:after="100" w:before="240"/>
      </w:pPr>
      <w:r>
        <w:t xml:space="preserve">6.2 Sales Team</w:t>
      </w:r>
    </w:p>
    <w:p>
      <w:pPr>
        <w:spacing w:after="160"/>
      </w:pPr>
      <w:r>
        <w:rPr>
          <w:b w:val="false"/>
          <w:bCs w:val="false"/>
        </w:rPr>
        <w:t xml:space="preserve">No dedicated sales team is documented. Client relationships appear to be led directly by senior team members.</w:t>
      </w:r>
    </w:p>
    <w:p>
      <w:pPr>
        <w:pStyle w:val="Heading2"/>
        <w:spacing w:after="100" w:before="240"/>
      </w:pPr>
      <w:r>
        <w:t xml:space="preserve">6.3 Marketing Team</w:t>
      </w:r>
    </w:p>
    <w:p>
      <w:pPr>
        <w:spacing w:after="160"/>
      </w:pPr>
      <w:r>
        <w:rPr>
          <w:b w:val="false"/>
          <w:bCs w:val="false"/>
        </w:rPr>
        <w:t xml:space="preserve">No dedicated marketing team is documented. Two individuals — Kathryn Cassetta and Jasen Blakney — are credited by the CEO on LinkedIn as leading the firm's Spring Finance Bootcamp initiative, which functions as both a talent-pipeline and brand-building program.</w:t>
      </w:r>
    </w:p>
    <w:p>
      <w:pPr>
        <w:pStyle w:val="Heading2"/>
        <w:spacing w:after="100" w:before="240"/>
      </w:pPr>
      <w:r>
        <w:t xml:space="preserve">6.4 Operations Team</w:t>
      </w:r>
    </w:p>
    <w:p>
      <w:pPr>
        <w:spacing w:after="160"/>
      </w:pPr>
      <w:r>
        <w:rPr>
          <w:b w:val="false"/>
          <w:bCs w:val="false"/>
        </w:rPr>
        <w:t xml:space="preserve">Not documented in the source material.</w:t>
      </w:r>
    </w:p>
    <w:p>
      <w:pPr>
        <w:pStyle w:val="Heading2"/>
        <w:spacing w:after="100" w:before="240"/>
      </w:pPr>
      <w:r>
        <w:t xml:space="preserve">6.5 Technical Team</w:t>
      </w:r>
    </w:p>
    <w:p>
      <w:pPr>
        <w:spacing w:after="160"/>
      </w:pPr>
      <w:r>
        <w:rPr>
          <w:b w:val="false"/>
          <w:bCs w:val="false"/>
        </w:rPr>
        <w:t xml:space="preserve">No internal technical or web development team is documented. The firm is currently hiring an outside freelance web designer (via Upwork) to redesign its website, which suggests the internal team does not include dedicated design or development staff.</w:t>
      </w:r>
    </w:p>
    <w:p>
      <w:pPr>
        <w:pStyle w:val="Heading2"/>
        <w:spacing w:after="100" w:before="240"/>
      </w:pPr>
      <w:r>
        <w:t xml:space="preserve">6.6 Support Team</w:t>
      </w:r>
    </w:p>
    <w:p>
      <w:pPr>
        <w:spacing w:after="160"/>
      </w:pPr>
      <w:r>
        <w:rPr>
          <w:b w:val="false"/>
          <w:bCs w:val="false"/>
        </w:rPr>
        <w:t xml:space="preserve">Not documented. Given the B2B advisory nature of the business, client support is most likely handled directly by the advisory team rather than through a separate support function.</w:t>
      </w:r>
    </w:p>
    <w:p>
      <w:pPr>
        <w:spacing w:after="160"/>
      </w:pPr>
      <w:r>
        <w:rPr>
          <w:b w:val="false"/>
          <w:bCs w:val="false"/>
        </w:rPr>
        <w:t xml:space="preserve"/>
      </w:r>
      <w:r>
        <w:rPr>
          <w:b/>
          <w:bCs/>
        </w:rPr>
        <w:t xml:space="preserve">Team size note:</w:t>
      </w:r>
      <w:r>
        <w:rPr>
          <w:b w:val="false"/>
          <w:bCs w:val="false"/>
        </w:rPr>
        <w:t xml:space="preserve"> A related job posting for the company's website specifies a Team page that must show "5 team members," suggesting the firm currently has around five people in total.</w:t>
      </w:r>
    </w:p>
    <w:p>
      <w:pPr>
        <w:pStyle w:val="Heading1"/>
        <w:spacing w:after="160" w:before="360"/>
      </w:pPr>
      <w:r>
        <w:t xml:space="preserve">7. Tools and Technology</w:t>
      </w:r>
    </w:p>
    <w:p>
      <w:pPr>
        <w:pStyle w:val="Heading2"/>
        <w:spacing w:after="100" w:before="240"/>
      </w:pPr>
      <w:r>
        <w:t xml:space="preserve">7.1 CRM Systems</w:t>
      </w:r>
    </w:p>
    <w:p>
      <w:pPr>
        <w:spacing w:after="160"/>
      </w:pPr>
      <w:r>
        <w:rPr>
          <w:b w:val="false"/>
          <w:bCs w:val="false"/>
        </w:rPr>
        <w:t xml:space="preserve">Not specified in the available sources.</w:t>
      </w:r>
    </w:p>
    <w:p>
      <w:pPr>
        <w:pStyle w:val="Heading2"/>
        <w:spacing w:after="100" w:before="240"/>
      </w:pPr>
      <w:r>
        <w:t xml:space="preserve">7.2 Marketing Tools</w:t>
      </w:r>
    </w:p>
    <w:p>
      <w:pPr>
        <w:pStyle w:val="ListParagraph"/>
        <w:numPr>
          <w:ilvl w:val="0"/>
          <w:numId w:val="2"/>
        </w:numPr>
        <w:spacing w:after="80"/>
      </w:pPr>
      <w:r>
        <w:rPr>
          <w:b w:val="false"/>
          <w:bCs w:val="false"/>
        </w:rPr>
        <w:t xml:space="preserve"/>
      </w:r>
      <w:r>
        <w:rPr>
          <w:b/>
          <w:bCs/>
        </w:rPr>
        <w:t xml:space="preserve">Website platform:</w:t>
      </w:r>
      <w:r>
        <w:rPr>
          <w:b w:val="false"/>
          <w:bCs w:val="false"/>
        </w:rPr>
        <w:t xml:space="preserve"> Wix (current). The firm is actively evaluating a move to WordPress for easier long-term content management.</w:t>
      </w:r>
    </w:p>
    <w:p>
      <w:pPr>
        <w:pStyle w:val="ListParagraph"/>
        <w:numPr>
          <w:ilvl w:val="0"/>
          <w:numId w:val="2"/>
        </w:numPr>
        <w:spacing w:after="80"/>
      </w:pPr>
      <w:r>
        <w:rPr>
          <w:b w:val="false"/>
          <w:bCs w:val="false"/>
        </w:rPr>
        <w:t xml:space="preserve"/>
      </w:r>
      <w:r>
        <w:rPr>
          <w:b/>
          <w:bCs/>
        </w:rPr>
        <w:t xml:space="preserve">LinkedIn:</w:t>
      </w:r>
      <w:r>
        <w:rPr>
          <w:b w:val="false"/>
          <w:bCs w:val="false"/>
        </w:rPr>
        <w:t xml:space="preserve"> used for both the company page and the CEO's personal profile.</w:t>
      </w:r>
    </w:p>
    <w:p>
      <w:pPr>
        <w:pStyle w:val="Heading2"/>
        <w:spacing w:after="100" w:before="240"/>
      </w:pPr>
      <w:r>
        <w:t xml:space="preserve">7.3 Communication Tools</w:t>
      </w:r>
    </w:p>
    <w:p>
      <w:pPr>
        <w:spacing w:after="160"/>
      </w:pPr>
      <w:r>
        <w:rPr>
          <w:b w:val="false"/>
          <w:bCs w:val="false"/>
        </w:rPr>
        <w:t xml:space="preserve">Not specified in the available sources.</w:t>
      </w:r>
    </w:p>
    <w:p>
      <w:pPr>
        <w:pStyle w:val="Heading2"/>
        <w:spacing w:after="100" w:before="240"/>
      </w:pPr>
      <w:r>
        <w:t xml:space="preserve">7.4 Project Management Tools</w:t>
      </w:r>
    </w:p>
    <w:p>
      <w:pPr>
        <w:spacing w:after="160"/>
      </w:pPr>
      <w:r>
        <w:rPr>
          <w:b w:val="false"/>
          <w:bCs w:val="false"/>
        </w:rPr>
        <w:t xml:space="preserve">Not specified in the available sources.</w:t>
      </w:r>
    </w:p>
    <w:p>
      <w:pPr>
        <w:pStyle w:val="Heading2"/>
        <w:spacing w:after="100" w:before="240"/>
      </w:pPr>
      <w:r>
        <w:t xml:space="preserve">7.5 Internal Automation Systems</w:t>
      </w:r>
    </w:p>
    <w:p>
      <w:pPr>
        <w:spacing w:after="160"/>
      </w:pPr>
      <w:r>
        <w:rPr>
          <w:b w:val="false"/>
          <w:bCs w:val="false"/>
        </w:rPr>
        <w:t xml:space="preserve">Not specified in the available sources.</w:t>
      </w:r>
    </w:p>
    <w:p>
      <w:pPr>
        <w:pStyle w:val="Heading2"/>
        <w:spacing w:after="100" w:before="240"/>
      </w:pPr>
      <w:r>
        <w:t xml:space="preserve">7.6 Data Systems</w:t>
      </w:r>
    </w:p>
    <w:p>
      <w:pPr>
        <w:pStyle w:val="ListParagraph"/>
        <w:numPr>
          <w:ilvl w:val="0"/>
          <w:numId w:val="2"/>
        </w:numPr>
        <w:spacing w:after="80"/>
      </w:pPr>
      <w:r>
        <w:rPr>
          <w:b w:val="false"/>
          <w:bCs w:val="false"/>
        </w:rPr>
        <w:t xml:space="preserve"/>
      </w:r>
      <w:r>
        <w:rPr>
          <w:b/>
          <w:bCs/>
        </w:rPr>
        <w:t xml:space="preserve">Excel</w:t>
      </w:r>
      <w:r>
        <w:rPr>
          <w:b w:val="false"/>
          <w:bCs w:val="false"/>
        </w:rPr>
        <w:t xml:space="preserve"> — used for financial analysis and modeling.</w:t>
      </w:r>
    </w:p>
    <w:p>
      <w:pPr>
        <w:pStyle w:val="ListParagraph"/>
        <w:numPr>
          <w:ilvl w:val="0"/>
          <w:numId w:val="2"/>
        </w:numPr>
        <w:spacing w:after="80"/>
      </w:pPr>
      <w:r>
        <w:rPr>
          <w:b w:val="false"/>
          <w:bCs w:val="false"/>
        </w:rPr>
        <w:t xml:space="preserve"/>
      </w:r>
      <w:r>
        <w:rPr>
          <w:b/>
          <w:bCs/>
        </w:rPr>
        <w:t xml:space="preserve">PowerPoint</w:t>
      </w:r>
      <w:r>
        <w:rPr>
          <w:b w:val="false"/>
          <w:bCs w:val="false"/>
        </w:rPr>
        <w:t xml:space="preserve"> — used for client pitches, presentations, and market updates.</w:t>
      </w:r>
    </w:p>
    <w:p>
      <w:pPr>
        <w:pStyle w:val="ListParagraph"/>
        <w:numPr>
          <w:ilvl w:val="0"/>
          <w:numId w:val="2"/>
        </w:numPr>
        <w:spacing w:after="80"/>
      </w:pPr>
      <w:r>
        <w:rPr>
          <w:b w:val="false"/>
          <w:bCs w:val="false"/>
        </w:rPr>
        <w:t xml:space="preserve"/>
      </w:r>
      <w:r>
        <w:rPr>
          <w:b/>
          <w:bCs/>
        </w:rPr>
        <w:t xml:space="preserve">Market research tools</w:t>
      </w:r>
      <w:r>
        <w:rPr>
          <w:b w:val="false"/>
          <w:bCs w:val="false"/>
        </w:rPr>
        <w:t xml:space="preserve"> — referenced in source material as "Factset, Bloomberg?" — the question mark appeared in the original scraped data itself, suggesting this detail was not fully confirmed at the point of collection.</w:t>
      </w:r>
    </w:p>
    <w:p>
      <w:pPr>
        <w:pStyle w:val="Heading1"/>
        <w:spacing w:after="160" w:before="360"/>
      </w:pPr>
      <w:r>
        <w:t xml:space="preserve">8. Sales System (For BDRs)</w:t>
      </w:r>
    </w:p>
    <w:p>
      <w:pPr>
        <w:pStyle w:val="Heading2"/>
        <w:spacing w:after="100" w:before="240"/>
      </w:pPr>
      <w:r>
        <w:t xml:space="preserve">8.1 Lead Sources</w:t>
      </w:r>
    </w:p>
    <w:p>
      <w:pPr>
        <w:spacing w:after="160"/>
      </w:pPr>
      <w:r>
        <w:rPr>
          <w:b w:val="false"/>
          <w:bCs w:val="false"/>
        </w:rPr>
        <w:t xml:space="preserve">Not explicitly documented. The most likely sources, based on context, are the founder's professional network and relationships built through the internship/bootcamp program with corporate partners.</w:t>
      </w:r>
    </w:p>
    <w:p>
      <w:pPr>
        <w:pStyle w:val="Heading2"/>
        <w:spacing w:after="100" w:before="240"/>
      </w:pPr>
      <w:r>
        <w:t xml:space="preserve">8.2 Prospecting Methods</w:t>
      </w:r>
    </w:p>
    <w:p>
      <w:pPr>
        <w:spacing w:after="160"/>
      </w:pPr>
      <w:r>
        <w:rPr>
          <w:b w:val="false"/>
          <w:bCs w:val="false"/>
        </w:rPr>
        <w:t xml:space="preserve">Not documented. Likely direct, relationship-based outreach rather than a structured prospecting process, consistent with a founder-led boutique advisory firm.</w:t>
      </w:r>
    </w:p>
    <w:p>
      <w:pPr>
        <w:pStyle w:val="Heading2"/>
        <w:spacing w:after="100" w:before="240"/>
      </w:pPr>
      <w:r>
        <w:t xml:space="preserve">8.3 Outreach Channels</w:t>
      </w:r>
    </w:p>
    <w:p>
      <w:pPr>
        <w:spacing w:after="160"/>
      </w:pPr>
      <w:r>
        <w:rPr>
          <w:b w:val="false"/>
          <w:bCs w:val="false"/>
        </w:rPr>
        <w:t xml:space="preserve">LinkedIn appears to be the firm's main visible outreach and relationship-building channel, used by both the company page and the CEO personally.</w:t>
      </w:r>
    </w:p>
    <w:p>
      <w:pPr>
        <w:pStyle w:val="Heading2"/>
        <w:spacing w:after="100" w:before="240"/>
      </w:pPr>
      <w:r>
        <w:t xml:space="preserve">8.4 Sales Messaging</w:t>
      </w:r>
    </w:p>
    <w:p>
      <w:pPr>
        <w:spacing w:after="160"/>
      </w:pPr>
      <w:r>
        <w:rPr>
          <w:b w:val="false"/>
          <w:bCs w:val="false"/>
        </w:rPr>
        <w:t xml:space="preserve">Selective, specialized coverage; senior-level expertise; and a mission-driven, Black-owned firm identity. These themes run consistently across the website and LinkedIn content.</w:t>
      </w:r>
    </w:p>
    <w:p>
      <w:pPr>
        <w:pStyle w:val="Heading2"/>
        <w:spacing w:after="100" w:before="240"/>
      </w:pPr>
      <w:r>
        <w:t xml:space="preserve">8.5 Sales Pipeline Stages</w:t>
      </w:r>
    </w:p>
    <w:p>
      <w:pPr>
        <w:spacing w:after="160"/>
      </w:pPr>
      <w:r>
        <w:rPr>
          <w:b w:val="false"/>
          <w:bCs w:val="false"/>
        </w:rPr>
        <w:t xml:space="preserve">Not documented in the source material.</w:t>
      </w:r>
    </w:p>
    <w:p>
      <w:pPr>
        <w:pStyle w:val="Heading2"/>
        <w:spacing w:after="100" w:before="240"/>
      </w:pPr>
      <w:r>
        <w:t xml:space="preserve">8.6 Demo Process</w:t>
      </w:r>
    </w:p>
    <w:p>
      <w:pPr>
        <w:spacing w:after="160"/>
      </w:pPr>
      <w:r>
        <w:rPr>
          <w:b w:val="false"/>
          <w:bCs w:val="false"/>
        </w:rPr>
        <w:t xml:space="preserve">Not applicable — this is an advisory services firm, not a product company, so there is no product demo. An introductory capability discussion may serve a similar purpose, but this is not confirmed in the source material.</w:t>
      </w:r>
    </w:p>
    <w:p>
      <w:pPr>
        <w:pStyle w:val="Heading2"/>
        <w:spacing w:after="100" w:before="240"/>
      </w:pPr>
      <w:r>
        <w:t xml:space="preserve">8.7 Closing Process</w:t>
      </w:r>
    </w:p>
    <w:p>
      <w:pPr>
        <w:spacing w:after="160"/>
      </w:pPr>
      <w:r>
        <w:rPr>
          <w:b w:val="false"/>
          <w:bCs w:val="false"/>
        </w:rPr>
        <w:t xml:space="preserve">Not documented. Advisory engagements of this type typically close through some form of engagement letter or advisory mandate, but this specific detail is not confirmed in the source material.</w:t>
      </w:r>
    </w:p>
    <w:p>
      <w:pPr>
        <w:pStyle w:val="Heading1"/>
        <w:spacing w:after="160" w:before="360"/>
      </w:pPr>
      <w:r>
        <w:t xml:space="preserve">9. Marketing System</w:t>
      </w:r>
    </w:p>
    <w:p>
      <w:pPr>
        <w:pStyle w:val="Heading2"/>
        <w:spacing w:after="100" w:before="240"/>
      </w:pPr>
      <w:r>
        <w:t xml:space="preserve">9.1 Marketing Channels</w:t>
      </w:r>
    </w:p>
    <w:p>
      <w:pPr>
        <w:spacing w:after="160"/>
      </w:pPr>
      <w:r>
        <w:rPr>
          <w:b w:val="false"/>
          <w:bCs w:val="false"/>
        </w:rPr>
        <w:t xml:space="preserve">LinkedIn (company page and CEO's personal profile) and the company website are the two channels visible in the source material.</w:t>
      </w:r>
    </w:p>
    <w:p>
      <w:pPr>
        <w:pStyle w:val="Heading2"/>
        <w:spacing w:after="100" w:before="240"/>
      </w:pPr>
      <w:r>
        <w:t xml:space="preserve">9.2 Content Strategy</w:t>
      </w:r>
    </w:p>
    <w:p>
      <w:pPr>
        <w:spacing w:after="160"/>
      </w:pPr>
      <w:r>
        <w:rPr>
          <w:b w:val="false"/>
          <w:bCs w:val="false"/>
        </w:rPr>
        <w:t xml:space="preserve">LinkedIn content mixes three themes: (1) recaps and outcomes from the internship/bootcamp program, (2) reposts and commentary on finance industry topics and opportunities — for example, a Wells Fargo recruiting event and a Medtronic hiring post, and (3) values-driven posts, including a Martin Luther King Jr. Day post and a Warren Buffett quote about self-improvement.</w:t>
      </w:r>
    </w:p>
    <w:p>
      <w:pPr>
        <w:pStyle w:val="Heading2"/>
        <w:spacing w:after="100" w:before="240"/>
      </w:pPr>
      <w:r>
        <w:t xml:space="preserve">9.3 Advertising Strategy</w:t>
      </w:r>
    </w:p>
    <w:p>
      <w:pPr>
        <w:spacing w:after="160"/>
      </w:pPr>
      <w:r>
        <w:rPr>
          <w:b w:val="false"/>
          <w:bCs w:val="false"/>
        </w:rPr>
        <w:t xml:space="preserve">No paid advertising activity is documented in the source material.</w:t>
      </w:r>
    </w:p>
    <w:p>
      <w:pPr>
        <w:pStyle w:val="Heading2"/>
        <w:spacing w:after="100" w:before="240"/>
      </w:pPr>
      <w:r>
        <w:t xml:space="preserve">9.4 SEO Strategy</w:t>
      </w:r>
    </w:p>
    <w:p>
      <w:pPr>
        <w:spacing w:after="160"/>
      </w:pPr>
      <w:r>
        <w:rPr>
          <w:b w:val="false"/>
          <w:bCs w:val="false"/>
        </w:rPr>
        <w:t xml:space="preserve">No active content or SEO strategy is documented. The website's blog/insights section currently has no published posts, and the firm's open job posting for a website redesign specifically asks for a content section the internal team can update going forward — suggesting content marketing is currently a gap rather than a strength.</w:t>
      </w:r>
    </w:p>
    <w:p>
      <w:pPr>
        <w:pStyle w:val="Heading2"/>
        <w:spacing w:after="100" w:before="240"/>
      </w:pPr>
      <w:r>
        <w:t xml:space="preserve">9.5 Social Media Strategy</w:t>
      </w:r>
    </w:p>
    <w:p>
      <w:pPr>
        <w:spacing w:after="160"/>
      </w:pPr>
      <w:r>
        <w:rPr>
          <w:b w:val="false"/>
          <w:bCs w:val="false"/>
        </w:rPr>
        <w:t xml:space="preserve">Primarily LinkedIn-based, combining the company's official presence with the CEO's personal thought-leadership and relationship-building posts.</w:t>
      </w:r>
    </w:p>
    <w:p>
      <w:pPr>
        <w:pStyle w:val="Heading1"/>
        <w:spacing w:after="160" w:before="360"/>
      </w:pPr>
      <w:r>
        <w:t xml:space="preserve">10. Delivery System</w:t>
      </w:r>
    </w:p>
    <w:p>
      <w:pPr>
        <w:pStyle w:val="Heading2"/>
        <w:spacing w:after="100" w:before="240"/>
      </w:pPr>
      <w:r>
        <w:t xml:space="preserve">10.1 Project Kickoff</w:t>
      </w:r>
    </w:p>
    <w:p>
      <w:pPr>
        <w:spacing w:after="160"/>
      </w:pPr>
      <w:r>
        <w:rPr>
          <w:b w:val="false"/>
          <w:bCs w:val="false"/>
        </w:rPr>
        <w:t xml:space="preserve">Not documented in the source material.</w:t>
      </w:r>
    </w:p>
    <w:p>
      <w:pPr>
        <w:pStyle w:val="Heading2"/>
        <w:spacing w:after="100" w:before="240"/>
      </w:pPr>
      <w:r>
        <w:t xml:space="preserve">10.2 Task Allocation</w:t>
      </w:r>
    </w:p>
    <w:p>
      <w:pPr>
        <w:spacing w:after="160"/>
      </w:pPr>
      <w:r>
        <w:rPr>
          <w:b w:val="false"/>
          <w:bCs w:val="false"/>
        </w:rPr>
        <w:t xml:space="preserve">Not documented in the source material.</w:t>
      </w:r>
    </w:p>
    <w:p>
      <w:pPr>
        <w:pStyle w:val="Heading2"/>
        <w:spacing w:after="100" w:before="240"/>
      </w:pPr>
      <w:r>
        <w:t xml:space="preserve">10.3 Work Execution</w:t>
      </w:r>
    </w:p>
    <w:p>
      <w:pPr>
        <w:spacing w:after="160"/>
      </w:pPr>
      <w:r>
        <w:rPr>
          <w:b w:val="false"/>
          <w:bCs w:val="false"/>
        </w:rPr>
        <w:t xml:space="preserve">Based on the internship description (which likely mirrors how the core team works), execution involves financial analysis and modeling, market research, and preparing client-facing materials.</w:t>
      </w:r>
    </w:p>
    <w:p>
      <w:pPr>
        <w:pStyle w:val="Heading2"/>
        <w:spacing w:after="100" w:before="240"/>
      </w:pPr>
      <w:r>
        <w:t xml:space="preserve">10.4 Quality Control</w:t>
      </w:r>
    </w:p>
    <w:p>
      <w:pPr>
        <w:spacing w:after="160"/>
      </w:pPr>
      <w:r>
        <w:rPr>
          <w:b w:val="false"/>
          <w:bCs w:val="false"/>
        </w:rPr>
        <w:t xml:space="preserve">Not documented in the source material.</w:t>
      </w:r>
    </w:p>
    <w:p>
      <w:pPr>
        <w:pStyle w:val="Heading2"/>
        <w:spacing w:after="100" w:before="240"/>
      </w:pPr>
      <w:r>
        <w:t xml:space="preserve">10.5 Final Delivery</w:t>
      </w:r>
    </w:p>
    <w:p>
      <w:pPr>
        <w:spacing w:after="160"/>
      </w:pPr>
      <w:r>
        <w:rPr>
          <w:b w:val="false"/>
          <w:bCs w:val="false"/>
        </w:rPr>
        <w:t xml:space="preserve">Likely delivered through direct meetings and presentation materials (PowerPoint), based on patterns elsewhere in the source material. Not explicitly confirmed for client engagements specifically.</w:t>
      </w:r>
    </w:p>
    <w:p>
      <w:pPr>
        <w:pStyle w:val="Heading1"/>
        <w:spacing w:after="160" w:before="360"/>
      </w:pPr>
      <w:r>
        <w:t xml:space="preserve">11. Customer Success</w:t>
      </w:r>
    </w:p>
    <w:p>
      <w:pPr>
        <w:pStyle w:val="Heading2"/>
        <w:spacing w:after="100" w:before="240"/>
      </w:pPr>
      <w:r>
        <w:t xml:space="preserve">11.1 Client Communication</w:t>
      </w:r>
    </w:p>
    <w:p>
      <w:pPr>
        <w:spacing w:after="160"/>
      </w:pPr>
      <w:r>
        <w:rPr>
          <w:b w:val="false"/>
          <w:bCs w:val="false"/>
        </w:rPr>
        <w:t xml:space="preserve">Direct, relationship-based communication led by senior team members appears to be the norm, based on references to bankers meeting directly with clients.</w:t>
      </w:r>
    </w:p>
    <w:p>
      <w:pPr>
        <w:pStyle w:val="Heading2"/>
        <w:spacing w:after="100" w:before="240"/>
      </w:pPr>
      <w:r>
        <w:t xml:space="preserve">11.2 Support Channels</w:t>
      </w:r>
    </w:p>
    <w:p>
      <w:pPr>
        <w:spacing w:after="160"/>
      </w:pPr>
      <w:r>
        <w:rPr>
          <w:b w:val="false"/>
          <w:bCs w:val="false"/>
        </w:rPr>
        <w:t xml:space="preserve">Not documented. No dedicated support function is described in the source material.</w:t>
      </w:r>
    </w:p>
    <w:p>
      <w:pPr>
        <w:pStyle w:val="Heading2"/>
        <w:spacing w:after="100" w:before="240"/>
      </w:pPr>
      <w:r>
        <w:t xml:space="preserve">11.3 Issue Resolution</w:t>
      </w:r>
    </w:p>
    <w:p>
      <w:pPr>
        <w:spacing w:after="160"/>
      </w:pPr>
      <w:r>
        <w:rPr>
          <w:b w:val="false"/>
          <w:bCs w:val="false"/>
        </w:rPr>
        <w:t xml:space="preserve">Not documented in the source material.</w:t>
      </w:r>
    </w:p>
    <w:p>
      <w:pPr>
        <w:pStyle w:val="Heading2"/>
        <w:spacing w:after="100" w:before="240"/>
      </w:pPr>
      <w:r>
        <w:t xml:space="preserve">11.4 Long-Term Account Management</w:t>
      </w:r>
    </w:p>
    <w:p>
      <w:pPr>
        <w:spacing w:after="160"/>
      </w:pPr>
      <w:r>
        <w:rPr>
          <w:b w:val="false"/>
          <w:bCs w:val="false"/>
        </w:rPr>
        <w:t xml:space="preserve">Not explicitly documented. The firm's "selective coverage" model suggests an intent to manage a small number of accounts deeply over time, rather than a high-volume account management structure.</w:t>
      </w:r>
    </w:p>
    <w:p>
      <w:pPr>
        <w:pStyle w:val="Heading1"/>
        <w:spacing w:after="160" w:before="360"/>
      </w:pPr>
      <w:r>
        <w:t xml:space="preserve">12. Key Metrics</w:t>
      </w:r>
    </w:p>
    <w:p>
      <w:pPr>
        <w:pStyle w:val="Heading2"/>
        <w:spacing w:after="100" w:before="240"/>
      </w:pPr>
      <w:r>
        <w:t xml:space="preserve">12.1 Sales Metrics</w:t>
      </w:r>
    </w:p>
    <w:p>
      <w:pPr>
        <w:spacing w:after="160"/>
      </w:pPr>
      <w:r>
        <w:rPr>
          <w:b w:val="false"/>
          <w:bCs w:val="false"/>
        </w:rPr>
        <w:t xml:space="preserve">Not documented in the source material.</w:t>
      </w:r>
    </w:p>
    <w:p>
      <w:pPr>
        <w:pStyle w:val="Heading2"/>
        <w:spacing w:after="100" w:before="240"/>
      </w:pPr>
      <w:r>
        <w:t xml:space="preserve">12.2 Marketing Metrics</w:t>
      </w:r>
    </w:p>
    <w:p>
      <w:pPr>
        <w:spacing w:after="160"/>
      </w:pPr>
      <w:r>
        <w:rPr>
          <w:b w:val="false"/>
          <w:bCs w:val="false"/>
        </w:rPr>
        <w:t xml:space="preserve">The only concrete metric available is LinkedIn company page followers: 753 (as of the last scrape).</w:t>
      </w:r>
    </w:p>
    <w:p>
      <w:pPr>
        <w:pStyle w:val="Heading2"/>
        <w:spacing w:after="100" w:before="240"/>
      </w:pPr>
      <w:r>
        <w:t xml:space="preserve">12.3 Operational Metrics</w:t>
      </w:r>
    </w:p>
    <w:p>
      <w:pPr>
        <w:spacing w:after="160"/>
      </w:pPr>
      <w:r>
        <w:rPr>
          <w:b w:val="false"/>
          <w:bCs w:val="false"/>
        </w:rPr>
        <w:t xml:space="preserve">Not documented for the core advisory business. For the internship program specifically: roughly 50 students per session, multiple 8-week sessions run per year, and a stated goal of creating 1,000 opportunities for underrepresented entry-level finance professionals.</w:t>
      </w:r>
    </w:p>
    <w:p>
      <w:pPr>
        <w:pStyle w:val="Heading2"/>
        <w:spacing w:after="100" w:before="240"/>
      </w:pPr>
      <w:r>
        <w:t xml:space="preserve">12.4 Customer Success Metrics</w:t>
      </w:r>
    </w:p>
    <w:p>
      <w:pPr>
        <w:spacing w:after="160"/>
      </w:pPr>
      <w:r>
        <w:rPr>
          <w:b w:val="false"/>
          <w:bCs w:val="false"/>
        </w:rPr>
        <w:t xml:space="preserve">Not documented in the source material.</w:t>
      </w:r>
    </w:p>
    <w:p>
      <w:pPr>
        <w:pStyle w:val="Heading1"/>
        <w:spacing w:after="160" w:before="360"/>
      </w:pPr>
      <w:r>
        <w:t xml:space="preserve">13. Opportunities for B2B Service Providers</w:t>
      </w:r>
    </w:p>
    <w:p>
      <w:pPr>
        <w:pStyle w:val="Heading2"/>
        <w:spacing w:after="100" w:before="240"/>
      </w:pPr>
      <w:r>
        <w:t xml:space="preserve">13.1 Sales Partnerships</w:t>
      </w:r>
    </w:p>
    <w:p>
      <w:pPr>
        <w:spacing w:after="160"/>
      </w:pPr>
      <w:r>
        <w:rPr>
          <w:b w:val="false"/>
          <w:bCs w:val="false"/>
        </w:rPr>
        <w:t xml:space="preserve">Business development currently appears to be entirely relationship-led by the founder. A firm this size and this new (founded March 2025) could benefit from outside support in building a repeatable business development process as it grows.</w:t>
      </w:r>
    </w:p>
    <w:p>
      <w:pPr>
        <w:pStyle w:val="Heading2"/>
        <w:spacing w:after="100" w:before="240"/>
      </w:pPr>
      <w:r>
        <w:t xml:space="preserve">13.2 Marketing Partnerships</w:t>
      </w:r>
    </w:p>
    <w:p>
      <w:pPr>
        <w:spacing w:after="160"/>
      </w:pPr>
      <w:r>
        <w:rPr>
          <w:b w:val="false"/>
          <w:bCs w:val="false"/>
        </w:rPr>
        <w:t xml:space="preserve">This is the clearest, most concrete opportunity visible in the source material. The company's blog has zero published posts, there is no SEO or content strategy documented, and the firm is actively hiring (via Upwork) for a full website redesign. A marketing agency or consultant could help build out ongoing content, SEO, and a stronger LinkedIn content cadence.</w:t>
      </w:r>
    </w:p>
    <w:p>
      <w:pPr>
        <w:pStyle w:val="Heading2"/>
        <w:spacing w:after="100" w:before="240"/>
      </w:pPr>
      <w:r>
        <w:t xml:space="preserve">13.3 Technology Integrations</w:t>
      </w:r>
    </w:p>
    <w:p>
      <w:pPr>
        <w:spacing w:after="160"/>
      </w:pPr>
      <w:r>
        <w:rPr>
          <w:b w:val="false"/>
          <w:bCs w:val="false"/>
        </w:rPr>
        <w:t xml:space="preserve">The firm is actively evaluating a move from Wix to WordPress. No CRM or project management tools are referenced anywhere in the source material, which may represent a gap worth exploring directly with the firm.</w:t>
      </w:r>
    </w:p>
    <w:p>
      <w:pPr>
        <w:pStyle w:val="Heading2"/>
        <w:spacing w:after="100" w:before="240"/>
      </w:pPr>
      <w:r>
        <w:t xml:space="preserve">13.4 Outsourcing Opportunities</w:t>
      </w:r>
    </w:p>
    <w:p>
      <w:pPr>
        <w:pStyle w:val="ListParagraph"/>
        <w:numPr>
          <w:ilvl w:val="0"/>
          <w:numId w:val="2"/>
        </w:numPr>
        <w:spacing w:after="80"/>
      </w:pPr>
      <w:r>
        <w:rPr>
          <w:b w:val="false"/>
          <w:bCs w:val="false"/>
        </w:rPr>
        <w:t xml:space="preserve">Website design and development (there is a live, open job posting for this).</w:t>
      </w:r>
    </w:p>
    <w:p>
      <w:pPr>
        <w:pStyle w:val="ListParagraph"/>
        <w:numPr>
          <w:ilvl w:val="0"/>
          <w:numId w:val="2"/>
        </w:numPr>
        <w:spacing w:after="80"/>
      </w:pPr>
      <w:r>
        <w:rPr>
          <w:b w:val="false"/>
          <w:bCs w:val="false"/>
        </w:rPr>
        <w:t xml:space="preserve">Content creation and SEO support (tied to the empty blog and content section).</w:t>
      </w:r>
    </w:p>
    <w:p>
      <w:pPr>
        <w:pStyle w:val="ListParagraph"/>
        <w:numPr>
          <w:ilvl w:val="0"/>
          <w:numId w:val="2"/>
        </w:numPr>
        <w:spacing w:after="80"/>
      </w:pPr>
      <w:r>
        <w:rPr>
          <w:b w:val="false"/>
          <w:bCs w:val="false"/>
        </w:rPr>
        <w:t xml:space="preserve">Given the firm's small size (around 5 people), it may also be open to outsourcing operational or administrative functions, though this is not confirmed in the source material.</w:t>
      </w:r>
    </w:p>
    <w:p>
      <w:pPr>
        <w:pStyle w:val="Heading1"/>
        <w:spacing w:after="160" w:before="360"/>
      </w:pPr>
      <w:r>
        <w:t xml:space="preserve">14. Summary of Business Operations</w:t>
      </w:r>
    </w:p>
    <w:p>
      <w:pPr>
        <w:spacing w:after="160"/>
      </w:pPr>
      <w:r>
        <w:rPr>
          <w:b w:val="false"/>
          <w:bCs w:val="false"/>
        </w:rPr>
        <w:t xml:space="preserve">Bridgeway Advisors is a young, founder-led boutique investment bank founded in March 2025, based in the Austin, Texas area, with a presence in New York City. It advises large ("Fortune 500") companies on treasury, capital markets, and corporate finance topics — helping them think through financing strategy, capital allocation, treasury technology, and risk management. The firm positions itself around a "selective coverage" model: it intentionally works with fewer clients so it can go deeper with each one, and it markets itself as a mission-driven, Black-owned investment bank.</w:t>
      </w:r>
    </w:p>
    <w:p>
      <w:pPr>
        <w:spacing w:after="160"/>
      </w:pPr>
      <w:r>
        <w:rPr>
          <w:b w:val="false"/>
          <w:bCs w:val="false"/>
        </w:rPr>
        <w:t xml:space="preserve">The business is small — likely around five people — led by Founder &amp; CEO Isaac Taylor, a former senior banker at firms including J.P. Morgan and Bank of America Merrill Lynch. There is no dedicated sales, marketing, or technical team visible in the source material; business development appears to be relationship-led, and the firm is currently outsourcing its website redesign to a freelance web designer.</w:t>
      </w:r>
    </w:p>
    <w:p>
      <w:pPr>
        <w:spacing w:after="160"/>
      </w:pPr>
      <w:r>
        <w:rPr>
          <w:b w:val="false"/>
          <w:bCs w:val="false"/>
        </w:rPr>
        <w:t xml:space="preserve">A standout feature of the business is its internship/bootcamp program, which runs multiple sessions a year, trains around 50 students per cohort in financial analysis and modeling, and connects the firm with corporate partners (companies like Wells Fargo and Ford Motor Company) — serving as both a talent pipeline and an informal relationship-building and branding tool.</w:t>
      </w:r>
    </w:p>
    <w:p>
      <w:pPr>
        <w:spacing w:after="160"/>
      </w:pPr>
      <w:r>
        <w:rPr>
          <w:b w:val="false"/>
          <w:bCs w:val="false"/>
        </w:rPr>
        <w:t xml:space="preserve">For an outside B2B partner, the clearest opportunities are in marketing and content (the company's blog is empty and it has no documented SEO strategy), website and technology support (an active project is already underway), and — as the firm matures past its first year — help building a more structured, repeatable sales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b/>
      <w:bCs/>
      <w:color w:val="1F3864"/>
      <w:sz w:val="30"/>
      <w:szCs w:val="30"/>
    </w:rPr>
  </w:style>
  <w:style w:type="paragraph" w:styleId="Heading2">
    <w:name w:val="Heading 2"/>
    <w:basedOn w:val="Normal"/>
    <w:next w:val="Normal"/>
    <w:qFormat/>
    <w:pPr>
      <w:spacing w:after="10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2026-07-01T09:28:47.368Z</dcterms:created>
  <dcterms:modified xsi:type="dcterms:W3CDTF">2026-07-01T09:28:47.369Z</dcterms:modified>
</cp:coreProperties>
</file>

<file path=docProps/custom.xml><?xml version="1.0" encoding="utf-8"?>
<Properties xmlns="http://schemas.openxmlformats.org/officeDocument/2006/custom-properties" xmlns:vt="http://schemas.openxmlformats.org/officeDocument/2006/docPropsVTypes"/>
</file>