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rial" w:hAnsi="Arial" w:cs="Arial"/>
          <w:b/>
          <w:i w:val="0"/>
          <w:color w:val="1A3A5C"/>
          <w:sz w:val="36"/>
        </w:rPr>
        <w:t>Washington Smiles — First Video</w:t>
      </w:r>
    </w:p>
    <w:p>
      <w:pPr>
        <w:spacing w:after="0"/>
      </w:pPr>
      <w:r>
        <w:rPr>
          <w:rFonts w:ascii="Arial" w:hAnsi="Arial" w:cs="Arial"/>
          <w:b w:val="0"/>
          <w:i w:val="0"/>
          <w:color w:val="888888"/>
          <w:sz w:val="22"/>
        </w:rPr>
        <w:t>Dev8X First-Touch Script — 2–3 Minute Recording</w:t>
      </w:r>
    </w:p>
    <w:p>
      <w:pPr>
        <w:spacing w:after="120"/>
      </w:pPr>
      <w:r>
        <w:rPr>
          <w:rFonts w:ascii="Arial" w:hAnsi="Arial" w:cs="Arial"/>
          <w:b w:val="0"/>
          <w:i w:val="0"/>
          <w:color w:val="888888"/>
          <w:sz w:val="22"/>
        </w:rPr>
        <w:t>Abdul  |  June 2026</w:t>
      </w:r>
    </w:p>
    <w:p>
      <w:pPr>
        <w:spacing w:before="40" w:after="120"/>
        <w:pBdr>
          <w:bottom w:val="single" w:sz="6" w:space="1" w:color="cbd5e1"/>
        </w:pBdr>
      </w:pPr>
    </w:p>
    <w:p>
      <w:pPr>
        <w:spacing w:after="200"/>
      </w:pPr>
      <w:r>
        <w:rPr>
          <w:rFonts w:ascii="Arial" w:hAnsi="Arial" w:cs="Arial"/>
          <w:b/>
          <w:i w:val="0"/>
          <w:color w:val="1A3A5C"/>
          <w:sz w:val="22"/>
        </w:rPr>
        <w:t xml:space="preserve">Prospect: </w:t>
      </w:r>
      <w:r>
        <w:rPr>
          <w:rFonts w:ascii="Arial" w:hAnsi="Arial" w:cs="Arial"/>
          <w:b w:val="0"/>
          <w:i w:val="0"/>
          <w:color w:val="1E293B"/>
          <w:sz w:val="22"/>
        </w:rPr>
        <w:t xml:space="preserve">Dr. Melissa Smith, CEO — Integrity Dental Group (Washington Smiles).  </w:t>
      </w:r>
      <w:r>
        <w:rPr>
          <w:rFonts w:ascii="Arial" w:hAnsi="Arial" w:cs="Arial"/>
          <w:b/>
          <w:i w:val="0"/>
          <w:color w:val="1A3A5C"/>
          <w:sz w:val="22"/>
        </w:rPr>
        <w:t xml:space="preserve">Format: </w:t>
      </w:r>
      <w:r>
        <w:rPr>
          <w:rFonts w:ascii="Arial" w:hAnsi="Arial" w:cs="Arial"/>
          <w:b w:val="0"/>
          <w:i w:val="0"/>
          <w:color w:val="1E293B"/>
          <w:sz w:val="22"/>
        </w:rPr>
        <w:t>Screen-recorded walkthrough of the Decision Safety Brief, read aloud in first person. Sent as the first direct message after the LinkedIn connection is accepted.</w:t>
      </w:r>
    </w:p>
    <w:p>
      <w:pPr>
        <w:spacing w:before="80" w:after="40"/>
      </w:pPr>
      <w:r>
        <w:rPr>
          <w:rFonts w:ascii="Arial" w:hAnsi="Arial" w:cs="Arial"/>
          <w:b/>
          <w:i w:val="0"/>
          <w:color w:val="1A3A5C"/>
          <w:sz w:val="30"/>
        </w:rPr>
        <w:t>PART A — The First Video Script</w:t>
      </w:r>
    </w:p>
    <w:p>
      <w:pPr>
        <w:spacing w:after="200"/>
      </w:pPr>
      <w:r>
        <w:rPr>
          <w:rFonts w:ascii="Arial" w:hAnsi="Arial" w:cs="Arial"/>
          <w:b w:val="0"/>
          <w:i/>
          <w:color w:val="888888"/>
          <w:sz w:val="19"/>
        </w:rPr>
        <w:t>Target: ~375 spoken words (2–3 min). Narrate only the problem, research-transparency, and future-risk surfaces. Do not mention solutions, ROI, build, or any price — the paid session is offered only in Part B, after she replies.</w:t>
      </w:r>
    </w:p>
    <w:p>
      <w:pPr>
        <w:spacing w:before="240" w:after="0"/>
      </w:pPr>
      <w:r>
        <w:rPr>
          <w:rFonts w:ascii="Arial" w:hAnsi="Arial" w:cs="Arial"/>
          <w:b/>
          <w:i w:val="0"/>
          <w:color w:val="1A3A5C"/>
          <w:sz w:val="25"/>
        </w:rPr>
        <w:t>BEAT 1 — Cold Open: name her exact bottleneck</w:t>
      </w:r>
    </w:p>
    <w:p>
      <w:pPr>
        <w:spacing w:after="80"/>
      </w:pPr>
      <w:r>
        <w:rPr>
          <w:rFonts w:ascii="Arial" w:hAnsi="Arial" w:cs="Arial"/>
          <w:b w:val="0"/>
          <w:i/>
          <w:color w:val="888888"/>
          <w:sz w:val="19"/>
        </w:rPr>
        <w:t>First 20 seconds — open inside her problem, no introduction.</w:t>
      </w:r>
    </w:p>
    <w:p>
      <w:pPr>
        <w:spacing w:before="200" w:after="40"/>
      </w:pPr>
      <w:r>
        <w:rPr>
          <w:rFonts w:ascii="Courier New" w:hAnsi="Courier New" w:cs="Courier New"/>
          <w:b/>
          <w:i w:val="0"/>
          <w:color w:val="888888"/>
          <w:sz w:val="20"/>
        </w:rPr>
        <w:t>⏱ TIMING: 0:00</w:t>
      </w:r>
    </w:p>
    <w:p>
      <w:pPr>
        <w:shd w:val="clear" w:color="auto" w:fill="ddeeff"/>
        <w:spacing w:after="160"/>
      </w:pPr>
      <w:r>
        <w:rPr>
          <w:rFonts w:ascii="Arial" w:hAnsi="Arial" w:cs="Arial"/>
          <w:b/>
          <w:i w:val="0"/>
          <w:color w:val="1A3A5C"/>
          <w:sz w:val="22"/>
        </w:rPr>
        <w:t xml:space="preserve">🖥 SCREEN: </w:t>
      </w:r>
      <w:r>
        <w:rPr>
          <w:rFonts w:ascii="Arial" w:hAnsi="Arial" w:cs="Arial"/>
          <w:b w:val="0"/>
          <w:i w:val="0"/>
          <w:color w:val="1E293B"/>
          <w:sz w:val="22"/>
        </w:rPr>
        <w:t>The hero of the brief — the bottleneck headline, “Five locations are scaling faster than the systems that run them.”</w:t>
      </w:r>
    </w:p>
    <w:p>
      <w:pPr>
        <w:spacing w:line="360" w:lineRule="auto" w:after="160"/>
        <w:ind w:left="360"/>
      </w:pPr>
      <w:r>
        <w:rPr>
          <w:rFonts w:ascii="Arial" w:hAnsi="Arial" w:cs="Arial"/>
          <w:b/>
          <w:i w:val="0"/>
          <w:color w:val="1A3A5C"/>
          <w:sz w:val="22"/>
        </w:rPr>
        <w:t xml:space="preserve">🎙 SPEAK: </w:t>
      </w:r>
      <w:r>
        <w:rPr>
          <w:rFonts w:ascii="Arial" w:hAnsi="Arial" w:cs="Arial"/>
          <w:b w:val="0"/>
          <w:i w:val="0"/>
          <w:color w:val="1E293B"/>
          <w:sz w:val="22"/>
        </w:rPr>
        <w:t>“You’re running five dental offices, and the system holding them together is still a playbook in a document and scorecards you’re filling in by hand. I can tell because you’ve written about building it yourself — pillar by pillar, office by office.”</w:t>
      </w:r>
    </w:p>
    <w:p>
      <w:pPr>
        <w:spacing w:before="240" w:after="0"/>
      </w:pPr>
      <w:r>
        <w:rPr>
          <w:rFonts w:ascii="Arial" w:hAnsi="Arial" w:cs="Arial"/>
          <w:b/>
          <w:i w:val="0"/>
          <w:color w:val="1A3A5C"/>
          <w:sz w:val="25"/>
        </w:rPr>
        <w:t>BEAT 2 — The Homework: her real problems, in her words</w:t>
      </w:r>
    </w:p>
    <w:p>
      <w:pPr>
        <w:spacing w:after="80"/>
      </w:pPr>
      <w:r>
        <w:rPr>
          <w:rFonts w:ascii="Arial" w:hAnsi="Arial" w:cs="Arial"/>
          <w:b w:val="0"/>
          <w:i/>
          <w:color w:val="888888"/>
          <w:sz w:val="19"/>
        </w:rPr>
        <w:t>Prove this is not a template — everything is visible from the outside.</w:t>
      </w:r>
    </w:p>
    <w:p>
      <w:pPr>
        <w:spacing w:before="200" w:after="40"/>
      </w:pPr>
      <w:r>
        <w:rPr>
          <w:rFonts w:ascii="Courier New" w:hAnsi="Courier New" w:cs="Courier New"/>
          <w:b/>
          <w:i w:val="0"/>
          <w:color w:val="888888"/>
          <w:sz w:val="20"/>
        </w:rPr>
        <w:t>⏱ TIMING: ~0:20</w:t>
      </w:r>
    </w:p>
    <w:p>
      <w:pPr>
        <w:shd w:val="clear" w:color="auto" w:fill="d4f4e3"/>
        <w:spacing w:after="160"/>
      </w:pPr>
      <w:r>
        <w:rPr>
          <w:rFonts w:ascii="Arial" w:hAnsi="Arial" w:cs="Arial"/>
          <w:b/>
          <w:i w:val="0"/>
          <w:color w:val="1A3A5C"/>
          <w:sz w:val="22"/>
        </w:rPr>
        <w:t xml:space="preserve">👆 ACTION: </w:t>
      </w:r>
      <w:r>
        <w:rPr>
          <w:rFonts w:ascii="Arial" w:hAnsi="Arial" w:cs="Arial"/>
          <w:b w:val="0"/>
          <w:i w:val="0"/>
          <w:color w:val="1E293B"/>
          <w:sz w:val="22"/>
        </w:rPr>
        <w:t>Scroll slowly down the Current Problem Register table, pausing on each row.</w:t>
      </w:r>
    </w:p>
    <w:p>
      <w:pPr>
        <w:shd w:val="clear" w:color="auto" w:fill="ddeeff"/>
        <w:spacing w:after="160"/>
      </w:pPr>
      <w:r>
        <w:rPr>
          <w:rFonts w:ascii="Arial" w:hAnsi="Arial" w:cs="Arial"/>
          <w:b/>
          <w:i w:val="0"/>
          <w:color w:val="1A3A5C"/>
          <w:sz w:val="22"/>
        </w:rPr>
        <w:t xml:space="preserve">🖥 SCREEN: </w:t>
      </w:r>
      <w:r>
        <w:rPr>
          <w:rFonts w:ascii="Arial" w:hAnsi="Arial" w:cs="Arial"/>
          <w:b w:val="0"/>
          <w:i w:val="0"/>
          <w:color w:val="1E293B"/>
          <w:sz w:val="22"/>
        </w:rPr>
        <w:t>The current-state problem table.</w:t>
      </w:r>
    </w:p>
    <w:p>
      <w:pPr>
        <w:spacing w:line="360" w:lineRule="auto" w:after="160"/>
        <w:ind w:left="360"/>
      </w:pPr>
      <w:r>
        <w:rPr>
          <w:rFonts w:ascii="Arial" w:hAnsi="Arial" w:cs="Arial"/>
          <w:b/>
          <w:i w:val="0"/>
          <w:color w:val="1A3A5C"/>
          <w:sz w:val="22"/>
        </w:rPr>
        <w:t xml:space="preserve">🎙 SPEAK: </w:t>
      </w:r>
      <w:r>
        <w:rPr>
          <w:rFonts w:ascii="Arial" w:hAnsi="Arial" w:cs="Arial"/>
          <w:b w:val="0"/>
          <w:i w:val="0"/>
          <w:color w:val="1E293B"/>
          <w:sz w:val="22"/>
        </w:rPr>
        <w:t>“None of what’s on this screen is a guess — it’s all from your own posts. You said you want productive scheduling, not just busy scheduling — balancing provider time and procedure mix, cutting the gaps and last-minute cancellations. You said a healthy practice isn’t just about what you produce, it’s about what you collect — and that collections and insurance follow-up still run on accountability, not automation. You wrote that ‘bottleneck’ wasn’t in your vocabulary two weeks ago, and now it’s everywhere. And the scorecards that tell you how each office is doing — you’re still building those by hand.”</w:t>
      </w:r>
    </w:p>
    <w:p>
      <w:pPr>
        <w:spacing w:before="240" w:after="0"/>
      </w:pPr>
      <w:r>
        <w:rPr>
          <w:rFonts w:ascii="Arial" w:hAnsi="Arial" w:cs="Arial"/>
          <w:b/>
          <w:i w:val="0"/>
          <w:color w:val="1A3A5C"/>
          <w:sz w:val="25"/>
        </w:rPr>
        <w:t>BEAT 3 — The Honest Limit: the Trust beat and the bridge to paid</w:t>
      </w:r>
    </w:p>
    <w:p>
      <w:pPr>
        <w:spacing w:after="80"/>
      </w:pPr>
      <w:r>
        <w:rPr>
          <w:rFonts w:ascii="Arial" w:hAnsi="Arial" w:cs="Arial"/>
          <w:b w:val="0"/>
          <w:i/>
          <w:color w:val="888888"/>
          <w:sz w:val="19"/>
        </w:rPr>
        <w:t>The most important beat — be straight about what outside research can and can’t see.</w:t>
      </w:r>
    </w:p>
    <w:p>
      <w:pPr>
        <w:spacing w:before="200" w:after="40"/>
      </w:pPr>
      <w:r>
        <w:rPr>
          <w:rFonts w:ascii="Courier New" w:hAnsi="Courier New" w:cs="Courier New"/>
          <w:b/>
          <w:i w:val="0"/>
          <w:color w:val="888888"/>
          <w:sz w:val="20"/>
        </w:rPr>
        <w:t>⏱ TIMING: ~1:00</w:t>
      </w:r>
    </w:p>
    <w:p>
      <w:pPr>
        <w:shd w:val="clear" w:color="auto" w:fill="ddeeff"/>
        <w:spacing w:after="160"/>
      </w:pPr>
      <w:r>
        <w:rPr>
          <w:rFonts w:ascii="Arial" w:hAnsi="Arial" w:cs="Arial"/>
          <w:b/>
          <w:i w:val="0"/>
          <w:color w:val="1A3A5C"/>
          <w:sz w:val="22"/>
        </w:rPr>
        <w:t xml:space="preserve">🖥 SCREEN: </w:t>
      </w:r>
      <w:r>
        <w:rPr>
          <w:rFonts w:ascii="Arial" w:hAnsi="Arial" w:cs="Arial"/>
          <w:b w:val="0"/>
          <w:i w:val="0"/>
          <w:color w:val="1E293B"/>
          <w:sz w:val="22"/>
        </w:rPr>
        <w:t>The Research Transparency table — what we can see vs. what we’d like to confirm.</w:t>
      </w:r>
    </w:p>
    <w:p>
      <w:pPr>
        <w:spacing w:line="360" w:lineRule="auto" w:after="160"/>
        <w:ind w:left="360"/>
      </w:pPr>
      <w:r>
        <w:rPr>
          <w:rFonts w:ascii="Arial" w:hAnsi="Arial" w:cs="Arial"/>
          <w:b/>
          <w:i w:val="0"/>
          <w:color w:val="1A3A5C"/>
          <w:sz w:val="22"/>
        </w:rPr>
        <w:t xml:space="preserve">🎙 SPEAK: </w:t>
      </w:r>
      <w:r>
        <w:rPr>
          <w:rFonts w:ascii="Arial" w:hAnsi="Arial" w:cs="Arial"/>
          <w:b w:val="0"/>
          <w:i w:val="0"/>
          <w:color w:val="1E293B"/>
          <w:sz w:val="22"/>
        </w:rPr>
        <w:t>“Here’s the honest limit of what I can do from the outside. I can see the shape of the problem — five offices, a manual playbook, no shared system pulling them together. What I can’t see yet are the three numbers that actually matter: how many hours a week each office manager loses to scheduling, collections, and reporting; what your production-to-collections rate looks like office by office; and your real no-show rate. Those blind spots aren’t a footnote — that’s exactly where the money is, and they’d be the first thing we’d map together.”</w:t>
      </w:r>
    </w:p>
    <w:p>
      <w:pPr>
        <w:spacing w:before="240" w:after="0"/>
      </w:pPr>
      <w:r>
        <w:rPr>
          <w:rFonts w:ascii="Arial" w:hAnsi="Arial" w:cs="Arial"/>
          <w:b/>
          <w:i w:val="0"/>
          <w:color w:val="1A3A5C"/>
          <w:sz w:val="25"/>
        </w:rPr>
        <w:t>BEAT 4 — The Stakes Number + the Regret Gap</w:t>
      </w:r>
    </w:p>
    <w:p>
      <w:pPr>
        <w:spacing w:after="80"/>
      </w:pPr>
      <w:r>
        <w:rPr>
          <w:rFonts w:ascii="Arial" w:hAnsi="Arial" w:cs="Arial"/>
          <w:b w:val="0"/>
          <w:i/>
          <w:color w:val="888888"/>
          <w:sz w:val="19"/>
        </w:rPr>
        <w:t>Make the cost real, then point it at her own stated ambition. Pressure the goal, never the person.</w:t>
      </w:r>
    </w:p>
    <w:p>
      <w:pPr>
        <w:spacing w:before="200" w:after="40"/>
      </w:pPr>
      <w:r>
        <w:rPr>
          <w:rFonts w:ascii="Courier New" w:hAnsi="Courier New" w:cs="Courier New"/>
          <w:b/>
          <w:i w:val="0"/>
          <w:color w:val="888888"/>
          <w:sz w:val="20"/>
        </w:rPr>
        <w:t>⏱ TIMING: ~1:40</w:t>
      </w:r>
    </w:p>
    <w:p>
      <w:pPr>
        <w:shd w:val="clear" w:color="auto" w:fill="ddeeff"/>
        <w:spacing w:after="160"/>
      </w:pPr>
      <w:r>
        <w:rPr>
          <w:rFonts w:ascii="Arial" w:hAnsi="Arial" w:cs="Arial"/>
          <w:b/>
          <w:i w:val="0"/>
          <w:color w:val="1A3A5C"/>
          <w:sz w:val="22"/>
        </w:rPr>
        <w:t xml:space="preserve">🖥 SCREEN: </w:t>
      </w:r>
      <w:r>
        <w:rPr>
          <w:rFonts w:ascii="Arial" w:hAnsi="Arial" w:cs="Arial"/>
          <w:b w:val="0"/>
          <w:i w:val="0"/>
          <w:color w:val="1E293B"/>
          <w:sz w:val="22"/>
        </w:rPr>
        <w:t>The first future-risk card — “Management burden scales linearly with each new office.”</w:t>
      </w:r>
    </w:p>
    <w:p>
      <w:pPr>
        <w:spacing w:line="360" w:lineRule="auto" w:after="160"/>
        <w:ind w:left="360"/>
      </w:pPr>
      <w:r>
        <w:rPr>
          <w:rFonts w:ascii="Arial" w:hAnsi="Arial" w:cs="Arial"/>
          <w:b/>
          <w:i w:val="0"/>
          <w:color w:val="1A3A5C"/>
          <w:sz w:val="22"/>
        </w:rPr>
        <w:t xml:space="preserve">🎙 SPEAK: </w:t>
      </w:r>
      <w:r>
        <w:rPr>
          <w:rFonts w:ascii="Arial" w:hAnsi="Arial" w:cs="Arial"/>
          <w:b w:val="0"/>
          <w:i w:val="0"/>
          <w:color w:val="1E293B"/>
          <w:sz w:val="22"/>
        </w:rPr>
        <w:t>“I won’t put a hard dollar figure on this from the outside — that would be a guess. But across five offices, when collections and follow-up run by hand, even a couple of points of production slipping each month adds up to real money by year-end — and pinning that number down is one of the first things we’d do together. You’ve said you want the best dental group on the planet, one that runs even when you’re not carrying it. Right now this one gap is what caps that — and every new office you open multiplies it, it doesn’t shrink it.”</w:t>
      </w:r>
    </w:p>
    <w:p>
      <w:pPr>
        <w:shd w:val="clear" w:color="auto" w:fill="fff3cc"/>
        <w:spacing w:after="160"/>
      </w:pPr>
      <w:r>
        <w:rPr>
          <w:rFonts w:ascii="Arial" w:hAnsi="Arial" w:cs="Arial"/>
          <w:b/>
          <w:i w:val="0"/>
          <w:color w:val="1A3A5C"/>
          <w:sz w:val="22"/>
        </w:rPr>
        <w:t xml:space="preserve">📌 NOTE: </w:t>
      </w:r>
      <w:r>
        <w:rPr>
          <w:rFonts w:ascii="Arial" w:hAnsi="Arial" w:cs="Arial"/>
          <w:b w:val="0"/>
          <w:i/>
          <w:color w:val="1E293B"/>
          <w:sz w:val="22"/>
        </w:rPr>
        <w:t>Stakes is a directional volume statement, hedged for Medium confidence — no fabricated figure, because no internal operational numbers are available yet. The regret gap uses her own words (“best dang dental group on the planet”) and her stated wish for an organization that performs when she isn’t carrying it. Visionary framing — never imply her systems are “broken.”</w:t>
      </w:r>
    </w:p>
    <w:p>
      <w:pPr>
        <w:spacing w:before="240" w:after="0"/>
      </w:pPr>
      <w:r>
        <w:rPr>
          <w:rFonts w:ascii="Arial" w:hAnsi="Arial" w:cs="Arial"/>
          <w:b/>
          <w:i w:val="0"/>
          <w:color w:val="1A3A5C"/>
          <w:sz w:val="25"/>
        </w:rPr>
        <w:t>BEAT 5 — The Reply Ask (no money, no price)</w:t>
      </w:r>
    </w:p>
    <w:p>
      <w:pPr>
        <w:spacing w:after="80"/>
      </w:pPr>
      <w:r>
        <w:rPr>
          <w:rFonts w:ascii="Arial" w:hAnsi="Arial" w:cs="Arial"/>
          <w:b w:val="0"/>
          <w:i/>
          <w:color w:val="888888"/>
          <w:sz w:val="19"/>
        </w:rPr>
        <w:t>One low-friction next step — a reply, not a payment. Includes the single proof-of-competence line.</w:t>
      </w:r>
    </w:p>
    <w:p>
      <w:pPr>
        <w:spacing w:before="200" w:after="40"/>
      </w:pPr>
      <w:r>
        <w:rPr>
          <w:rFonts w:ascii="Courier New" w:hAnsi="Courier New" w:cs="Courier New"/>
          <w:b/>
          <w:i w:val="0"/>
          <w:color w:val="888888"/>
          <w:sz w:val="20"/>
        </w:rPr>
        <w:t>⏱ TIMING: ~2:20</w:t>
      </w:r>
    </w:p>
    <w:p>
      <w:pPr>
        <w:shd w:val="clear" w:color="auto" w:fill="ddeeff"/>
        <w:spacing w:after="160"/>
      </w:pPr>
      <w:r>
        <w:rPr>
          <w:rFonts w:ascii="Arial" w:hAnsi="Arial" w:cs="Arial"/>
          <w:b/>
          <w:i w:val="0"/>
          <w:color w:val="1A3A5C"/>
          <w:sz w:val="22"/>
        </w:rPr>
        <w:t xml:space="preserve">🖥 SCREEN: </w:t>
      </w:r>
      <w:r>
        <w:rPr>
          <w:rFonts w:ascii="Arial" w:hAnsi="Arial" w:cs="Arial"/>
          <w:b w:val="0"/>
          <w:i w:val="0"/>
          <w:color w:val="1E293B"/>
          <w:sz w:val="22"/>
        </w:rPr>
        <w:t>Clean closing screen — the brief’s reply-ask panel.</w:t>
      </w:r>
    </w:p>
    <w:p>
      <w:pPr>
        <w:spacing w:line="360" w:lineRule="auto" w:after="160"/>
        <w:ind w:left="360"/>
      </w:pPr>
      <w:r>
        <w:rPr>
          <w:rFonts w:ascii="Arial" w:hAnsi="Arial" w:cs="Arial"/>
          <w:b/>
          <w:i w:val="0"/>
          <w:color w:val="1A3A5C"/>
          <w:sz w:val="22"/>
        </w:rPr>
        <w:t xml:space="preserve">🎙 SPEAK: </w:t>
      </w:r>
      <w:r>
        <w:rPr>
          <w:rFonts w:ascii="Arial" w:hAnsi="Arial" w:cs="Arial"/>
          <w:b w:val="0"/>
          <w:i w:val="0"/>
          <w:color w:val="1E293B"/>
          <w:sz w:val="22"/>
        </w:rPr>
        <w:t>“This is exactly the kind of operational gap we build systems to close — but before any of that, I just want to know if I read your business right. If this matches what you’re living, reply and tell me; and if I missed something, tell me that too. Either way, I’d genuinely like to know.”</w:t>
      </w:r>
    </w:p>
    <w:p>
      <w:pPr>
        <w:shd w:val="clear" w:color="auto" w:fill="fff3cc"/>
        <w:spacing w:after="160"/>
      </w:pPr>
      <w:r>
        <w:rPr>
          <w:rFonts w:ascii="Arial" w:hAnsi="Arial" w:cs="Arial"/>
          <w:b/>
          <w:i w:val="0"/>
          <w:color w:val="1A3A5C"/>
          <w:sz w:val="22"/>
        </w:rPr>
        <w:t xml:space="preserve">📌 NOTE: </w:t>
      </w:r>
      <w:r>
        <w:rPr>
          <w:rFonts w:ascii="Arial" w:hAnsi="Arial" w:cs="Arial"/>
          <w:b w:val="0"/>
          <w:i/>
          <w:color w:val="1E293B"/>
          <w:sz w:val="22"/>
        </w:rPr>
        <w:t>The video ends here. The paid consultation is NOT mentioned in the video. Proof-of-competence is an honest capability statement — no invented client or result, because none was available in the source material.</w:t>
      </w:r>
    </w:p>
    <w:p>
      <w:r>
        <w:br w:type="page"/>
      </w:r>
    </w:p>
    <w:p>
      <w:pPr>
        <w:spacing w:before="80" w:after="40"/>
      </w:pPr>
      <w:r>
        <w:rPr>
          <w:rFonts w:ascii="Arial" w:hAnsi="Arial" w:cs="Arial"/>
          <w:b/>
          <w:i w:val="0"/>
          <w:color w:val="1A3A5C"/>
          <w:sz w:val="30"/>
        </w:rPr>
        <w:t>PART B — The Follow-Up Sequence</w:t>
      </w:r>
    </w:p>
    <w:p>
      <w:pPr>
        <w:spacing w:after="200"/>
      </w:pPr>
      <w:r>
        <w:rPr>
          <w:rFonts w:ascii="Arial" w:hAnsi="Arial" w:cs="Arial"/>
          <w:b w:val="0"/>
          <w:i/>
          <w:color w:val="888888"/>
          <w:sz w:val="19"/>
        </w:rPr>
        <w:t>Sent over the conversation her reply starts. Money is introduced only in Message 2, after dialogue exists. Each block is ready to copy and send.</w:t>
      </w:r>
    </w:p>
    <w:p>
      <w:pPr>
        <w:spacing w:before="240" w:after="0"/>
      </w:pPr>
      <w:r>
        <w:rPr>
          <w:rFonts w:ascii="Arial" w:hAnsi="Arial" w:cs="Arial"/>
          <w:b/>
          <w:i w:val="0"/>
          <w:color w:val="1A3A5C"/>
          <w:sz w:val="24"/>
        </w:rPr>
        <w:t>MESSAGE 1 — Reward the reply (no offer)</w:t>
      </w:r>
    </w:p>
    <w:p>
      <w:pPr>
        <w:spacing w:after="80"/>
      </w:pPr>
      <w:r>
        <w:rPr>
          <w:rFonts w:ascii="Arial" w:hAnsi="Arial" w:cs="Arial"/>
          <w:b w:val="0"/>
          <w:i/>
          <w:color w:val="888888"/>
          <w:sz w:val="19"/>
        </w:rPr>
        <w:t>Sent immediately when she replies.</w:t>
      </w:r>
    </w:p>
    <w:p>
      <w:pPr>
        <w:shd w:val="clear" w:color="auto" w:fill="ebf3fb"/>
        <w:spacing w:after="160" w:line="312" w:lineRule="auto"/>
        <w:ind w:left="120" w:right="120"/>
      </w:pPr>
      <w:r>
        <w:rPr>
          <w:rFonts w:ascii="Arial" w:hAnsi="Arial" w:cs="Arial"/>
          <w:b w:val="0"/>
          <w:i w:val="0"/>
          <w:color w:val="1E293B"/>
          <w:sz w:val="22"/>
        </w:rPr>
        <w:t>Thanks for that — genuinely. That’s the part outside research can never reach, so it means more coming straight from you. Quick one while it’s fresh: roughly how many hours a week do you think each office manager actually loses to scheduling, collections follow-up, and pulling reports by hand? Even a ballpark tells me a lot about where the real leak is.</w:t>
      </w:r>
    </w:p>
    <w:p>
      <w:pPr>
        <w:spacing w:before="240" w:after="0"/>
      </w:pPr>
      <w:r>
        <w:rPr>
          <w:rFonts w:ascii="Arial" w:hAnsi="Arial" w:cs="Arial"/>
          <w:b/>
          <w:i w:val="0"/>
          <w:color w:val="1A3A5C"/>
          <w:sz w:val="24"/>
        </w:rPr>
        <w:t>MESSAGE 2 — The paid consultation offer</w:t>
      </w:r>
    </w:p>
    <w:p>
      <w:pPr>
        <w:spacing w:after="80"/>
      </w:pPr>
      <w:r>
        <w:rPr>
          <w:rFonts w:ascii="Arial" w:hAnsi="Arial" w:cs="Arial"/>
          <w:b w:val="0"/>
          <w:i/>
          <w:color w:val="888888"/>
          <w:sz w:val="19"/>
        </w:rPr>
        <w:t>Sent after she answers Message 1.</w:t>
      </w:r>
    </w:p>
    <w:p>
      <w:pPr>
        <w:shd w:val="clear" w:color="auto" w:fill="ebf3fb"/>
        <w:spacing w:after="160" w:line="312" w:lineRule="auto"/>
        <w:ind w:left="120" w:right="120"/>
      </w:pPr>
      <w:r>
        <w:rPr>
          <w:rFonts w:ascii="Arial" w:hAnsi="Arial" w:cs="Arial"/>
          <w:b w:val="0"/>
          <w:i w:val="0"/>
          <w:color w:val="1E293B"/>
          <w:sz w:val="22"/>
        </w:rPr>
        <w:t>Here’s what I’d suggest next — and it isn’t a sales call. It’s a paid working session where we sit down with your actual numbers and turn this outside read into a documented diagnosis you keep: where the operations are leaking, what it’s costing across the five offices, and what to fix first. It’s real R&amp;D on your business, and it’s how we’d firm up that rough estimate together with your real figures rather than my outside guess. Given that even a couple of points of collections slipping each month across five locations adds up fast, the session pays for itself if it catches even a fraction of that. And the guarantee is simple: if you don’t walk away with something worth more than the fee, you don’t pay. This is the kind of operational gap we build systems to close, so the diagnosis comes from the people who’d actually build the fix. The session is [CONSULTATION_FEE] — if you’re open to it, reply and I’ll send a couple of times.</w:t>
      </w:r>
    </w:p>
    <w:p>
      <w:pPr>
        <w:spacing w:before="240" w:after="0"/>
      </w:pPr>
      <w:r>
        <w:rPr>
          <w:rFonts w:ascii="Arial" w:hAnsi="Arial" w:cs="Arial"/>
          <w:b/>
          <w:i w:val="0"/>
          <w:color w:val="1A3A5C"/>
          <w:sz w:val="24"/>
        </w:rPr>
        <w:t>MESSAGE 3 — Soft follow-up (if no reply in 3–4 days)</w:t>
      </w:r>
    </w:p>
    <w:p>
      <w:pPr>
        <w:spacing w:after="80"/>
      </w:pPr>
      <w:r>
        <w:rPr>
          <w:rFonts w:ascii="Arial" w:hAnsi="Arial" w:cs="Arial"/>
          <w:b w:val="0"/>
          <w:i/>
          <w:color w:val="888888"/>
          <w:sz w:val="19"/>
        </w:rPr>
        <w:t>One nudge, value-first, easy out.</w:t>
      </w:r>
    </w:p>
    <w:p>
      <w:pPr>
        <w:shd w:val="clear" w:color="auto" w:fill="ebf3fb"/>
        <w:spacing w:after="160" w:line="312" w:lineRule="auto"/>
        <w:ind w:left="120" w:right="120"/>
      </w:pPr>
      <w:r>
        <w:rPr>
          <w:rFonts w:ascii="Arial" w:hAnsi="Arial" w:cs="Arial"/>
          <w:b w:val="0"/>
          <w:i w:val="0"/>
          <w:color w:val="1E293B"/>
          <w:sz w:val="22"/>
        </w:rPr>
        <w:t>No rush on this at all. One more thing I noticed: you’re hiring Associate Managers across the group and building the onboarding curriculum from scratch — a shared operating system is exactly what lets a brand-new manager run an office to your standard without you training each one personally. If a session ever makes sense, the guarantee still stands — worth more than the fee or you don’t pay — and if now isn’t the time, “not now” is a perfectly good answer.</w:t>
      </w:r>
    </w:p>
    <w:p>
      <w:pPr>
        <w:spacing w:before="40" w:after="120"/>
        <w:pBdr>
          <w:bottom w:val="single" w:sz="6" w:space="1" w:color="cbd5e1"/>
        </w:pBdr>
      </w:pPr>
    </w:p>
    <w:p>
      <w:r>
        <w:rPr>
          <w:rFonts w:ascii="Arial" w:hAnsi="Arial" w:cs="Arial"/>
          <w:b/>
          <w:i w:val="0"/>
          <w:color w:val="1A3A5C"/>
          <w:sz w:val="19"/>
        </w:rPr>
        <w:t xml:space="preserve">Confidence calibration: Medium. </w:t>
      </w:r>
      <w:r>
        <w:rPr>
          <w:rFonts w:ascii="Arial" w:hAnsi="Arial" w:cs="Arial"/>
          <w:b w:val="0"/>
          <w:i w:val="0"/>
          <w:color w:val="888888"/>
          <w:sz w:val="19"/>
        </w:rPr>
        <w:t>Reply ask invites correction; stakes stated as a hedged directional estimate; Message 2 frames the session as firming up the estimate together. Dev8X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