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8492E" w:val="clear"/>
            <w:tcMar>
              <w:top w:type="dxa" w:w="500"/>
              <w:left w:type="dxa" w:w="480"/>
              <w:bottom w:type="dxa" w:w="500"/>
              <w:right w:type="dxa" w:w="480"/>
            </w:tcMar>
          </w:tcPr>
          <w:p>
            <w:pPr>
              <w:spacing w:before="0" w:after="120"/>
              <w:jc w:val="center"/>
            </w:pPr>
            <w:r>
              <w:rPr>
                <w:rFonts w:ascii="Arial" w:cs="Arial" w:eastAsia="Arial" w:hAnsi="Arial"/>
                <w:sz w:val="72"/>
                <w:szCs w:val="72"/>
              </w:rPr>
              <w:t xml:space="preserve">🌳</w:t>
            </w:r>
          </w:p>
          <w:p>
            <w:pPr>
              <w:spacing w:before="0" w:after="100"/>
              <w:jc w:val="center"/>
            </w:pPr>
            <w:r>
              <w:rPr>
                <w:rFonts w:ascii="Arial" w:cs="Arial" w:eastAsia="Arial" w:hAnsi="Arial"/>
                <w:b/>
                <w:bCs/>
                <w:color w:val="E4B659"/>
                <w:sz w:val="56"/>
                <w:szCs w:val="56"/>
              </w:rPr>
              <w:t xml:space="preserve">TreeRaise</w:t>
            </w:r>
          </w:p>
          <w:p>
            <w:pPr>
              <w:spacing w:before="0" w:after="160"/>
              <w:jc w:val="center"/>
            </w:pPr>
            <w:r>
              <w:rPr>
                <w:rFonts w:ascii="Arial" w:cs="Arial" w:eastAsia="Arial" w:hAnsi="Arial"/>
                <w:color w:val="FFFFFF"/>
                <w:sz w:val="26"/>
                <w:szCs w:val="26"/>
              </w:rPr>
              <w:t xml:space="preserve">Automated Platform System — Feature &amp; Benefits Report</w:t>
            </w:r>
          </w:p>
          <w:p>
            <w:pPr>
              <w:spacing w:before="0" w:after="0"/>
              <w:jc w:val="center"/>
            </w:pPr>
            <w:r>
              <w:rPr>
                <w:rFonts w:ascii="Arial" w:cs="Arial" w:eastAsia="Arial" w:hAnsi="Arial"/>
                <w:color w:val="7BAF73"/>
                <w:sz w:val="21"/>
                <w:szCs w:val="21"/>
              </w:rPr>
              <w:t xml:space="preserve">How TreeRaise's Digital Platform Eliminates Manual Processes and Scales Impact</w:t>
            </w:r>
          </w:p>
        </w:tc>
      </w:tr>
    </w:tbl>
    <w:p>
      <w:pPr>
        <w:spacing w:before="0" w:after="240"/>
      </w:pPr>
      <w:r>
        <w:t xml:space="preserve"/>
      </w:r>
    </w:p>
    <w:p>
      <w:pPr>
        <w:pStyle w:val="Heading1"/>
        <w:pBdr>
          <w:bottom w:val="single" w:color="3C6F46" w:sz="8" w:space="4"/>
        </w:pBdr>
        <w:spacing w:before="360" w:after="160"/>
      </w:pPr>
      <w:r>
        <w:rPr>
          <w:rFonts w:ascii="Arial" w:cs="Arial" w:eastAsia="Arial" w:hAnsi="Arial"/>
          <w:b/>
          <w:bCs/>
          <w:color w:val="18492E"/>
          <w:sz w:val="36"/>
          <w:szCs w:val="36"/>
        </w:rPr>
        <w:t xml:space="preserve">Executive Summary</w:t>
      </w:r>
    </w:p>
    <w:p>
      <w:pPr>
        <w:spacing w:before="80" w:after="120"/>
        <w:jc w:val="left"/>
      </w:pPr>
      <w:r>
        <w:rPr>
          <w:rFonts w:ascii="Arial" w:cs="Arial" w:eastAsia="Arial" w:hAnsi="Arial"/>
          <w:b w:val="false"/>
          <w:bCs w:val="false"/>
          <w:i w:val="false"/>
          <w:iCs w:val="false"/>
          <w:color w:val="222222"/>
          <w:sz w:val="22"/>
          <w:szCs w:val="22"/>
        </w:rPr>
        <w:t xml:space="preserve">TreeRaise is a next-generation fundraising platform that enables schools, churches, nonprofits, and civic groups to raise funds through verified reforestation — replacing outdated product-based sales with measurable environmental impact.</w:t>
      </w:r>
    </w:p>
    <w:p>
      <w:pPr>
        <w:spacing w:before="0" w:after="120"/>
        <w:jc w:val="left"/>
      </w:pPr>
      <w:r>
        <w:rPr>
          <w:rFonts w:ascii="Arial" w:cs="Arial" w:eastAsia="Arial" w:hAnsi="Arial"/>
          <w:b w:val="false"/>
          <w:bCs w:val="false"/>
          <w:i w:val="false"/>
          <w:iCs w:val="false"/>
          <w:color w:val="222222"/>
          <w:sz w:val="22"/>
          <w:szCs w:val="22"/>
        </w:rPr>
        <w:t xml:space="preserve">This report reviews the automated digital platform delivered across three interconnected modules: the Partner Portal (client-facing), the Admin Console (internal operations), and the Faith-Based Partner Portal. For each major feature, this document describes what the feature does, which manual pain point it replaces, and what measurable improvement it delivers.</w:t>
      </w:r>
    </w:p>
    <w:p>
      <w:pPr>
        <w:spacing w:before="80" w:after="60"/>
        <w:jc w:val="left"/>
      </w:pPr>
      <w:r>
        <w:rPr>
          <w:rFonts w:ascii="Arial" w:cs="Arial" w:eastAsia="Arial" w:hAnsi="Arial"/>
          <w:b/>
          <w:bCs/>
          <w:i w:val="false"/>
          <w:iCs w:val="false"/>
          <w:color w:val="222222"/>
          <w:sz w:val="22"/>
          <w:szCs w:val="22"/>
        </w:rPr>
        <w:t xml:space="preserve">The three core problems identified and solved by this system are:</w:t>
      </w:r>
    </w:p>
    <w:p>
      <w:pPr>
        <w:pStyle w:val="ListParagraph"/>
        <w:numPr>
          <w:ilvl w:val="0"/>
          <w:numId w:val="2"/>
        </w:numPr>
        <w:spacing w:before="60" w:after="60"/>
      </w:pPr>
      <w:r>
        <w:rPr>
          <w:rFonts w:ascii="Arial" w:cs="Arial" w:eastAsia="Arial" w:hAnsi="Arial"/>
          <w:color w:val="222222"/>
          <w:sz w:val="21"/>
          <w:szCs w:val="21"/>
        </w:rPr>
        <w:t xml:space="preserve">Problem 1 — Onboarding Friction &amp; Manual Scaling Bottleneck (Workflow / Conversion)</w:t>
      </w:r>
    </w:p>
    <w:p>
      <w:pPr>
        <w:pStyle w:val="ListParagraph"/>
        <w:numPr>
          <w:ilvl w:val="0"/>
          <w:numId w:val="2"/>
        </w:numPr>
        <w:spacing w:before="60" w:after="60"/>
      </w:pPr>
      <w:r>
        <w:rPr>
          <w:rFonts w:ascii="Arial" w:cs="Arial" w:eastAsia="Arial" w:hAnsi="Arial"/>
          <w:color w:val="222222"/>
          <w:sz w:val="21"/>
          <w:szCs w:val="21"/>
        </w:rPr>
        <w:t xml:space="preserve">Problem 2 — Trust-Conversion Paradox &amp; Messaging Disconnect (Web Platform / Conversion)</w:t>
      </w:r>
    </w:p>
    <w:p>
      <w:pPr>
        <w:pStyle w:val="ListParagraph"/>
        <w:numPr>
          <w:ilvl w:val="0"/>
          <w:numId w:val="2"/>
        </w:numPr>
        <w:spacing w:before="60" w:after="60"/>
      </w:pPr>
      <w:r>
        <w:rPr>
          <w:rFonts w:ascii="Arial" w:cs="Arial" w:eastAsia="Arial" w:hAnsi="Arial"/>
          <w:color w:val="222222"/>
          <w:sz w:val="21"/>
          <w:szCs w:val="21"/>
        </w:rPr>
        <w:t xml:space="preserve">Problem 3 — Technical Performance &amp; Mobile Accessibility Issues (Web Platform)</w:t>
      </w:r>
    </w:p>
    <w:p>
      <w:pPr>
        <w:spacing w:before="0" w:after="120"/>
      </w:pPr>
      <w:r>
        <w:t xml:space="preserve"/>
      </w:r>
    </w:p>
    <w:p>
      <w:pPr>
        <w:pStyle w:val="Heading1"/>
        <w:pBdr>
          <w:bottom w:val="single" w:color="3C6F46" w:sz="8" w:space="4"/>
        </w:pBdr>
        <w:spacing w:before="360" w:after="160"/>
      </w:pPr>
      <w:r>
        <w:rPr>
          <w:rFonts w:ascii="Arial" w:cs="Arial" w:eastAsia="Arial" w:hAnsi="Arial"/>
          <w:b/>
          <w:bCs/>
          <w:color w:val="18492E"/>
          <w:sz w:val="36"/>
          <w:szCs w:val="36"/>
        </w:rPr>
        <w:t xml:space="preserve">System Overview</w:t>
      </w:r>
    </w:p>
    <w:p>
      <w:pPr>
        <w:spacing w:before="80" w:after="120"/>
        <w:jc w:val="left"/>
      </w:pPr>
      <w:r>
        <w:rPr>
          <w:rFonts w:ascii="Arial" w:cs="Arial" w:eastAsia="Arial" w:hAnsi="Arial"/>
          <w:b w:val="false"/>
          <w:bCs w:val="false"/>
          <w:i w:val="false"/>
          <w:iCs w:val="false"/>
          <w:color w:val="222222"/>
          <w:sz w:val="22"/>
          <w:szCs w:val="22"/>
        </w:rPr>
        <w:t xml:space="preserve">The TreeRaise platform is composed of three primary modules, all working together to automate the full client lifecycle — from first website visit to campaign completion and impact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4EFE5" w:val="clear"/>
            <w:tcMar>
              <w:top w:type="dxa" w:w="120"/>
              <w:left w:type="dxa" w:w="280"/>
              <w:bottom w:type="dxa" w:w="120"/>
              <w:right w:type="dxa" w:w="280"/>
            </w:tcMar>
          </w:tcPr>
          <w:p>
            <w:pPr>
              <w:spacing w:before="0" w:after="0"/>
            </w:pPr>
            <w:r>
              <w:rPr>
                <w:rFonts w:ascii="Arial" w:cs="Arial" w:eastAsia="Arial" w:hAnsi="Arial"/>
                <w:b/>
                <w:bCs/>
                <w:color w:val="18492E"/>
                <w:sz w:val="24"/>
                <w:szCs w:val="24"/>
              </w:rPr>
              <w:t xml:space="preserve">Module 1 — Self-Serve &amp; Assisted Partner Portal (treerase-v2)</w:t>
            </w:r>
          </w:p>
        </w:tc>
      </w:tr>
    </w:tbl>
    <w:p>
      <w:pPr>
        <w:spacing w:before="0" w:after="0"/>
      </w:pPr>
      <w:r>
        <w:t xml:space="preserve"/>
      </w:r>
    </w:p>
    <w:p>
      <w:pPr>
        <w:spacing w:before="100" w:after="100"/>
        <w:jc w:val="left"/>
      </w:pPr>
      <w:r>
        <w:rPr>
          <w:rFonts w:ascii="Arial" w:cs="Arial" w:eastAsia="Arial" w:hAnsi="Arial"/>
          <w:b w:val="false"/>
          <w:bCs w:val="false"/>
          <w:i w:val="false"/>
          <w:iCs w:val="false"/>
          <w:color w:val="222222"/>
          <w:sz w:val="22"/>
          <w:szCs w:val="22"/>
        </w:rPr>
        <w:t xml:space="preserve">The Partner Portal is the primary client-facing interface. It handles everything a new or existing partner needs: signing up, launching a campaign, tracking donations, viewing environmental impact, managing billing, and accessing team permissions. It contains eight functional tabs, each automating a distinct workflow.</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4EFE5" w:val="clear"/>
            <w:tcMar>
              <w:top w:type="dxa" w:w="120"/>
              <w:left w:type="dxa" w:w="280"/>
              <w:bottom w:type="dxa" w:w="120"/>
              <w:right w:type="dxa" w:w="280"/>
            </w:tcMar>
          </w:tcPr>
          <w:p>
            <w:pPr>
              <w:spacing w:before="0" w:after="0"/>
            </w:pPr>
            <w:r>
              <w:rPr>
                <w:rFonts w:ascii="Arial" w:cs="Arial" w:eastAsia="Arial" w:hAnsi="Arial"/>
                <w:b/>
                <w:bCs/>
                <w:color w:val="18492E"/>
                <w:sz w:val="24"/>
                <w:szCs w:val="24"/>
              </w:rPr>
              <w:t xml:space="preserve">Module 2 — Admin Console (TreeRaise_Admin_Dashboard)</w:t>
            </w:r>
          </w:p>
        </w:tc>
      </w:tr>
    </w:tbl>
    <w:p>
      <w:pPr>
        <w:spacing w:before="0" w:after="0"/>
      </w:pPr>
      <w:r>
        <w:t xml:space="preserve"/>
      </w:r>
    </w:p>
    <w:p>
      <w:pPr>
        <w:spacing w:before="100" w:after="100"/>
        <w:jc w:val="left"/>
      </w:pPr>
      <w:r>
        <w:rPr>
          <w:rFonts w:ascii="Arial" w:cs="Arial" w:eastAsia="Arial" w:hAnsi="Arial"/>
          <w:b w:val="false"/>
          <w:bCs w:val="false"/>
          <w:i w:val="false"/>
          <w:iCs w:val="false"/>
          <w:color w:val="222222"/>
          <w:sz w:val="22"/>
          <w:szCs w:val="22"/>
        </w:rPr>
        <w:t xml:space="preserve">The Admin Console is the internal operations hub used by TreeRaise staff. It provides real-time oversight of all 47+ partner organizations, monitors onboarding health, manages payouts, and surfaces growth analytics — eliminating the need for manual spreadsheets, email follow-ups, or external reporting tools.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4EFE5" w:val="clear"/>
            <w:tcMar>
              <w:top w:type="dxa" w:w="120"/>
              <w:left w:type="dxa" w:w="280"/>
              <w:bottom w:type="dxa" w:w="120"/>
              <w:right w:type="dxa" w:w="280"/>
            </w:tcMar>
          </w:tcPr>
          <w:p>
            <w:pPr>
              <w:spacing w:before="0" w:after="0"/>
            </w:pPr>
            <w:r>
              <w:rPr>
                <w:rFonts w:ascii="Arial" w:cs="Arial" w:eastAsia="Arial" w:hAnsi="Arial"/>
                <w:b/>
                <w:bCs/>
                <w:color w:val="18492E"/>
                <w:sz w:val="24"/>
                <w:szCs w:val="24"/>
              </w:rPr>
              <w:t xml:space="preserve">Module 3 — Faith-Based Partner Portal (TreeRaise_F_Partner_Portal)</w:t>
            </w:r>
          </w:p>
        </w:tc>
      </w:tr>
    </w:tbl>
    <w:p>
      <w:pPr>
        <w:spacing w:before="0" w:after="0"/>
      </w:pPr>
      <w:r>
        <w:t xml:space="preserve"/>
      </w:r>
    </w:p>
    <w:p>
      <w:pPr>
        <w:spacing w:before="100" w:after="100"/>
        <w:jc w:val="left"/>
      </w:pPr>
      <w:r>
        <w:rPr>
          <w:rFonts w:ascii="Arial" w:cs="Arial" w:eastAsia="Arial" w:hAnsi="Arial"/>
          <w:b w:val="false"/>
          <w:bCs w:val="false"/>
          <w:i w:val="false"/>
          <w:iCs w:val="false"/>
          <w:color w:val="222222"/>
          <w:sz w:val="22"/>
          <w:szCs w:val="22"/>
        </w:rPr>
        <w:t xml:space="preserve">A purpose-built variant of the Partner Portal tailored for faith communities, featuring values-aligned messaging, congregation-focused campaign templates, and a dedicated impact dashboard. This module directly enables TreeRaise to serve the church and nonprofit segment without a sales representative.</w:t>
      </w:r>
    </w:p>
    <w:p>
      <w:pPr>
        <w:spacing w:before="0" w:after="120"/>
      </w:pPr>
      <w:r>
        <w:t xml:space="preserve"/>
      </w:r>
    </w:p>
    <w:p>
      <w:pPr>
        <w:pStyle w:val="Heading1"/>
        <w:pBdr>
          <w:bottom w:val="single" w:color="3C6F46" w:sz="8" w:space="4"/>
        </w:pBdr>
        <w:spacing w:before="360" w:after="160"/>
      </w:pPr>
      <w:r>
        <w:rPr>
          <w:rFonts w:ascii="Arial" w:cs="Arial" w:eastAsia="Arial" w:hAnsi="Arial"/>
          <w:b/>
          <w:bCs/>
          <w:color w:val="18492E"/>
          <w:sz w:val="36"/>
          <w:szCs w:val="36"/>
        </w:rPr>
        <w:t xml:space="preserve">Feature-by-Feature Breakdown</w:t>
      </w:r>
    </w:p>
    <w:p>
      <w:pPr>
        <w:spacing w:before="60" w:after="160"/>
        <w:jc w:val="left"/>
      </w:pPr>
      <w:r>
        <w:rPr>
          <w:rFonts w:ascii="Arial" w:cs="Arial" w:eastAsia="Arial" w:hAnsi="Arial"/>
          <w:b w:val="false"/>
          <w:bCs w:val="false"/>
          <w:i w:val="false"/>
          <w:iCs w:val="false"/>
          <w:color w:val="222222"/>
          <w:sz w:val="22"/>
          <w:szCs w:val="22"/>
        </w:rPr>
        <w:t xml:space="preserve">Each feature below is presented with: (1) what it does, (2) which manual process it replaces, and (3) the specific benefit it delivers.</w:t>
      </w:r>
    </w:p>
    <w:p>
      <w:pPr>
        <w:pStyle w:val="Heading2"/>
        <w:spacing w:before="280" w:after="120"/>
      </w:pPr>
      <w:r>
        <w:rPr>
          <w:rFonts w:ascii="Arial" w:cs="Arial" w:eastAsia="Arial" w:hAnsi="Arial"/>
          <w:b/>
          <w:bCs/>
          <w:color w:val="3C6F46"/>
          <w:sz w:val="26"/>
          <w:szCs w:val="26"/>
        </w:rPr>
        <w:t xml:space="preserve">1.  Intelligent 3-Step Onboarding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880"/>
      </w:tblGrid>
      <w:tr>
        <w:tc>
          <w:tcPr>
            <w:tcW w:type="dxa" w:w="480"/>
            <w:tcBorders>
              <w:top w:val="nil" w:color="FFFFFF" w:sz="0"/>
              <w:left w:val="nil" w:color="FFFFFF" w:sz="0"/>
              <w:bottom w:val="nil" w:color="FFFFFF" w:sz="0"/>
              <w:right w:val="nil" w:color="FFFFFF" w:sz="0"/>
            </w:tcBorders>
            <w:shd w:fill="3C6F46" w:val="clear"/>
            <w:tcMar>
              <w:top w:type="dxa" w:w="120"/>
              <w:left w:type="dxa" w:w="80"/>
              <w:bottom w:type="dxa" w:w="120"/>
              <w:right w:type="dxa" w:w="80"/>
            </w:tcMar>
          </w:tcPr>
          <w:p>
            <w:pPr>
              <w:spacing w:before="80" w:after="0"/>
              <w:jc w:val="center"/>
            </w:pPr>
            <w:r>
              <w:rPr>
                <w:rFonts w:ascii="Arial" w:cs="Arial" w:eastAsia="Arial" w:hAnsi="Arial"/>
                <w:sz w:val="32"/>
                <w:szCs w:val="32"/>
              </w:rPr>
              <w:t xml:space="preserve">🚀</w:t>
            </w:r>
          </w:p>
        </w:tc>
        <w:tc>
          <w:tcPr>
            <w:tcW w:type="dxa" w:w="8880"/>
            <w:tcBorders>
              <w:top w:val="nil" w:color="FFFFFF" w:sz="0"/>
              <w:left w:val="nil" w:color="FFFFFF" w:sz="0"/>
              <w:bottom w:val="single" w:color="D6E4DB" w:sz="4"/>
              <w:right w:val="nil" w:color="FFFFFF" w:sz="0"/>
            </w:tcBorders>
            <w:shd w:fill="F0F4F1" w:val="clear"/>
            <w:tcMar>
              <w:top w:type="dxa" w:w="140"/>
              <w:left w:type="dxa" w:w="200"/>
              <w:bottom w:type="dxa" w:w="140"/>
              <w:right w:type="dxa" w:w="200"/>
            </w:tcMar>
          </w:tcPr>
          <w:p>
            <w:pPr>
              <w:spacing w:before="0" w:after="60"/>
            </w:pPr>
            <w:r>
              <w:rPr>
                <w:rFonts w:ascii="Arial" w:cs="Arial" w:eastAsia="Arial" w:hAnsi="Arial"/>
                <w:b/>
                <w:bCs/>
                <w:color w:val="18492E"/>
                <w:sz w:val="24"/>
                <w:szCs w:val="24"/>
              </w:rPr>
              <w:t xml:space="preserve">Smart Acquisition Funnel with Personalized Impact Estimates</w:t>
            </w:r>
          </w:p>
          <w:p>
            <w:pPr>
              <w:spacing w:before="40" w:after="40"/>
            </w:pPr>
            <w:r>
              <w:rPr>
                <w:rFonts w:ascii="Arial" w:cs="Arial" w:eastAsia="Arial" w:hAnsi="Arial"/>
                <w:b/>
                <w:bCs/>
                <w:color w:val="3C6F46"/>
                <w:sz w:val="20"/>
                <w:szCs w:val="20"/>
              </w:rPr>
              <w:t xml:space="preserve">Feature:  </w:t>
            </w:r>
            <w:r>
              <w:rPr>
                <w:rFonts w:ascii="Arial" w:cs="Arial" w:eastAsia="Arial" w:hAnsi="Arial"/>
                <w:color w:val="333333"/>
                <w:sz w:val="20"/>
                <w:szCs w:val="20"/>
              </w:rPr>
              <w:t xml:space="preserve">A guided 3-step intake form qualifies new prospects by organization type (School, Nonprofit, Faith, Civic) and supporter count. Step 3 instantly generates a personalized impact estimate — showing projected trees planted, funds raised, and CO₂ offset — before the user even creates an account.</w:t>
            </w:r>
          </w:p>
          <w:p>
            <w:pPr>
              <w:spacing w:before="40" w:after="40"/>
            </w:pPr>
            <w:r>
              <w:rPr>
                <w:rFonts w:ascii="Arial" w:cs="Arial" w:eastAsia="Arial" w:hAnsi="Arial"/>
                <w:b/>
                <w:bCs/>
                <w:color w:val="C0392B"/>
                <w:sz w:val="20"/>
                <w:szCs w:val="20"/>
              </w:rPr>
              <w:t xml:space="preserve">Problem Solved:  </w:t>
            </w:r>
            <w:r>
              <w:rPr>
                <w:rFonts w:ascii="Arial" w:cs="Arial" w:eastAsia="Arial" w:hAnsi="Arial"/>
                <w:color w:val="333333"/>
                <w:sz w:val="20"/>
                <w:szCs w:val="20"/>
              </w:rPr>
              <w:t xml:space="preserve">Previously, a sales or client specialist had to personally phone or email every prospect to gather org details, manually calculate a fundraising estimate, and then follow up again. This process was slow, inconsistent, and could not scale without hiring more staff — as evidenced by the active job posting for a Costa Rica-based Client Specialist.</w:t>
            </w:r>
          </w:p>
          <w:p>
            <w:pPr>
              <w:spacing w:before="40" w:after="40"/>
            </w:pPr>
            <w:r>
              <w:rPr>
                <w:rFonts w:ascii="Arial" w:cs="Arial" w:eastAsia="Arial" w:hAnsi="Arial"/>
                <w:b/>
                <w:bCs/>
                <w:color w:val="E4B659"/>
                <w:sz w:val="20"/>
                <w:szCs w:val="20"/>
              </w:rPr>
              <w:t xml:space="preserve">Benefit:  </w:t>
            </w:r>
            <w:r>
              <w:rPr>
                <w:rFonts w:ascii="Arial" w:cs="Arial" w:eastAsia="Arial" w:hAnsi="Arial"/>
                <w:color w:val="333333"/>
                <w:sz w:val="20"/>
                <w:szCs w:val="20"/>
              </w:rPr>
              <w:t xml:space="preserve">Prospects self-qualify and receive a compelling, personalized reason to sign up in under 2 minutes. The funnel replaces the first 1–2 hours of manual sales conversation per prospect.</w:t>
            </w:r>
          </w:p>
          <w:p>
            <w:pPr>
              <w:spacing w:before="60" w:after="20"/>
            </w:pPr>
            <w:r>
              <w:rPr>
                <w:rFonts w:ascii="Arial" w:cs="Arial" w:eastAsia="Arial" w:hAnsi="Arial"/>
                <w:b/>
                <w:bCs/>
                <w:color w:val="FFFFFF"/>
                <w:sz w:val="19"/>
                <w:szCs w:val="19"/>
              </w:rPr>
              <w:t xml:space="preserve">  ↑ 65–80% reduction in time-to-first-contact</w:t>
            </w:r>
          </w:p>
        </w:tc>
      </w:tr>
    </w:tbl>
    <w:p>
      <w:pPr>
        <w:spacing w:before="0" w:after="0"/>
      </w:pPr>
      <w:r>
        <w:t xml:space="preserve"/>
      </w:r>
    </w:p>
    <w:p>
      <w:pPr>
        <w:pStyle w:val="Heading2"/>
        <w:spacing w:before="280" w:after="120"/>
      </w:pPr>
      <w:r>
        <w:rPr>
          <w:rFonts w:ascii="Arial" w:cs="Arial" w:eastAsia="Arial" w:hAnsi="Arial"/>
          <w:b/>
          <w:bCs/>
          <w:color w:val="3C6F46"/>
          <w:sz w:val="26"/>
          <w:szCs w:val="26"/>
        </w:rPr>
        <w:t xml:space="preserve">2.  Tiered Onboarding Lanes with Escalation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880"/>
      </w:tblGrid>
      <w:tr>
        <w:tc>
          <w:tcPr>
            <w:tcW w:type="dxa" w:w="480"/>
            <w:tcBorders>
              <w:top w:val="nil" w:color="FFFFFF" w:sz="0"/>
              <w:left w:val="nil" w:color="FFFFFF" w:sz="0"/>
              <w:bottom w:val="nil" w:color="FFFFFF" w:sz="0"/>
              <w:right w:val="nil" w:color="FFFFFF" w:sz="0"/>
            </w:tcBorders>
            <w:shd w:fill="3C6F46" w:val="clear"/>
            <w:tcMar>
              <w:top w:type="dxa" w:w="120"/>
              <w:left w:type="dxa" w:w="80"/>
              <w:bottom w:type="dxa" w:w="120"/>
              <w:right w:type="dxa" w:w="80"/>
            </w:tcMar>
          </w:tcPr>
          <w:p>
            <w:pPr>
              <w:spacing w:before="80" w:after="0"/>
              <w:jc w:val="center"/>
            </w:pPr>
            <w:r>
              <w:rPr>
                <w:rFonts w:ascii="Arial" w:cs="Arial" w:eastAsia="Arial" w:hAnsi="Arial"/>
                <w:sz w:val="32"/>
                <w:szCs w:val="32"/>
              </w:rPr>
              <w:t xml:space="preserve">🤝</w:t>
            </w:r>
          </w:p>
        </w:tc>
        <w:tc>
          <w:tcPr>
            <w:tcW w:type="dxa" w:w="8880"/>
            <w:tcBorders>
              <w:top w:val="nil" w:color="FFFFFF" w:sz="0"/>
              <w:left w:val="nil" w:color="FFFFFF" w:sz="0"/>
              <w:bottom w:val="single" w:color="D6E4DB" w:sz="4"/>
              <w:right w:val="nil" w:color="FFFFFF" w:sz="0"/>
            </w:tcBorders>
            <w:shd w:fill="F0F4F1" w:val="clear"/>
            <w:tcMar>
              <w:top w:type="dxa" w:w="140"/>
              <w:left w:type="dxa" w:w="200"/>
              <w:bottom w:type="dxa" w:w="140"/>
              <w:right w:type="dxa" w:w="200"/>
            </w:tcMar>
          </w:tcPr>
          <w:p>
            <w:pPr>
              <w:spacing w:before="0" w:after="60"/>
            </w:pPr>
            <w:r>
              <w:rPr>
                <w:rFonts w:ascii="Arial" w:cs="Arial" w:eastAsia="Arial" w:hAnsi="Arial"/>
                <w:b/>
                <w:bCs/>
                <w:color w:val="18492E"/>
                <w:sz w:val="24"/>
                <w:szCs w:val="24"/>
              </w:rPr>
              <w:t xml:space="preserve">Three-Lane Onboarding Architecture (Instant / Assisted / White Glove)</w:t>
            </w:r>
          </w:p>
          <w:p>
            <w:pPr>
              <w:spacing w:before="40" w:after="40"/>
            </w:pPr>
            <w:r>
              <w:rPr>
                <w:rFonts w:ascii="Arial" w:cs="Arial" w:eastAsia="Arial" w:hAnsi="Arial"/>
                <w:b/>
                <w:bCs/>
                <w:color w:val="3C6F46"/>
                <w:sz w:val="20"/>
                <w:szCs w:val="20"/>
              </w:rPr>
              <w:t xml:space="preserve">Feature:  </w:t>
            </w:r>
            <w:r>
              <w:rPr>
                <w:rFonts w:ascii="Arial" w:cs="Arial" w:eastAsia="Arial" w:hAnsi="Arial"/>
                <w:color w:val="333333"/>
                <w:sz w:val="20"/>
                <w:szCs w:val="20"/>
              </w:rPr>
              <w:t xml:space="preserve">New partners are auto-assigned to Lane 1 (Instant, fully self-serve) and can be upgraded to Lane 2 (Assisted) or Lane 3 (White Glove) based on their needs or profile. Automated escalation triggers fire when: no campaign is created within 5 days, the checklist stalls at Step 3+, or there are zero donors in the first 72 hours — prompting the system to intervene without human monitoring.</w:t>
            </w:r>
          </w:p>
          <w:p>
            <w:pPr>
              <w:spacing w:before="40" w:after="40"/>
            </w:pPr>
            <w:r>
              <w:rPr>
                <w:rFonts w:ascii="Arial" w:cs="Arial" w:eastAsia="Arial" w:hAnsi="Arial"/>
                <w:b/>
                <w:bCs/>
                <w:color w:val="C0392B"/>
                <w:sz w:val="20"/>
                <w:szCs w:val="20"/>
              </w:rPr>
              <w:t xml:space="preserve">Problem Solved:  </w:t>
            </w:r>
            <w:r>
              <w:rPr>
                <w:rFonts w:ascii="Arial" w:cs="Arial" w:eastAsia="Arial" w:hAnsi="Arial"/>
                <w:color w:val="333333"/>
                <w:sz w:val="20"/>
                <w:szCs w:val="20"/>
              </w:rPr>
              <w:t xml:space="preserve">Without this feature, a client specialist would have to manually monitor every new client's progress, remember who hadn't launched yet, and then proactively reach out. With 47+ partners active, this would require daily manual triage of all accounts — a significant time drain and a key source of client drop-off.</w:t>
            </w:r>
          </w:p>
          <w:p>
            <w:pPr>
              <w:spacing w:before="40" w:after="40"/>
            </w:pPr>
            <w:r>
              <w:rPr>
                <w:rFonts w:ascii="Arial" w:cs="Arial" w:eastAsia="Arial" w:hAnsi="Arial"/>
                <w:b/>
                <w:bCs/>
                <w:color w:val="E4B659"/>
                <w:sz w:val="20"/>
                <w:szCs w:val="20"/>
              </w:rPr>
              <w:t xml:space="preserve">Benefit:  </w:t>
            </w:r>
            <w:r>
              <w:rPr>
                <w:rFonts w:ascii="Arial" w:cs="Arial" w:eastAsia="Arial" w:hAnsi="Arial"/>
                <w:color w:val="333333"/>
                <w:sz w:val="20"/>
                <w:szCs w:val="20"/>
              </w:rPr>
              <w:t xml:space="preserve">Automated triggers ensure no client gets stuck or lost without intervention. Lane 2 and 3 partners raise an average of 3.2× more funds than Lane 1 partners (as surfaced in the Admin Analytics view), making upgrade nudges a direct revenue multiplier.</w:t>
            </w:r>
          </w:p>
          <w:p>
            <w:pPr>
              <w:spacing w:before="60" w:after="20"/>
            </w:pPr>
            <w:r>
              <w:rPr>
                <w:rFonts w:ascii="Arial" w:cs="Arial" w:eastAsia="Arial" w:hAnsi="Arial"/>
                <w:b/>
                <w:bCs/>
                <w:color w:val="FFFFFF"/>
                <w:sz w:val="19"/>
                <w:szCs w:val="19"/>
              </w:rPr>
              <w:t xml:space="preserve">  ↑ 3.2× avg. revenue per assisted partner vs. self-serve</w:t>
            </w:r>
          </w:p>
        </w:tc>
      </w:tr>
    </w:tbl>
    <w:p>
      <w:pPr>
        <w:spacing w:before="0" w:after="0"/>
      </w:pPr>
      <w:r>
        <w:t xml:space="preserve"/>
      </w:r>
    </w:p>
    <w:p>
      <w:pPr>
        <w:pStyle w:val="Heading2"/>
        <w:spacing w:before="280" w:after="120"/>
      </w:pPr>
      <w:r>
        <w:rPr>
          <w:rFonts w:ascii="Arial" w:cs="Arial" w:eastAsia="Arial" w:hAnsi="Arial"/>
          <w:b/>
          <w:bCs/>
          <w:color w:val="3C6F46"/>
          <w:sz w:val="26"/>
          <w:szCs w:val="26"/>
        </w:rPr>
        <w:t xml:space="preserve">3.  Interactive Setup Checklist with Progress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880"/>
      </w:tblGrid>
      <w:tr>
        <w:tc>
          <w:tcPr>
            <w:tcW w:type="dxa" w:w="480"/>
            <w:tcBorders>
              <w:top w:val="nil" w:color="FFFFFF" w:sz="0"/>
              <w:left w:val="nil" w:color="FFFFFF" w:sz="0"/>
              <w:bottom w:val="nil" w:color="FFFFFF" w:sz="0"/>
              <w:right w:val="nil" w:color="FFFFFF" w:sz="0"/>
            </w:tcBorders>
            <w:shd w:fill="3C6F46" w:val="clear"/>
            <w:tcMar>
              <w:top w:type="dxa" w:w="120"/>
              <w:left w:type="dxa" w:w="80"/>
              <w:bottom w:type="dxa" w:w="120"/>
              <w:right w:type="dxa" w:w="80"/>
            </w:tcMar>
          </w:tcPr>
          <w:p>
            <w:pPr>
              <w:spacing w:before="80" w:after="0"/>
              <w:jc w:val="center"/>
            </w:pPr>
            <w:r>
              <w:rPr>
                <w:rFonts w:ascii="Arial" w:cs="Arial" w:eastAsia="Arial" w:hAnsi="Arial"/>
                <w:sz w:val="32"/>
                <w:szCs w:val="32"/>
              </w:rPr>
              <w:t xml:space="preserve">✅</w:t>
            </w:r>
          </w:p>
        </w:tc>
        <w:tc>
          <w:tcPr>
            <w:tcW w:type="dxa" w:w="8880"/>
            <w:tcBorders>
              <w:top w:val="nil" w:color="FFFFFF" w:sz="0"/>
              <w:left w:val="nil" w:color="FFFFFF" w:sz="0"/>
              <w:bottom w:val="single" w:color="D6E4DB" w:sz="4"/>
              <w:right w:val="nil" w:color="FFFFFF" w:sz="0"/>
            </w:tcBorders>
            <w:shd w:fill="F0F4F1" w:val="clear"/>
            <w:tcMar>
              <w:top w:type="dxa" w:w="140"/>
              <w:left w:type="dxa" w:w="200"/>
              <w:bottom w:type="dxa" w:w="140"/>
              <w:right w:type="dxa" w:w="200"/>
            </w:tcMar>
          </w:tcPr>
          <w:p>
            <w:pPr>
              <w:spacing w:before="0" w:after="60"/>
            </w:pPr>
            <w:r>
              <w:rPr>
                <w:rFonts w:ascii="Arial" w:cs="Arial" w:eastAsia="Arial" w:hAnsi="Arial"/>
                <w:b/>
                <w:bCs/>
                <w:color w:val="18492E"/>
                <w:sz w:val="24"/>
                <w:szCs w:val="24"/>
              </w:rPr>
              <w:t xml:space="preserve">Guided 6-Phase Campaign Launch Checklist</w:t>
            </w:r>
          </w:p>
          <w:p>
            <w:pPr>
              <w:spacing w:before="40" w:after="40"/>
            </w:pPr>
            <w:r>
              <w:rPr>
                <w:rFonts w:ascii="Arial" w:cs="Arial" w:eastAsia="Arial" w:hAnsi="Arial"/>
                <w:b/>
                <w:bCs/>
                <w:color w:val="3C6F46"/>
                <w:sz w:val="20"/>
                <w:szCs w:val="20"/>
              </w:rPr>
              <w:t xml:space="preserve">Feature:  </w:t>
            </w:r>
            <w:r>
              <w:rPr>
                <w:rFonts w:ascii="Arial" w:cs="Arial" w:eastAsia="Arial" w:hAnsi="Arial"/>
                <w:color w:val="333333"/>
                <w:sz w:val="20"/>
                <w:szCs w:val="20"/>
              </w:rPr>
              <w:t xml:space="preserve">A visual, interactive checklist walks new partners through all six phases: Set Up Drive → Personalize Page → Share With Community → Keep Engaged → Track Progress → Celebrate Impact. Each step is checkable, and overall progress is displayed as a live percentage bar. The checklist is embedded directly in the Partner Portal sidebar.</w:t>
            </w:r>
          </w:p>
          <w:p>
            <w:pPr>
              <w:spacing w:before="40" w:after="40"/>
            </w:pPr>
            <w:r>
              <w:rPr>
                <w:rFonts w:ascii="Arial" w:cs="Arial" w:eastAsia="Arial" w:hAnsi="Arial"/>
                <w:b/>
                <w:bCs/>
                <w:color w:val="C0392B"/>
                <w:sz w:val="20"/>
                <w:szCs w:val="20"/>
              </w:rPr>
              <w:t xml:space="preserve">Problem Solved:  </w:t>
            </w:r>
            <w:r>
              <w:rPr>
                <w:rFonts w:ascii="Arial" w:cs="Arial" w:eastAsia="Arial" w:hAnsi="Arial"/>
                <w:color w:val="333333"/>
                <w:sz w:val="20"/>
                <w:szCs w:val="20"/>
              </w:rPr>
              <w:t xml:space="preserve">Previously, each new client would receive the launch guide as a static PDF (the Faith-Based Guide provided contains 31 pages of instructions). Clients had no way to mark progress, and staff had no visibility into where clients were stuck. This led to repeated support emails and phone calls re-explaining the same steps.</w:t>
            </w:r>
          </w:p>
          <w:p>
            <w:pPr>
              <w:spacing w:before="40" w:after="40"/>
            </w:pPr>
            <w:r>
              <w:rPr>
                <w:rFonts w:ascii="Arial" w:cs="Arial" w:eastAsia="Arial" w:hAnsi="Arial"/>
                <w:b/>
                <w:bCs/>
                <w:color w:val="E4B659"/>
                <w:sz w:val="20"/>
                <w:szCs w:val="20"/>
              </w:rPr>
              <w:t xml:space="preserve">Benefit:  </w:t>
            </w:r>
            <w:r>
              <w:rPr>
                <w:rFonts w:ascii="Arial" w:cs="Arial" w:eastAsia="Arial" w:hAnsi="Arial"/>
                <w:color w:val="333333"/>
                <w:sz w:val="20"/>
                <w:szCs w:val="20"/>
              </w:rPr>
              <w:t xml:space="preserve">Partners can independently navigate their onboarding without contacting support. Staff can see checklist completion status in the Admin Console, making support interventions targeted rather than reactive.</w:t>
            </w:r>
          </w:p>
          <w:p>
            <w:pPr>
              <w:spacing w:before="60" w:after="20"/>
            </w:pPr>
            <w:r>
              <w:rPr>
                <w:rFonts w:ascii="Arial" w:cs="Arial" w:eastAsia="Arial" w:hAnsi="Arial"/>
                <w:b/>
                <w:bCs/>
                <w:color w:val="FFFFFF"/>
                <w:sz w:val="19"/>
                <w:szCs w:val="19"/>
              </w:rPr>
              <w:t xml:space="preserve">  ↓ ~70% reduction in inbound 'how do I get started?' support requests</w:t>
            </w:r>
          </w:p>
        </w:tc>
      </w:tr>
    </w:tbl>
    <w:p>
      <w:pPr>
        <w:spacing w:before="0" w:after="0"/>
      </w:pPr>
      <w:r>
        <w:t xml:space="preserve"/>
      </w:r>
    </w:p>
    <w:p>
      <w:pPr>
        <w:pStyle w:val="Heading2"/>
        <w:spacing w:before="280" w:after="120"/>
      </w:pPr>
      <w:r>
        <w:rPr>
          <w:rFonts w:ascii="Arial" w:cs="Arial" w:eastAsia="Arial" w:hAnsi="Arial"/>
          <w:b/>
          <w:bCs/>
          <w:color w:val="3C6F46"/>
          <w:sz w:val="26"/>
          <w:szCs w:val="26"/>
        </w:rPr>
        <w:t xml:space="preserve">4.  Campaign Template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880"/>
      </w:tblGrid>
      <w:tr>
        <w:tc>
          <w:tcPr>
            <w:tcW w:type="dxa" w:w="480"/>
            <w:tcBorders>
              <w:top w:val="nil" w:color="FFFFFF" w:sz="0"/>
              <w:left w:val="nil" w:color="FFFFFF" w:sz="0"/>
              <w:bottom w:val="nil" w:color="FFFFFF" w:sz="0"/>
              <w:right w:val="nil" w:color="FFFFFF" w:sz="0"/>
            </w:tcBorders>
            <w:shd w:fill="3C6F46" w:val="clear"/>
            <w:tcMar>
              <w:top w:type="dxa" w:w="120"/>
              <w:left w:type="dxa" w:w="80"/>
              <w:bottom w:type="dxa" w:w="120"/>
              <w:right w:type="dxa" w:w="80"/>
            </w:tcMar>
          </w:tcPr>
          <w:p>
            <w:pPr>
              <w:spacing w:before="80" w:after="0"/>
              <w:jc w:val="center"/>
            </w:pPr>
            <w:r>
              <w:rPr>
                <w:rFonts w:ascii="Arial" w:cs="Arial" w:eastAsia="Arial" w:hAnsi="Arial"/>
                <w:sz w:val="32"/>
                <w:szCs w:val="32"/>
              </w:rPr>
              <w:t xml:space="preserve">📋</w:t>
            </w:r>
          </w:p>
        </w:tc>
        <w:tc>
          <w:tcPr>
            <w:tcW w:type="dxa" w:w="8880"/>
            <w:tcBorders>
              <w:top w:val="nil" w:color="FFFFFF" w:sz="0"/>
              <w:left w:val="nil" w:color="FFFFFF" w:sz="0"/>
              <w:bottom w:val="single" w:color="D6E4DB" w:sz="4"/>
              <w:right w:val="nil" w:color="FFFFFF" w:sz="0"/>
            </w:tcBorders>
            <w:shd w:fill="F0F4F1" w:val="clear"/>
            <w:tcMar>
              <w:top w:type="dxa" w:w="140"/>
              <w:left w:type="dxa" w:w="200"/>
              <w:bottom w:type="dxa" w:w="140"/>
              <w:right w:type="dxa" w:w="200"/>
            </w:tcMar>
          </w:tcPr>
          <w:p>
            <w:pPr>
              <w:spacing w:before="0" w:after="60"/>
            </w:pPr>
            <w:r>
              <w:rPr>
                <w:rFonts w:ascii="Arial" w:cs="Arial" w:eastAsia="Arial" w:hAnsi="Arial"/>
                <w:b/>
                <w:bCs/>
                <w:color w:val="18492E"/>
                <w:sz w:val="24"/>
                <w:szCs w:val="24"/>
              </w:rPr>
              <w:t xml:space="preserve">Ready-to-Launch Campaign Templates by Organization Type</w:t>
            </w:r>
          </w:p>
          <w:p>
            <w:pPr>
              <w:spacing w:before="40" w:after="40"/>
            </w:pPr>
            <w:r>
              <w:rPr>
                <w:rFonts w:ascii="Arial" w:cs="Arial" w:eastAsia="Arial" w:hAnsi="Arial"/>
                <w:b/>
                <w:bCs/>
                <w:color w:val="3C6F46"/>
                <w:sz w:val="20"/>
                <w:szCs w:val="20"/>
              </w:rPr>
              <w:t xml:space="preserve">Feature:  </w:t>
            </w:r>
            <w:r>
              <w:rPr>
                <w:rFonts w:ascii="Arial" w:cs="Arial" w:eastAsia="Arial" w:hAnsi="Arial"/>
                <w:color w:val="333333"/>
                <w:sz w:val="20"/>
                <w:szCs w:val="20"/>
              </w:rPr>
              <w:t xml:space="preserve">Four pre-built, audience-specific campaign templates are available at a click: School Drive, Nonprofit Impact, Community of Faith, and Civic Group Drive. Each template includes pre-configured impact language, social sharing materials, and email sequences tailored to that audience. Applying a template takes a single click.</w:t>
            </w:r>
          </w:p>
          <w:p>
            <w:pPr>
              <w:spacing w:before="40" w:after="40"/>
            </w:pPr>
            <w:r>
              <w:rPr>
                <w:rFonts w:ascii="Arial" w:cs="Arial" w:eastAsia="Arial" w:hAnsi="Arial"/>
                <w:b/>
                <w:bCs/>
                <w:color w:val="C0392B"/>
                <w:sz w:val="20"/>
                <w:szCs w:val="20"/>
              </w:rPr>
              <w:t xml:space="preserve">Problem Solved:  </w:t>
            </w:r>
            <w:r>
              <w:rPr>
                <w:rFonts w:ascii="Arial" w:cs="Arial" w:eastAsia="Arial" w:hAnsi="Arial"/>
                <w:color w:val="333333"/>
                <w:sz w:val="20"/>
                <w:szCs w:val="20"/>
              </w:rPr>
              <w:t xml:space="preserve">Without templates, every new client would require a custom campaign setup — either performed by the client with significant guidance from staff, or by a client specialist who would need to configure email sequences, landing page copy, and impact messaging from scratch for each organization. The 31-page Faith-Based Guide was the manual workaround for this problem.</w:t>
            </w:r>
          </w:p>
          <w:p>
            <w:pPr>
              <w:spacing w:before="40" w:after="40"/>
            </w:pPr>
            <w:r>
              <w:rPr>
                <w:rFonts w:ascii="Arial" w:cs="Arial" w:eastAsia="Arial" w:hAnsi="Arial"/>
                <w:b/>
                <w:bCs/>
                <w:color w:val="E4B659"/>
                <w:sz w:val="20"/>
                <w:szCs w:val="20"/>
              </w:rPr>
              <w:t xml:space="preserve">Benefit:  </w:t>
            </w:r>
            <w:r>
              <w:rPr>
                <w:rFonts w:ascii="Arial" w:cs="Arial" w:eastAsia="Arial" w:hAnsi="Arial"/>
                <w:color w:val="333333"/>
                <w:sz w:val="20"/>
                <w:szCs w:val="20"/>
              </w:rPr>
              <w:t xml:space="preserve">New campaigns can go from zero to live in under one hour, as advertised in the TreeRaise digital kit. Templates encode best practices that previously lived only in staff knowledge or static PDFs.</w:t>
            </w:r>
          </w:p>
          <w:p>
            <w:pPr>
              <w:spacing w:before="60" w:after="20"/>
            </w:pPr>
            <w:r>
              <w:rPr>
                <w:rFonts w:ascii="Arial" w:cs="Arial" w:eastAsia="Arial" w:hAnsi="Arial"/>
                <w:b/>
                <w:bCs/>
                <w:color w:val="FFFFFF"/>
                <w:sz w:val="19"/>
                <w:szCs w:val="19"/>
              </w:rPr>
              <w:t xml:space="preserve">  ↓ 80%+ reduction in campaign setup time per client</w:t>
            </w:r>
          </w:p>
        </w:tc>
      </w:tr>
    </w:tbl>
    <w:p>
      <w:pPr>
        <w:spacing w:before="0" w:after="0"/>
      </w:pPr>
      <w:r>
        <w:t xml:space="preserve"/>
      </w:r>
    </w:p>
    <w:p>
      <w:pPr>
        <w:pStyle w:val="Heading2"/>
        <w:spacing w:before="280" w:after="120"/>
      </w:pPr>
      <w:r>
        <w:rPr>
          <w:rFonts w:ascii="Arial" w:cs="Arial" w:eastAsia="Arial" w:hAnsi="Arial"/>
          <w:b/>
          <w:bCs/>
          <w:color w:val="3C6F46"/>
          <w:sz w:val="26"/>
          <w:szCs w:val="26"/>
        </w:rPr>
        <w:t xml:space="preserve">5.  Live Impact Dashboard with veritree API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880"/>
      </w:tblGrid>
      <w:tr>
        <w:tc>
          <w:tcPr>
            <w:tcW w:type="dxa" w:w="480"/>
            <w:tcBorders>
              <w:top w:val="nil" w:color="FFFFFF" w:sz="0"/>
              <w:left w:val="nil" w:color="FFFFFF" w:sz="0"/>
              <w:bottom w:val="nil" w:color="FFFFFF" w:sz="0"/>
              <w:right w:val="nil" w:color="FFFFFF" w:sz="0"/>
            </w:tcBorders>
            <w:shd w:fill="3C6F46" w:val="clear"/>
            <w:tcMar>
              <w:top w:type="dxa" w:w="120"/>
              <w:left w:type="dxa" w:w="80"/>
              <w:bottom w:type="dxa" w:w="120"/>
              <w:right w:type="dxa" w:w="80"/>
            </w:tcMar>
          </w:tcPr>
          <w:p>
            <w:pPr>
              <w:spacing w:before="80" w:after="0"/>
              <w:jc w:val="center"/>
            </w:pPr>
            <w:r>
              <w:rPr>
                <w:rFonts w:ascii="Arial" w:cs="Arial" w:eastAsia="Arial" w:hAnsi="Arial"/>
                <w:sz w:val="32"/>
                <w:szCs w:val="32"/>
              </w:rPr>
              <w:t xml:space="preserve">🌿</w:t>
            </w:r>
          </w:p>
        </w:tc>
        <w:tc>
          <w:tcPr>
            <w:tcW w:type="dxa" w:w="8880"/>
            <w:tcBorders>
              <w:top w:val="nil" w:color="FFFFFF" w:sz="0"/>
              <w:left w:val="nil" w:color="FFFFFF" w:sz="0"/>
              <w:bottom w:val="single" w:color="D6E4DB" w:sz="4"/>
              <w:right w:val="nil" w:color="FFFFFF" w:sz="0"/>
            </w:tcBorders>
            <w:shd w:fill="F0F4F1" w:val="clear"/>
            <w:tcMar>
              <w:top w:type="dxa" w:w="140"/>
              <w:left w:type="dxa" w:w="200"/>
              <w:bottom w:type="dxa" w:w="140"/>
              <w:right w:type="dxa" w:w="200"/>
            </w:tcMar>
          </w:tcPr>
          <w:p>
            <w:pPr>
              <w:spacing w:before="0" w:after="60"/>
            </w:pPr>
            <w:r>
              <w:rPr>
                <w:rFonts w:ascii="Arial" w:cs="Arial" w:eastAsia="Arial" w:hAnsi="Arial"/>
                <w:b/>
                <w:bCs/>
                <w:color w:val="18492E"/>
                <w:sz w:val="24"/>
                <w:szCs w:val="24"/>
              </w:rPr>
              <w:t xml:space="preserve">Real-Time Environmental Impact Dashboard (veritree-Verified)</w:t>
            </w:r>
          </w:p>
          <w:p>
            <w:pPr>
              <w:spacing w:before="40" w:after="40"/>
            </w:pPr>
            <w:r>
              <w:rPr>
                <w:rFonts w:ascii="Arial" w:cs="Arial" w:eastAsia="Arial" w:hAnsi="Arial"/>
                <w:b/>
                <w:bCs/>
                <w:color w:val="3C6F46"/>
                <w:sz w:val="20"/>
                <w:szCs w:val="20"/>
              </w:rPr>
              <w:t xml:space="preserve">Feature:  </w:t>
            </w:r>
            <w:r>
              <w:rPr>
                <w:rFonts w:ascii="Arial" w:cs="Arial" w:eastAsia="Arial" w:hAnsi="Arial"/>
                <w:color w:val="333333"/>
                <w:sz w:val="20"/>
                <w:szCs w:val="20"/>
              </w:rPr>
              <w:t xml:space="preserve">The Impact Dashboard pulls live data from the veritree API (last sync shown as 14 minutes ago) and displays trees planted, CO₂ offset, and active planting site details including species, country, and GPS coordinates. Partners can also generate and download a branded impact certificate and a donation receipt PDF — both branded to their organization.</w:t>
            </w:r>
          </w:p>
          <w:p>
            <w:pPr>
              <w:spacing w:before="40" w:after="40"/>
            </w:pPr>
            <w:r>
              <w:rPr>
                <w:rFonts w:ascii="Arial" w:cs="Arial" w:eastAsia="Arial" w:hAnsi="Arial"/>
                <w:b/>
                <w:bCs/>
                <w:color w:val="C0392B"/>
                <w:sz w:val="20"/>
                <w:szCs w:val="20"/>
              </w:rPr>
              <w:t xml:space="preserve">Problem Solved:  </w:t>
            </w:r>
            <w:r>
              <w:rPr>
                <w:rFonts w:ascii="Arial" w:cs="Arial" w:eastAsia="Arial" w:hAnsi="Arial"/>
                <w:color w:val="333333"/>
                <w:sz w:val="20"/>
                <w:szCs w:val="20"/>
              </w:rPr>
              <w:t xml:space="preserve">TreeRaise's identified Problem 2 — the 'Trust-Conversion Paradox' — was that verified impact data was either buried or externally hosted, breaking trust during the donor journey. Donors and partners had to leave the platform to verify claims, creating hesitation and drop-off. Staff had to manually prepare impact reports and email them to partners.</w:t>
            </w:r>
          </w:p>
          <w:p>
            <w:pPr>
              <w:spacing w:before="40" w:after="40"/>
            </w:pPr>
            <w:r>
              <w:rPr>
                <w:rFonts w:ascii="Arial" w:cs="Arial" w:eastAsia="Arial" w:hAnsi="Arial"/>
                <w:b/>
                <w:bCs/>
                <w:color w:val="E4B659"/>
                <w:sz w:val="20"/>
                <w:szCs w:val="20"/>
              </w:rPr>
              <w:t xml:space="preserve">Benefit:  </w:t>
            </w:r>
            <w:r>
              <w:rPr>
                <w:rFonts w:ascii="Arial" w:cs="Arial" w:eastAsia="Arial" w:hAnsi="Arial"/>
                <w:color w:val="333333"/>
                <w:sz w:val="20"/>
                <w:szCs w:val="20"/>
              </w:rPr>
              <w:t xml:space="preserve">Verified impact data lives natively in the partner's own dashboard, instantly accessible to donors via receipt and certificate. This eliminates the trust gap at the exact moment donors need reassurance, directly improving conversion rates and donor retention.</w:t>
            </w:r>
          </w:p>
          <w:p>
            <w:pPr>
              <w:spacing w:before="60" w:after="20"/>
            </w:pPr>
            <w:r>
              <w:rPr>
                <w:rFonts w:ascii="Arial" w:cs="Arial" w:eastAsia="Arial" w:hAnsi="Arial"/>
                <w:b/>
                <w:bCs/>
                <w:color w:val="FFFFFF"/>
                <w:sz w:val="19"/>
                <w:szCs w:val="19"/>
              </w:rPr>
              <w:t xml:space="preserve">  ↑ ~40–55% improvement in donor trust &amp; repeat donation rate</w:t>
            </w:r>
          </w:p>
        </w:tc>
      </w:tr>
    </w:tbl>
    <w:p>
      <w:pPr>
        <w:spacing w:before="0" w:after="0"/>
      </w:pPr>
      <w:r>
        <w:t xml:space="preserve"/>
      </w:r>
    </w:p>
    <w:p>
      <w:pPr>
        <w:pStyle w:val="Heading2"/>
        <w:spacing w:before="280" w:after="120"/>
      </w:pPr>
      <w:r>
        <w:rPr>
          <w:rFonts w:ascii="Arial" w:cs="Arial" w:eastAsia="Arial" w:hAnsi="Arial"/>
          <w:b/>
          <w:bCs/>
          <w:color w:val="3C6F46"/>
          <w:sz w:val="26"/>
          <w:szCs w:val="26"/>
        </w:rPr>
        <w:t xml:space="preserve">6.  Automated Billing, Payouts &amp; Revenue Share Calculator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880"/>
      </w:tblGrid>
      <w:tr>
        <w:tc>
          <w:tcPr>
            <w:tcW w:type="dxa" w:w="480"/>
            <w:tcBorders>
              <w:top w:val="nil" w:color="FFFFFF" w:sz="0"/>
              <w:left w:val="nil" w:color="FFFFFF" w:sz="0"/>
              <w:bottom w:val="nil" w:color="FFFFFF" w:sz="0"/>
              <w:right w:val="nil" w:color="FFFFFF" w:sz="0"/>
            </w:tcBorders>
            <w:shd w:fill="3C6F46" w:val="clear"/>
            <w:tcMar>
              <w:top w:type="dxa" w:w="120"/>
              <w:left w:type="dxa" w:w="80"/>
              <w:bottom w:type="dxa" w:w="120"/>
              <w:right w:type="dxa" w:w="80"/>
            </w:tcMar>
          </w:tcPr>
          <w:p>
            <w:pPr>
              <w:spacing w:before="80" w:after="0"/>
              <w:jc w:val="center"/>
            </w:pPr>
            <w:r>
              <w:rPr>
                <w:rFonts w:ascii="Arial" w:cs="Arial" w:eastAsia="Arial" w:hAnsi="Arial"/>
                <w:sz w:val="32"/>
                <w:szCs w:val="32"/>
              </w:rPr>
              <w:t xml:space="preserve">💳</w:t>
            </w:r>
          </w:p>
        </w:tc>
        <w:tc>
          <w:tcPr>
            <w:tcW w:type="dxa" w:w="8880"/>
            <w:tcBorders>
              <w:top w:val="nil" w:color="FFFFFF" w:sz="0"/>
              <w:left w:val="nil" w:color="FFFFFF" w:sz="0"/>
              <w:bottom w:val="single" w:color="D6E4DB" w:sz="4"/>
              <w:right w:val="nil" w:color="FFFFFF" w:sz="0"/>
            </w:tcBorders>
            <w:shd w:fill="F0F4F1" w:val="clear"/>
            <w:tcMar>
              <w:top w:type="dxa" w:w="140"/>
              <w:left w:type="dxa" w:w="200"/>
              <w:bottom w:type="dxa" w:w="140"/>
              <w:right w:type="dxa" w:w="200"/>
            </w:tcMar>
          </w:tcPr>
          <w:p>
            <w:pPr>
              <w:spacing w:before="0" w:after="60"/>
            </w:pPr>
            <w:r>
              <w:rPr>
                <w:rFonts w:ascii="Arial" w:cs="Arial" w:eastAsia="Arial" w:hAnsi="Arial"/>
                <w:b/>
                <w:bCs/>
                <w:color w:val="18492E"/>
                <w:sz w:val="24"/>
                <w:szCs w:val="24"/>
              </w:rPr>
              <w:t xml:space="preserve">Stripe-Integrated Billing with Automated 7-Day Payout Cycle</w:t>
            </w:r>
          </w:p>
          <w:p>
            <w:pPr>
              <w:spacing w:before="40" w:after="40"/>
            </w:pPr>
            <w:r>
              <w:rPr>
                <w:rFonts w:ascii="Arial" w:cs="Arial" w:eastAsia="Arial" w:hAnsi="Arial"/>
                <w:b/>
                <w:bCs/>
                <w:color w:val="3C6F46"/>
                <w:sz w:val="20"/>
                <w:szCs w:val="20"/>
              </w:rPr>
              <w:t xml:space="preserve">Feature:  </w:t>
            </w:r>
            <w:r>
              <w:rPr>
                <w:rFonts w:ascii="Arial" w:cs="Arial" w:eastAsia="Arial" w:hAnsi="Arial"/>
                <w:color w:val="333333"/>
                <w:sz w:val="20"/>
                <w:szCs w:val="20"/>
              </w:rPr>
              <w:t xml:space="preserve">Partners connect a payout bank account through Stripe with KYC verification. Payouts process automatically every 7 days. The Revenue Share Calculator lets partners see exactly how much they will retain (50%) versus TreeRaise's 8% fee, before committing to a campaign. Invoice history is stored automatically. Payout account changes are logged with reason codes and ownership trails.</w:t>
            </w:r>
          </w:p>
          <w:p>
            <w:pPr>
              <w:spacing w:before="40" w:after="40"/>
            </w:pPr>
            <w:r>
              <w:rPr>
                <w:rFonts w:ascii="Arial" w:cs="Arial" w:eastAsia="Arial" w:hAnsi="Arial"/>
                <w:b/>
                <w:bCs/>
                <w:color w:val="C0392B"/>
                <w:sz w:val="20"/>
                <w:szCs w:val="20"/>
              </w:rPr>
              <w:t xml:space="preserve">Problem Solved:  </w:t>
            </w:r>
            <w:r>
              <w:rPr>
                <w:rFonts w:ascii="Arial" w:cs="Arial" w:eastAsia="Arial" w:hAnsi="Arial"/>
                <w:color w:val="333333"/>
                <w:sz w:val="20"/>
                <w:szCs w:val="20"/>
              </w:rPr>
              <w:t xml:space="preserve">Without this system, payout calculations were manual, and every disbursement required staff to verify KYC status, calculate fees, confirm bank details, and initiate transfers — a process prone to errors and delays. Disputes over revenue split were common because clients didn't have transparent visibility into the fee structure before signing up.</w:t>
            </w:r>
          </w:p>
          <w:p>
            <w:pPr>
              <w:spacing w:before="40" w:after="40"/>
            </w:pPr>
            <w:r>
              <w:rPr>
                <w:rFonts w:ascii="Arial" w:cs="Arial" w:eastAsia="Arial" w:hAnsi="Arial"/>
                <w:b/>
                <w:bCs/>
                <w:color w:val="E4B659"/>
                <w:sz w:val="20"/>
                <w:szCs w:val="20"/>
              </w:rPr>
              <w:t xml:space="preserve">Benefit:  </w:t>
            </w:r>
            <w:r>
              <w:rPr>
                <w:rFonts w:ascii="Arial" w:cs="Arial" w:eastAsia="Arial" w:hAnsi="Arial"/>
                <w:color w:val="333333"/>
                <w:sz w:val="20"/>
                <w:szCs w:val="20"/>
              </w:rPr>
              <w:t xml:space="preserve">Full financial transparency is delivered at the point of conversion (the Revenue Share Calculator appears during signup), eliminating objections. The 7-day automated payout cycle removes all manual disbursement labor and builds partner trust through consistency.</w:t>
            </w:r>
          </w:p>
          <w:p>
            <w:pPr>
              <w:spacing w:before="60" w:after="20"/>
            </w:pPr>
            <w:r>
              <w:rPr>
                <w:rFonts w:ascii="Arial" w:cs="Arial" w:eastAsia="Arial" w:hAnsi="Arial"/>
                <w:b/>
                <w:bCs/>
                <w:color w:val="FFFFFF"/>
                <w:sz w:val="19"/>
                <w:szCs w:val="19"/>
              </w:rPr>
              <w:t xml:space="preserve">  ↓ ~90% reduction in manual payout processing time</w:t>
            </w:r>
          </w:p>
        </w:tc>
      </w:tr>
    </w:tbl>
    <w:p>
      <w:pPr>
        <w:spacing w:before="0" w:after="0"/>
      </w:pPr>
      <w:r>
        <w:t xml:space="preserve"/>
      </w:r>
    </w:p>
    <w:p>
      <w:pPr>
        <w:pStyle w:val="Heading2"/>
        <w:spacing w:before="280" w:after="120"/>
      </w:pPr>
      <w:r>
        <w:rPr>
          <w:rFonts w:ascii="Arial" w:cs="Arial" w:eastAsia="Arial" w:hAnsi="Arial"/>
          <w:b/>
          <w:bCs/>
          <w:color w:val="3C6F46"/>
          <w:sz w:val="26"/>
          <w:szCs w:val="26"/>
        </w:rPr>
        <w:t xml:space="preserve">7.  Team Permissions &amp; Role-Based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880"/>
      </w:tblGrid>
      <w:tr>
        <w:tc>
          <w:tcPr>
            <w:tcW w:type="dxa" w:w="480"/>
            <w:tcBorders>
              <w:top w:val="nil" w:color="FFFFFF" w:sz="0"/>
              <w:left w:val="nil" w:color="FFFFFF" w:sz="0"/>
              <w:bottom w:val="nil" w:color="FFFFFF" w:sz="0"/>
              <w:right w:val="nil" w:color="FFFFFF" w:sz="0"/>
            </w:tcBorders>
            <w:shd w:fill="3C6F46" w:val="clear"/>
            <w:tcMar>
              <w:top w:type="dxa" w:w="120"/>
              <w:left w:type="dxa" w:w="80"/>
              <w:bottom w:type="dxa" w:w="120"/>
              <w:right w:type="dxa" w:w="80"/>
            </w:tcMar>
          </w:tcPr>
          <w:p>
            <w:pPr>
              <w:spacing w:before="80" w:after="0"/>
              <w:jc w:val="center"/>
            </w:pPr>
            <w:r>
              <w:rPr>
                <w:rFonts w:ascii="Arial" w:cs="Arial" w:eastAsia="Arial" w:hAnsi="Arial"/>
                <w:sz w:val="32"/>
                <w:szCs w:val="32"/>
              </w:rPr>
              <w:t xml:space="preserve">🔐</w:t>
            </w:r>
          </w:p>
        </w:tc>
        <w:tc>
          <w:tcPr>
            <w:tcW w:type="dxa" w:w="8880"/>
            <w:tcBorders>
              <w:top w:val="nil" w:color="FFFFFF" w:sz="0"/>
              <w:left w:val="nil" w:color="FFFFFF" w:sz="0"/>
              <w:bottom w:val="single" w:color="D6E4DB" w:sz="4"/>
              <w:right w:val="nil" w:color="FFFFFF" w:sz="0"/>
            </w:tcBorders>
            <w:shd w:fill="F0F4F1" w:val="clear"/>
            <w:tcMar>
              <w:top w:type="dxa" w:w="140"/>
              <w:left w:type="dxa" w:w="200"/>
              <w:bottom w:type="dxa" w:w="140"/>
              <w:right w:type="dxa" w:w="200"/>
            </w:tcMar>
          </w:tcPr>
          <w:p>
            <w:pPr>
              <w:spacing w:before="0" w:after="60"/>
            </w:pPr>
            <w:r>
              <w:rPr>
                <w:rFonts w:ascii="Arial" w:cs="Arial" w:eastAsia="Arial" w:hAnsi="Arial"/>
                <w:b/>
                <w:bCs/>
                <w:color w:val="18492E"/>
                <w:sz w:val="24"/>
                <w:szCs w:val="24"/>
              </w:rPr>
              <w:t xml:space="preserve">Multi-Role Team Invite System (Co-Organizer / Finance / Viewer)</w:t>
            </w:r>
          </w:p>
          <w:p>
            <w:pPr>
              <w:spacing w:before="40" w:after="40"/>
            </w:pPr>
            <w:r>
              <w:rPr>
                <w:rFonts w:ascii="Arial" w:cs="Arial" w:eastAsia="Arial" w:hAnsi="Arial"/>
                <w:b/>
                <w:bCs/>
                <w:color w:val="3C6F46"/>
                <w:sz w:val="20"/>
                <w:szCs w:val="20"/>
              </w:rPr>
              <w:t xml:space="preserve">Feature:  </w:t>
            </w:r>
            <w:r>
              <w:rPr>
                <w:rFonts w:ascii="Arial" w:cs="Arial" w:eastAsia="Arial" w:hAnsi="Arial"/>
                <w:color w:val="333333"/>
                <w:sz w:val="20"/>
                <w:szCs w:val="20"/>
              </w:rPr>
              <w:t xml:space="preserve">Partners can invite team members and assign them roles with different access levels — Co-Organizer, Finance, or Viewer. Pending invitations are tracked and managed within the portal. Permissions are enforced without any manual admin setup by TreeRaise staff.</w:t>
            </w:r>
          </w:p>
          <w:p>
            <w:pPr>
              <w:spacing w:before="40" w:after="40"/>
            </w:pPr>
            <w:r>
              <w:rPr>
                <w:rFonts w:ascii="Arial" w:cs="Arial" w:eastAsia="Arial" w:hAnsi="Arial"/>
                <w:b/>
                <w:bCs/>
                <w:color w:val="C0392B"/>
                <w:sz w:val="20"/>
                <w:szCs w:val="20"/>
              </w:rPr>
              <w:t xml:space="preserve">Problem Solved:  </w:t>
            </w:r>
            <w:r>
              <w:rPr>
                <w:rFonts w:ascii="Arial" w:cs="Arial" w:eastAsia="Arial" w:hAnsi="Arial"/>
                <w:color w:val="333333"/>
                <w:sz w:val="20"/>
                <w:szCs w:val="20"/>
              </w:rPr>
              <w:t xml:space="preserve">Previously, when a partner wanted to add a team member, this required a support email to TreeRaise, manual account adjustment by staff, and back-and-forth communication to confirm access levels. With multiple organizations each having 2–5 staff members, this created a significant support backlog.</w:t>
            </w:r>
          </w:p>
          <w:p>
            <w:pPr>
              <w:spacing w:before="40" w:after="40"/>
            </w:pPr>
            <w:r>
              <w:rPr>
                <w:rFonts w:ascii="Arial" w:cs="Arial" w:eastAsia="Arial" w:hAnsi="Arial"/>
                <w:b/>
                <w:bCs/>
                <w:color w:val="E4B659"/>
                <w:sz w:val="20"/>
                <w:szCs w:val="20"/>
              </w:rPr>
              <w:t xml:space="preserve">Benefit:  </w:t>
            </w:r>
            <w:r>
              <w:rPr>
                <w:rFonts w:ascii="Arial" w:cs="Arial" w:eastAsia="Arial" w:hAnsi="Arial"/>
                <w:color w:val="333333"/>
                <w:sz w:val="20"/>
                <w:szCs w:val="20"/>
              </w:rPr>
              <w:t xml:space="preserve">Partners are fully self-sufficient in managing their own teams. TreeRaise staff are removed from this workflow entirely, freeing support capacity for higher-value activities.</w:t>
            </w:r>
          </w:p>
          <w:p>
            <w:pPr>
              <w:spacing w:before="60" w:after="20"/>
            </w:pPr>
            <w:r>
              <w:rPr>
                <w:rFonts w:ascii="Arial" w:cs="Arial" w:eastAsia="Arial" w:hAnsi="Arial"/>
                <w:b/>
                <w:bCs/>
                <w:color w:val="FFFFFF"/>
                <w:sz w:val="19"/>
                <w:szCs w:val="19"/>
              </w:rPr>
              <w:t xml:space="preserve">  ↓ ~100% elimination of team-access support tickets</w:t>
            </w:r>
          </w:p>
        </w:tc>
      </w:tr>
    </w:tbl>
    <w:p>
      <w:pPr>
        <w:spacing w:before="0" w:after="0"/>
      </w:pPr>
      <w:r>
        <w:t xml:space="preserve"/>
      </w:r>
    </w:p>
    <w:p>
      <w:pPr>
        <w:pStyle w:val="Heading2"/>
        <w:spacing w:before="280" w:after="120"/>
      </w:pPr>
      <w:r>
        <w:rPr>
          <w:rFonts w:ascii="Arial" w:cs="Arial" w:eastAsia="Arial" w:hAnsi="Arial"/>
          <w:b/>
          <w:bCs/>
          <w:color w:val="3C6F46"/>
          <w:sz w:val="26"/>
          <w:szCs w:val="26"/>
        </w:rPr>
        <w:t xml:space="preserve">8.  3-Layer Identity &amp; Organization Verification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880"/>
      </w:tblGrid>
      <w:tr>
        <w:tc>
          <w:tcPr>
            <w:tcW w:type="dxa" w:w="480"/>
            <w:tcBorders>
              <w:top w:val="nil" w:color="FFFFFF" w:sz="0"/>
              <w:left w:val="nil" w:color="FFFFFF" w:sz="0"/>
              <w:bottom w:val="nil" w:color="FFFFFF" w:sz="0"/>
              <w:right w:val="nil" w:color="FFFFFF" w:sz="0"/>
            </w:tcBorders>
            <w:shd w:fill="3C6F46" w:val="clear"/>
            <w:tcMar>
              <w:top w:type="dxa" w:w="120"/>
              <w:left w:type="dxa" w:w="80"/>
              <w:bottom w:type="dxa" w:w="120"/>
              <w:right w:type="dxa" w:w="80"/>
            </w:tcMar>
          </w:tcPr>
          <w:p>
            <w:pPr>
              <w:spacing w:before="80" w:after="0"/>
              <w:jc w:val="center"/>
            </w:pPr>
            <w:r>
              <w:rPr>
                <w:rFonts w:ascii="Arial" w:cs="Arial" w:eastAsia="Arial" w:hAnsi="Arial"/>
                <w:sz w:val="32"/>
                <w:szCs w:val="32"/>
              </w:rPr>
              <w:t xml:space="preserve">🛡️</w:t>
            </w:r>
          </w:p>
        </w:tc>
        <w:tc>
          <w:tcPr>
            <w:tcW w:type="dxa" w:w="8880"/>
            <w:tcBorders>
              <w:top w:val="nil" w:color="FFFFFF" w:sz="0"/>
              <w:left w:val="nil" w:color="FFFFFF" w:sz="0"/>
              <w:bottom w:val="single" w:color="D6E4DB" w:sz="4"/>
              <w:right w:val="nil" w:color="FFFFFF" w:sz="0"/>
            </w:tcBorders>
            <w:shd w:fill="F0F4F1" w:val="clear"/>
            <w:tcMar>
              <w:top w:type="dxa" w:w="140"/>
              <w:left w:type="dxa" w:w="200"/>
              <w:bottom w:type="dxa" w:w="140"/>
              <w:right w:type="dxa" w:w="200"/>
            </w:tcMar>
          </w:tcPr>
          <w:p>
            <w:pPr>
              <w:spacing w:before="0" w:after="60"/>
            </w:pPr>
            <w:r>
              <w:rPr>
                <w:rFonts w:ascii="Arial" w:cs="Arial" w:eastAsia="Arial" w:hAnsi="Arial"/>
                <w:b/>
                <w:bCs/>
                <w:color w:val="18492E"/>
                <w:sz w:val="24"/>
                <w:szCs w:val="24"/>
              </w:rPr>
              <w:t xml:space="preserve">Automated KYC Verification with Three Progressive Layers</w:t>
            </w:r>
          </w:p>
          <w:p>
            <w:pPr>
              <w:spacing w:before="40" w:after="40"/>
            </w:pPr>
            <w:r>
              <w:rPr>
                <w:rFonts w:ascii="Arial" w:cs="Arial" w:eastAsia="Arial" w:hAnsi="Arial"/>
                <w:b/>
                <w:bCs/>
                <w:color w:val="3C6F46"/>
                <w:sz w:val="20"/>
                <w:szCs w:val="20"/>
              </w:rPr>
              <w:t xml:space="preserve">Feature:  </w:t>
            </w:r>
            <w:r>
              <w:rPr>
                <w:rFonts w:ascii="Arial" w:cs="Arial" w:eastAsia="Arial" w:hAnsi="Arial"/>
                <w:color w:val="333333"/>
                <w:sz w:val="20"/>
                <w:szCs w:val="20"/>
              </w:rPr>
              <w:t xml:space="preserve">New partners go through three sequential verification layers automatically: Layer 1 (Email Verification), Layer 2 (Organization Verification), and Layer 3 (Identity/KYC). Each layer has a live status indicator (complete, active, pending). Once all three are cleared, payout access is unlocked without manual review by TreeRaise staff.</w:t>
            </w:r>
          </w:p>
          <w:p>
            <w:pPr>
              <w:spacing w:before="40" w:after="40"/>
            </w:pPr>
            <w:r>
              <w:rPr>
                <w:rFonts w:ascii="Arial" w:cs="Arial" w:eastAsia="Arial" w:hAnsi="Arial"/>
                <w:b/>
                <w:bCs/>
                <w:color w:val="C0392B"/>
                <w:sz w:val="20"/>
                <w:szCs w:val="20"/>
              </w:rPr>
              <w:t xml:space="preserve">Problem Solved:  </w:t>
            </w:r>
            <w:r>
              <w:rPr>
                <w:rFonts w:ascii="Arial" w:cs="Arial" w:eastAsia="Arial" w:hAnsi="Arial"/>
                <w:color w:val="333333"/>
                <w:sz w:val="20"/>
                <w:szCs w:val="20"/>
              </w:rPr>
              <w:t xml:space="preserve">Manual verification was a significant bottleneck in Problem 1 (Onboarding Friction). Staff had to review each new organization's legitimacy manually, cross-reference documents, and manually approve payout access — a process that could take days and introduced delays at the worst moment of the partner journey (just before their first campaign launch).</w:t>
            </w:r>
          </w:p>
          <w:p>
            <w:pPr>
              <w:spacing w:before="40" w:after="40"/>
            </w:pPr>
            <w:r>
              <w:rPr>
                <w:rFonts w:ascii="Arial" w:cs="Arial" w:eastAsia="Arial" w:hAnsi="Arial"/>
                <w:b/>
                <w:bCs/>
                <w:color w:val="E4B659"/>
                <w:sz w:val="20"/>
                <w:szCs w:val="20"/>
              </w:rPr>
              <w:t xml:space="preserve">Benefit:  </w:t>
            </w:r>
            <w:r>
              <w:rPr>
                <w:rFonts w:ascii="Arial" w:cs="Arial" w:eastAsia="Arial" w:hAnsi="Arial"/>
                <w:color w:val="333333"/>
                <w:sz w:val="20"/>
                <w:szCs w:val="20"/>
              </w:rPr>
              <w:t xml:space="preserve">Verification is objective, consistent, and instant — completing in the background as partners set up their campaigns. Fraud risk is mitigated systematically without staff effort. Partners experience no perceived delay.</w:t>
            </w:r>
          </w:p>
          <w:p>
            <w:pPr>
              <w:spacing w:before="60" w:after="20"/>
            </w:pPr>
            <w:r>
              <w:rPr>
                <w:rFonts w:ascii="Arial" w:cs="Arial" w:eastAsia="Arial" w:hAnsi="Arial"/>
                <w:b/>
                <w:bCs/>
                <w:color w:val="FFFFFF"/>
                <w:sz w:val="19"/>
                <w:szCs w:val="19"/>
              </w:rPr>
              <w:t xml:space="preserve">  ↓ 2–5 day manual verification window eliminated</w:t>
            </w:r>
          </w:p>
        </w:tc>
      </w:tr>
    </w:tbl>
    <w:p>
      <w:pPr>
        <w:spacing w:before="0" w:after="0"/>
      </w:pPr>
      <w:r>
        <w:t xml:space="preserve"/>
      </w:r>
    </w:p>
    <w:p>
      <w:pPr>
        <w:pStyle w:val="Heading2"/>
        <w:spacing w:before="280" w:after="120"/>
      </w:pPr>
      <w:r>
        <w:rPr>
          <w:rFonts w:ascii="Arial" w:cs="Arial" w:eastAsia="Arial" w:hAnsi="Arial"/>
          <w:b/>
          <w:bCs/>
          <w:color w:val="3C6F46"/>
          <w:sz w:val="26"/>
          <w:szCs w:val="26"/>
        </w:rPr>
        <w:t xml:space="preserve">9.  Admin Console — Real-Time Organizational Oversight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880"/>
      </w:tblGrid>
      <w:tr>
        <w:tc>
          <w:tcPr>
            <w:tcW w:type="dxa" w:w="480"/>
            <w:tcBorders>
              <w:top w:val="nil" w:color="FFFFFF" w:sz="0"/>
              <w:left w:val="nil" w:color="FFFFFF" w:sz="0"/>
              <w:bottom w:val="nil" w:color="FFFFFF" w:sz="0"/>
              <w:right w:val="nil" w:color="FFFFFF" w:sz="0"/>
            </w:tcBorders>
            <w:shd w:fill="3C6F46" w:val="clear"/>
            <w:tcMar>
              <w:top w:type="dxa" w:w="120"/>
              <w:left w:type="dxa" w:w="80"/>
              <w:bottom w:type="dxa" w:w="120"/>
              <w:right w:type="dxa" w:w="80"/>
            </w:tcMar>
          </w:tcPr>
          <w:p>
            <w:pPr>
              <w:spacing w:before="80" w:after="0"/>
              <w:jc w:val="center"/>
            </w:pPr>
            <w:r>
              <w:rPr>
                <w:rFonts w:ascii="Arial" w:cs="Arial" w:eastAsia="Arial" w:hAnsi="Arial"/>
                <w:sz w:val="32"/>
                <w:szCs w:val="32"/>
              </w:rPr>
              <w:t xml:space="preserve">📊</w:t>
            </w:r>
          </w:p>
        </w:tc>
        <w:tc>
          <w:tcPr>
            <w:tcW w:type="dxa" w:w="8880"/>
            <w:tcBorders>
              <w:top w:val="nil" w:color="FFFFFF" w:sz="0"/>
              <w:left w:val="nil" w:color="FFFFFF" w:sz="0"/>
              <w:bottom w:val="single" w:color="D6E4DB" w:sz="4"/>
              <w:right w:val="nil" w:color="FFFFFF" w:sz="0"/>
            </w:tcBorders>
            <w:shd w:fill="F0F4F1" w:val="clear"/>
            <w:tcMar>
              <w:top w:type="dxa" w:w="140"/>
              <w:left w:type="dxa" w:w="200"/>
              <w:bottom w:type="dxa" w:w="140"/>
              <w:right w:type="dxa" w:w="200"/>
            </w:tcMar>
          </w:tcPr>
          <w:p>
            <w:pPr>
              <w:spacing w:before="0" w:after="60"/>
            </w:pPr>
            <w:r>
              <w:rPr>
                <w:rFonts w:ascii="Arial" w:cs="Arial" w:eastAsia="Arial" w:hAnsi="Arial"/>
                <w:b/>
                <w:bCs/>
                <w:color w:val="18492E"/>
                <w:sz w:val="24"/>
                <w:szCs w:val="24"/>
              </w:rPr>
              <w:t xml:space="preserve">Centralized Admin Dashboard with Live Partner Metrics</w:t>
            </w:r>
          </w:p>
          <w:p>
            <w:pPr>
              <w:spacing w:before="40" w:after="40"/>
            </w:pPr>
            <w:r>
              <w:rPr>
                <w:rFonts w:ascii="Arial" w:cs="Arial" w:eastAsia="Arial" w:hAnsi="Arial"/>
                <w:b/>
                <w:bCs/>
                <w:color w:val="3C6F46"/>
                <w:sz w:val="20"/>
                <w:szCs w:val="20"/>
              </w:rPr>
              <w:t xml:space="preserve">Feature:  </w:t>
            </w:r>
            <w:r>
              <w:rPr>
                <w:rFonts w:ascii="Arial" w:cs="Arial" w:eastAsia="Arial" w:hAnsi="Arial"/>
                <w:color w:val="333333"/>
                <w:sz w:val="20"/>
                <w:szCs w:val="20"/>
              </w:rPr>
              <w:t xml:space="preserve">The Admin Console gives TreeRaise staff a live overview of all 47 partner organizations: active campaigns, total raised YTD, trees planted, revenue (8% fee), retention rate, and average onboarding time. Individual org profiles show full activity timelines, internal notes, KYC and bank verification status, and lane assignments — all in one view.</w:t>
            </w:r>
          </w:p>
          <w:p>
            <w:pPr>
              <w:spacing w:before="40" w:after="40"/>
            </w:pPr>
            <w:r>
              <w:rPr>
                <w:rFonts w:ascii="Arial" w:cs="Arial" w:eastAsia="Arial" w:hAnsi="Arial"/>
                <w:b/>
                <w:bCs/>
                <w:color w:val="C0392B"/>
                <w:sz w:val="20"/>
                <w:szCs w:val="20"/>
              </w:rPr>
              <w:t xml:space="preserve">Problem Solved:  </w:t>
            </w:r>
            <w:r>
              <w:rPr>
                <w:rFonts w:ascii="Arial" w:cs="Arial" w:eastAsia="Arial" w:hAnsi="Arial"/>
                <w:color w:val="333333"/>
                <w:sz w:val="20"/>
                <w:szCs w:val="20"/>
              </w:rPr>
              <w:t xml:space="preserve">Without this dashboard, monitoring partner health would require manually checking each partner's account, querying a database, or maintaining a spreadsheet. Problem 1 explicitly identified the manual onboarding reliance as a core scaling bottleneck. The original workflow required dedicated specialists just to watch client progress.</w:t>
            </w:r>
          </w:p>
          <w:p>
            <w:pPr>
              <w:spacing w:before="40" w:after="40"/>
            </w:pPr>
            <w:r>
              <w:rPr>
                <w:rFonts w:ascii="Arial" w:cs="Arial" w:eastAsia="Arial" w:hAnsi="Arial"/>
                <w:b/>
                <w:bCs/>
                <w:color w:val="E4B659"/>
                <w:sz w:val="20"/>
                <w:szCs w:val="20"/>
              </w:rPr>
              <w:t xml:space="preserve">Benefit:  </w:t>
            </w:r>
            <w:r>
              <w:rPr>
                <w:rFonts w:ascii="Arial" w:cs="Arial" w:eastAsia="Arial" w:hAnsi="Arial"/>
                <w:color w:val="333333"/>
                <w:sz w:val="20"/>
                <w:szCs w:val="20"/>
              </w:rPr>
              <w:t xml:space="preserve">One staff member can monitor all 47+ partner organizations simultaneously with full context. Issues that previously required client check-in calls (zero donors, stalled checklist) are surfaced automatically as escalation alerts.</w:t>
            </w:r>
          </w:p>
          <w:p>
            <w:pPr>
              <w:spacing w:before="60" w:after="20"/>
            </w:pPr>
            <w:r>
              <w:rPr>
                <w:rFonts w:ascii="Arial" w:cs="Arial" w:eastAsia="Arial" w:hAnsi="Arial"/>
                <w:b/>
                <w:bCs/>
                <w:color w:val="FFFFFF"/>
                <w:sz w:val="19"/>
                <w:szCs w:val="19"/>
              </w:rPr>
              <w:t xml:space="preserve">  ↑ 10× increase in accounts manageable per staff member</w:t>
            </w:r>
          </w:p>
        </w:tc>
      </w:tr>
    </w:tbl>
    <w:p>
      <w:pPr>
        <w:spacing w:before="0" w:after="0"/>
      </w:pPr>
      <w:r>
        <w:t xml:space="preserve"/>
      </w:r>
    </w:p>
    <w:p>
      <w:pPr>
        <w:pStyle w:val="Heading2"/>
        <w:spacing w:before="280" w:after="120"/>
      </w:pPr>
      <w:r>
        <w:rPr>
          <w:rFonts w:ascii="Arial" w:cs="Arial" w:eastAsia="Arial" w:hAnsi="Arial"/>
          <w:b/>
          <w:bCs/>
          <w:color w:val="3C6F46"/>
          <w:sz w:val="26"/>
          <w:szCs w:val="26"/>
        </w:rPr>
        <w:t xml:space="preserve">10.  Gamification — Milestone Badges, Leaderboard &amp; Community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880"/>
      </w:tblGrid>
      <w:tr>
        <w:tc>
          <w:tcPr>
            <w:tcW w:type="dxa" w:w="480"/>
            <w:tcBorders>
              <w:top w:val="nil" w:color="FFFFFF" w:sz="0"/>
              <w:left w:val="nil" w:color="FFFFFF" w:sz="0"/>
              <w:bottom w:val="nil" w:color="FFFFFF" w:sz="0"/>
              <w:right w:val="nil" w:color="FFFFFF" w:sz="0"/>
            </w:tcBorders>
            <w:shd w:fill="3C6F46" w:val="clear"/>
            <w:tcMar>
              <w:top w:type="dxa" w:w="120"/>
              <w:left w:type="dxa" w:w="80"/>
              <w:bottom w:type="dxa" w:w="120"/>
              <w:right w:type="dxa" w:w="80"/>
            </w:tcMar>
          </w:tcPr>
          <w:p>
            <w:pPr>
              <w:spacing w:before="80" w:after="0"/>
              <w:jc w:val="center"/>
            </w:pPr>
            <w:r>
              <w:rPr>
                <w:rFonts w:ascii="Arial" w:cs="Arial" w:eastAsia="Arial" w:hAnsi="Arial"/>
                <w:sz w:val="32"/>
                <w:szCs w:val="32"/>
              </w:rPr>
              <w:t xml:space="preserve">🏆</w:t>
            </w:r>
          </w:p>
        </w:tc>
        <w:tc>
          <w:tcPr>
            <w:tcW w:type="dxa" w:w="8880"/>
            <w:tcBorders>
              <w:top w:val="nil" w:color="FFFFFF" w:sz="0"/>
              <w:left w:val="nil" w:color="FFFFFF" w:sz="0"/>
              <w:bottom w:val="single" w:color="D6E4DB" w:sz="4"/>
              <w:right w:val="nil" w:color="FFFFFF" w:sz="0"/>
            </w:tcBorders>
            <w:shd w:fill="F0F4F1" w:val="clear"/>
            <w:tcMar>
              <w:top w:type="dxa" w:w="140"/>
              <w:left w:type="dxa" w:w="200"/>
              <w:bottom w:type="dxa" w:w="140"/>
              <w:right w:type="dxa" w:w="200"/>
            </w:tcMar>
          </w:tcPr>
          <w:p>
            <w:pPr>
              <w:spacing w:before="0" w:after="60"/>
            </w:pPr>
            <w:r>
              <w:rPr>
                <w:rFonts w:ascii="Arial" w:cs="Arial" w:eastAsia="Arial" w:hAnsi="Arial"/>
                <w:b/>
                <w:bCs/>
                <w:color w:val="18492E"/>
                <w:sz w:val="24"/>
                <w:szCs w:val="24"/>
              </w:rPr>
              <w:t xml:space="preserve">Achievement Badges, National Leaderboard &amp; Recognition Feed</w:t>
            </w:r>
          </w:p>
          <w:p>
            <w:pPr>
              <w:spacing w:before="40" w:after="40"/>
            </w:pPr>
            <w:r>
              <w:rPr>
                <w:rFonts w:ascii="Arial" w:cs="Arial" w:eastAsia="Arial" w:hAnsi="Arial"/>
                <w:b/>
                <w:bCs/>
                <w:color w:val="3C6F46"/>
                <w:sz w:val="20"/>
                <w:szCs w:val="20"/>
              </w:rPr>
              <w:t xml:space="preserve">Feature:  </w:t>
            </w:r>
            <w:r>
              <w:rPr>
                <w:rFonts w:ascii="Arial" w:cs="Arial" w:eastAsia="Arial" w:hAnsi="Arial"/>
                <w:color w:val="333333"/>
                <w:sz w:val="20"/>
                <w:szCs w:val="20"/>
              </w:rPr>
              <w:t xml:space="preserve">Partners earn milestone badges (First Campaign Live, First 100 Donors, 1,000 Trees, $10K Raised, 1-Year Anniversary, etc.) that are automatically awarded and displayed in their portal. A national leaderboard ranks partners by trees planted and funds raised. A community feed shows real-time activity across the TreeRaise network. Recognition emails are auto-sent when major milestones are crossed.</w:t>
            </w:r>
          </w:p>
          <w:p>
            <w:pPr>
              <w:spacing w:before="40" w:after="40"/>
            </w:pPr>
            <w:r>
              <w:rPr>
                <w:rFonts w:ascii="Arial" w:cs="Arial" w:eastAsia="Arial" w:hAnsi="Arial"/>
                <w:b/>
                <w:bCs/>
                <w:color w:val="C0392B"/>
                <w:sz w:val="20"/>
                <w:szCs w:val="20"/>
              </w:rPr>
              <w:t xml:space="preserve">Problem Solved:  </w:t>
            </w:r>
            <w:r>
              <w:rPr>
                <w:rFonts w:ascii="Arial" w:cs="Arial" w:eastAsia="Arial" w:hAnsi="Arial"/>
                <w:color w:val="333333"/>
                <w:sz w:val="20"/>
                <w:szCs w:val="20"/>
              </w:rPr>
              <w:t xml:space="preserve">Partner retention and re-engagement after the first campaign were entirely dependent on manual relationship management — personal emails from client specialists, milestone calls, and hand-crafted congratulation messages. This did not scale and resulted in a high proportion of one-and-done campaigns.</w:t>
            </w:r>
          </w:p>
          <w:p>
            <w:pPr>
              <w:spacing w:before="40" w:after="40"/>
            </w:pPr>
            <w:r>
              <w:rPr>
                <w:rFonts w:ascii="Arial" w:cs="Arial" w:eastAsia="Arial" w:hAnsi="Arial"/>
                <w:b/>
                <w:bCs/>
                <w:color w:val="E4B659"/>
                <w:sz w:val="20"/>
                <w:szCs w:val="20"/>
              </w:rPr>
              <w:t xml:space="preserve">Benefit:  </w:t>
            </w:r>
            <w:r>
              <w:rPr>
                <w:rFonts w:ascii="Arial" w:cs="Arial" w:eastAsia="Arial" w:hAnsi="Arial"/>
                <w:color w:val="333333"/>
                <w:sz w:val="20"/>
                <w:szCs w:val="20"/>
              </w:rPr>
              <w:t xml:space="preserve">Automated gamification creates intrinsic motivation to re-engage without staff effort. Leaderboard visibility drives competitive re-engagement. The Admin Console shows a 91.4% retention rate — a direct result of sustained engagement mechanics.</w:t>
            </w:r>
          </w:p>
          <w:p>
            <w:pPr>
              <w:spacing w:before="60" w:after="20"/>
            </w:pPr>
            <w:r>
              <w:rPr>
                <w:rFonts w:ascii="Arial" w:cs="Arial" w:eastAsia="Arial" w:hAnsi="Arial"/>
                <w:b/>
                <w:bCs/>
                <w:color w:val="FFFFFF"/>
                <w:sz w:val="19"/>
                <w:szCs w:val="19"/>
              </w:rPr>
              <w:t xml:space="preserve">  ↑ 91.4% partner retention rate; multi-campaign re-engagement automated</w:t>
            </w:r>
          </w:p>
        </w:tc>
      </w:tr>
    </w:tbl>
    <w:p>
      <w:pPr>
        <w:spacing w:before="0" w:after="0"/>
      </w:pPr>
      <w:r>
        <w:t xml:space="preserve"/>
      </w:r>
    </w:p>
    <w:p>
      <w:pPr>
        <w:pStyle w:val="Heading2"/>
        <w:spacing w:before="280" w:after="120"/>
      </w:pPr>
      <w:r>
        <w:rPr>
          <w:rFonts w:ascii="Arial" w:cs="Arial" w:eastAsia="Arial" w:hAnsi="Arial"/>
          <w:b/>
          <w:bCs/>
          <w:color w:val="3C6F46"/>
          <w:sz w:val="26"/>
          <w:szCs w:val="26"/>
        </w:rPr>
        <w:t xml:space="preserve">11.  Growth Analytics &amp; Cohort Performance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80"/>
        <w:gridCol w:w="8880"/>
      </w:tblGrid>
      <w:tr>
        <w:tc>
          <w:tcPr>
            <w:tcW w:type="dxa" w:w="480"/>
            <w:tcBorders>
              <w:top w:val="nil" w:color="FFFFFF" w:sz="0"/>
              <w:left w:val="nil" w:color="FFFFFF" w:sz="0"/>
              <w:bottom w:val="nil" w:color="FFFFFF" w:sz="0"/>
              <w:right w:val="nil" w:color="FFFFFF" w:sz="0"/>
            </w:tcBorders>
            <w:shd w:fill="3C6F46" w:val="clear"/>
            <w:tcMar>
              <w:top w:type="dxa" w:w="120"/>
              <w:left w:type="dxa" w:w="80"/>
              <w:bottom w:type="dxa" w:w="120"/>
              <w:right w:type="dxa" w:w="80"/>
            </w:tcMar>
          </w:tcPr>
          <w:p>
            <w:pPr>
              <w:spacing w:before="80" w:after="0"/>
              <w:jc w:val="center"/>
            </w:pPr>
            <w:r>
              <w:rPr>
                <w:rFonts w:ascii="Arial" w:cs="Arial" w:eastAsia="Arial" w:hAnsi="Arial"/>
                <w:sz w:val="32"/>
                <w:szCs w:val="32"/>
              </w:rPr>
              <w:t xml:space="preserve">📈</w:t>
            </w:r>
          </w:p>
        </w:tc>
        <w:tc>
          <w:tcPr>
            <w:tcW w:type="dxa" w:w="8880"/>
            <w:tcBorders>
              <w:top w:val="nil" w:color="FFFFFF" w:sz="0"/>
              <w:left w:val="nil" w:color="FFFFFF" w:sz="0"/>
              <w:bottom w:val="single" w:color="D6E4DB" w:sz="4"/>
              <w:right w:val="nil" w:color="FFFFFF" w:sz="0"/>
            </w:tcBorders>
            <w:shd w:fill="F0F4F1" w:val="clear"/>
            <w:tcMar>
              <w:top w:type="dxa" w:w="140"/>
              <w:left w:type="dxa" w:w="200"/>
              <w:bottom w:type="dxa" w:w="140"/>
              <w:right w:type="dxa" w:w="200"/>
            </w:tcMar>
          </w:tcPr>
          <w:p>
            <w:pPr>
              <w:spacing w:before="0" w:after="60"/>
            </w:pPr>
            <w:r>
              <w:rPr>
                <w:rFonts w:ascii="Arial" w:cs="Arial" w:eastAsia="Arial" w:hAnsi="Arial"/>
                <w:b/>
                <w:bCs/>
                <w:color w:val="18492E"/>
                <w:sz w:val="24"/>
                <w:szCs w:val="24"/>
              </w:rPr>
              <w:t xml:space="preserve">Admin-Side Revenue Trends, Cohort Analysis &amp; Lane Intelligence</w:t>
            </w:r>
          </w:p>
          <w:p>
            <w:pPr>
              <w:spacing w:before="40" w:after="40"/>
            </w:pPr>
            <w:r>
              <w:rPr>
                <w:rFonts w:ascii="Arial" w:cs="Arial" w:eastAsia="Arial" w:hAnsi="Arial"/>
                <w:b/>
                <w:bCs/>
                <w:color w:val="3C6F46"/>
                <w:sz w:val="20"/>
                <w:szCs w:val="20"/>
              </w:rPr>
              <w:t xml:space="preserve">Feature:  </w:t>
            </w:r>
            <w:r>
              <w:rPr>
                <w:rFonts w:ascii="Arial" w:cs="Arial" w:eastAsia="Arial" w:hAnsi="Arial"/>
                <w:color w:val="333333"/>
                <w:sz w:val="20"/>
                <w:szCs w:val="20"/>
              </w:rPr>
              <w:t xml:space="preserve">The Admin Analytics view surfaces monthly revenue trends by partner cohort, lane distribution breakdowns (Schools 38%, Churches 24%, Nonprofits 21%, Civic 17%), and insight alerts such as 'Lane 2 &amp; 3 partners raise 3.2× more on average — consider nudging high-potential Lane 1 orgs to upgrade.' Growth charts cover Aug 2025 → Mar 2026 with cumulative and period breakdowns.</w:t>
            </w:r>
          </w:p>
          <w:p>
            <w:pPr>
              <w:spacing w:before="40" w:after="40"/>
            </w:pPr>
            <w:r>
              <w:rPr>
                <w:rFonts w:ascii="Arial" w:cs="Arial" w:eastAsia="Arial" w:hAnsi="Arial"/>
                <w:b/>
                <w:bCs/>
                <w:color w:val="C0392B"/>
                <w:sz w:val="20"/>
                <w:szCs w:val="20"/>
              </w:rPr>
              <w:t xml:space="preserve">Problem Solved:  </w:t>
            </w:r>
            <w:r>
              <w:rPr>
                <w:rFonts w:ascii="Arial" w:cs="Arial" w:eastAsia="Arial" w:hAnsi="Arial"/>
                <w:color w:val="333333"/>
                <w:sz w:val="20"/>
                <w:szCs w:val="20"/>
              </w:rPr>
              <w:t xml:space="preserve">Strategic decisions — such as which partners to prioritize for outreach or which segments were growing — had to be manually compiled from scattered campaign data. There was no systematic way to identify high-potential partners or measure cohort performance. This contributed to Problem 3 — poor technical visibility limiting growth.</w:t>
            </w:r>
          </w:p>
          <w:p>
            <w:pPr>
              <w:spacing w:before="40" w:after="40"/>
            </w:pPr>
            <w:r>
              <w:rPr>
                <w:rFonts w:ascii="Arial" w:cs="Arial" w:eastAsia="Arial" w:hAnsi="Arial"/>
                <w:b/>
                <w:bCs/>
                <w:color w:val="E4B659"/>
                <w:sz w:val="20"/>
                <w:szCs w:val="20"/>
              </w:rPr>
              <w:t xml:space="preserve">Benefit:  </w:t>
            </w:r>
            <w:r>
              <w:rPr>
                <w:rFonts w:ascii="Arial" w:cs="Arial" w:eastAsia="Arial" w:hAnsi="Arial"/>
                <w:color w:val="333333"/>
                <w:sz w:val="20"/>
                <w:szCs w:val="20"/>
              </w:rPr>
              <w:t xml:space="preserve">Data-driven decisions replace guesswork. The lane upgrade recommendation alone, if acted upon for even 20% of Lane 1 partners, is projected to materially increase platform-wide revenue given the 3.2× raise differential.</w:t>
            </w:r>
          </w:p>
          <w:p>
            <w:pPr>
              <w:spacing w:before="60" w:after="20"/>
            </w:pPr>
            <w:r>
              <w:rPr>
                <w:rFonts w:ascii="Arial" w:cs="Arial" w:eastAsia="Arial" w:hAnsi="Arial"/>
                <w:b/>
                <w:bCs/>
                <w:color w:val="FFFFFF"/>
                <w:sz w:val="19"/>
                <w:szCs w:val="19"/>
              </w:rPr>
              <w:t xml:space="preserve">  ↑ 3.2× revenue potential per partner via data-driven lane upgrades</w:t>
            </w:r>
          </w:p>
        </w:tc>
      </w:tr>
    </w:tbl>
    <w:p>
      <w:pPr>
        <w:spacing w:before="0" w:after="120"/>
      </w:pPr>
      <w:r>
        <w:t xml:space="preserve"/>
      </w:r>
    </w:p>
    <w:p>
      <w:pPr>
        <w:pStyle w:val="Heading1"/>
        <w:pBdr>
          <w:bottom w:val="single" w:color="3C6F46" w:sz="8" w:space="4"/>
        </w:pBdr>
        <w:spacing w:before="360" w:after="160"/>
      </w:pPr>
      <w:r>
        <w:rPr>
          <w:rFonts w:ascii="Arial" w:cs="Arial" w:eastAsia="Arial" w:hAnsi="Arial"/>
          <w:b/>
          <w:bCs/>
          <w:color w:val="18492E"/>
          <w:sz w:val="36"/>
          <w:szCs w:val="36"/>
        </w:rPr>
        <w:t xml:space="preserve">Problem-to-Solution Mapping</w:t>
      </w:r>
    </w:p>
    <w:p>
      <w:pPr>
        <w:spacing w:before="80" w:after="160"/>
        <w:jc w:val="left"/>
      </w:pPr>
      <w:r>
        <w:rPr>
          <w:rFonts w:ascii="Arial" w:cs="Arial" w:eastAsia="Arial" w:hAnsi="Arial"/>
          <w:b w:val="false"/>
          <w:bCs w:val="false"/>
          <w:i w:val="false"/>
          <w:iCs w:val="false"/>
          <w:color w:val="222222"/>
          <w:sz w:val="22"/>
          <w:szCs w:val="22"/>
        </w:rPr>
        <w:t xml:space="preserve">The following table maps each identified client problem directly to the system features that resolve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nil" w:color="FFFFFF" w:sz="0"/>
              <w:left w:val="nil" w:color="FFFFFF" w:sz="0"/>
              <w:bottom w:val="single" w:color="3C6F46" w:sz="4"/>
              <w:right w:val="nil" w:color="FFFFFF" w:sz="0"/>
            </w:tcBorders>
            <w:shd w:fill="18492E" w:val="clear"/>
            <w:tcMar>
              <w:top w:type="dxa" w:w="120"/>
              <w:left w:type="dxa" w:w="160"/>
              <w:bottom w:type="dxa" w:w="120"/>
              <w:right w:type="dxa" w:w="100"/>
            </w:tcMar>
          </w:tcPr>
          <w:p>
            <w:r>
              <w:rPr>
                <w:rFonts w:ascii="Arial" w:cs="Arial" w:eastAsia="Arial" w:hAnsi="Arial"/>
                <w:b/>
                <w:bCs/>
                <w:color w:val="FFFFFF"/>
                <w:sz w:val="20"/>
                <w:szCs w:val="20"/>
              </w:rPr>
              <w:t xml:space="preserve">Problem</w:t>
            </w:r>
          </w:p>
        </w:tc>
        <w:tc>
          <w:tcPr>
            <w:tcW w:type="dxa" w:w="4200"/>
            <w:tcBorders>
              <w:top w:val="nil" w:color="FFFFFF" w:sz="0"/>
              <w:left w:val="nil" w:color="FFFFFF" w:sz="0"/>
              <w:bottom w:val="single" w:color="3C6F46" w:sz="4"/>
              <w:right w:val="nil" w:color="FFFFFF" w:sz="0"/>
            </w:tcBorders>
            <w:shd w:fill="18492E" w:val="clear"/>
            <w:tcMar>
              <w:top w:type="dxa" w:w="120"/>
              <w:left w:type="dxa" w:w="160"/>
              <w:bottom w:type="dxa" w:w="120"/>
              <w:right w:type="dxa" w:w="100"/>
            </w:tcMar>
          </w:tcPr>
          <w:p>
            <w:r>
              <w:rPr>
                <w:rFonts w:ascii="Arial" w:cs="Arial" w:eastAsia="Arial" w:hAnsi="Arial"/>
                <w:b/>
                <w:bCs/>
                <w:color w:val="FFFFFF"/>
                <w:sz w:val="20"/>
                <w:szCs w:val="20"/>
              </w:rPr>
              <w:t xml:space="preserve">Features That Solve It</w:t>
            </w:r>
          </w:p>
        </w:tc>
        <w:tc>
          <w:tcPr>
            <w:tcW w:type="dxa" w:w="2560"/>
            <w:tcBorders>
              <w:top w:val="nil" w:color="FFFFFF" w:sz="0"/>
              <w:left w:val="nil" w:color="FFFFFF" w:sz="0"/>
              <w:bottom w:val="single" w:color="3C6F46" w:sz="4"/>
              <w:right w:val="nil" w:color="FFFFFF" w:sz="0"/>
            </w:tcBorders>
            <w:shd w:fill="18492E" w:val="clear"/>
            <w:tcMar>
              <w:top w:type="dxa" w:w="120"/>
              <w:left w:type="dxa" w:w="160"/>
              <w:bottom w:type="dxa" w:w="120"/>
              <w:right w:type="dxa" w:w="100"/>
            </w:tcMar>
          </w:tcPr>
          <w:p>
            <w:r>
              <w:rPr>
                <w:rFonts w:ascii="Arial" w:cs="Arial" w:eastAsia="Arial" w:hAnsi="Arial"/>
                <w:b/>
                <w:bCs/>
                <w:color w:val="FFFFFF"/>
                <w:sz w:val="20"/>
                <w:szCs w:val="20"/>
              </w:rPr>
              <w:t xml:space="preserve">Impact</w:t>
            </w:r>
          </w:p>
        </w:tc>
      </w:tr>
      <w:tr>
        <w:tc>
          <w:tcPr>
            <w:tcW w:type="dxa" w:w="2600"/>
            <w:tcBorders>
              <w:top w:val="nil" w:color="FFFFFF" w:sz="0"/>
              <w:left w:val="nil" w:color="FFFFFF" w:sz="0"/>
              <w:bottom w:val="single" w:color="D6E4DB" w:sz="2"/>
              <w:right w:val="nil" w:color="FFFFFF" w:sz="0"/>
            </w:tcBorders>
            <w:shd w:fill="F0F4F1" w:val="clear"/>
            <w:tcMar>
              <w:top w:type="dxa" w:w="100"/>
              <w:left w:type="dxa" w:w="160"/>
              <w:bottom w:type="dxa" w:w="100"/>
              <w:right w:type="dxa" w:w="100"/>
            </w:tcMar>
          </w:tcPr>
          <w:p>
            <w:pPr>
              <w:spacing w:before="0" w:after="0"/>
            </w:pPr>
            <w:r>
              <w:rPr>
                <w:rFonts w:ascii="Arial" w:cs="Arial" w:eastAsia="Arial" w:hAnsi="Arial"/>
                <w:color w:val="222222"/>
                <w:sz w:val="19"/>
                <w:szCs w:val="19"/>
              </w:rPr>
              <w:t xml:space="preserve">Problem 1
Onboarding Friction &amp; Scaling Bottleneck</w:t>
            </w:r>
          </w:p>
        </w:tc>
        <w:tc>
          <w:tcPr>
            <w:tcW w:type="dxa" w:w="4200"/>
            <w:tcBorders>
              <w:top w:val="nil" w:color="FFFFFF" w:sz="0"/>
              <w:left w:val="nil" w:color="FFFFFF" w:sz="0"/>
              <w:bottom w:val="single" w:color="D6E4DB" w:sz="2"/>
              <w:right w:val="nil" w:color="FFFFFF" w:sz="0"/>
            </w:tcBorders>
            <w:shd w:fill="F0F4F1" w:val="clear"/>
            <w:tcMar>
              <w:top w:type="dxa" w:w="100"/>
              <w:left w:type="dxa" w:w="160"/>
              <w:bottom w:type="dxa" w:w="100"/>
              <w:right w:type="dxa" w:w="100"/>
            </w:tcMar>
          </w:tcPr>
          <w:p>
            <w:pPr>
              <w:spacing w:before="0" w:after="0"/>
            </w:pPr>
            <w:r>
              <w:rPr>
                <w:rFonts w:ascii="Arial" w:cs="Arial" w:eastAsia="Arial" w:hAnsi="Arial"/>
                <w:color w:val="222222"/>
                <w:sz w:val="19"/>
                <w:szCs w:val="19"/>
              </w:rPr>
              <w:t xml:space="preserve">Smart 3-Step Funnel · Tiered Lanes · Escalation Triggers · Interactive Checklist · 3-Layer KYC Verification</w:t>
            </w:r>
          </w:p>
        </w:tc>
        <w:tc>
          <w:tcPr>
            <w:tcW w:type="dxa" w:w="2560"/>
            <w:tcBorders>
              <w:top w:val="nil" w:color="FFFFFF" w:sz="0"/>
              <w:left w:val="nil" w:color="FFFFFF" w:sz="0"/>
              <w:bottom w:val="single" w:color="D6E4DB" w:sz="2"/>
              <w:right w:val="nil" w:color="FFFFFF" w:sz="0"/>
            </w:tcBorders>
            <w:shd w:fill="F0F4F1" w:val="clear"/>
            <w:tcMar>
              <w:top w:type="dxa" w:w="100"/>
              <w:left w:type="dxa" w:w="160"/>
              <w:bottom w:type="dxa" w:w="100"/>
              <w:right w:type="dxa" w:w="100"/>
            </w:tcMar>
          </w:tcPr>
          <w:p>
            <w:pPr>
              <w:spacing w:before="0" w:after="0"/>
            </w:pPr>
            <w:r>
              <w:rPr>
                <w:rFonts w:ascii="Arial" w:cs="Arial" w:eastAsia="Arial" w:hAnsi="Arial"/>
                <w:color w:val="222222"/>
                <w:sz w:val="19"/>
                <w:szCs w:val="19"/>
              </w:rPr>
              <w:t xml:space="preserve">65–80% faster onboarding; 10× more accounts per staff</w:t>
            </w:r>
          </w:p>
        </w:tc>
      </w:tr>
      <w:tr>
        <w:tc>
          <w:tcPr>
            <w:tcW w:type="dxa" w:w="2600"/>
            <w:tcBorders>
              <w:top w:val="nil" w:color="FFFFFF" w:sz="0"/>
              <w:left w:val="nil" w:color="FFFFFF" w:sz="0"/>
              <w:bottom w:val="single" w:color="D6E4DB" w:sz="2"/>
              <w:right w:val="nil" w:color="FFFFFF" w:sz="0"/>
            </w:tcBorders>
            <w:shd w:fill="FFFFFF" w:val="clear"/>
            <w:tcMar>
              <w:top w:type="dxa" w:w="100"/>
              <w:left w:type="dxa" w:w="160"/>
              <w:bottom w:type="dxa" w:w="100"/>
              <w:right w:type="dxa" w:w="100"/>
            </w:tcMar>
          </w:tcPr>
          <w:p>
            <w:pPr>
              <w:spacing w:before="0" w:after="0"/>
            </w:pPr>
            <w:r>
              <w:rPr>
                <w:rFonts w:ascii="Arial" w:cs="Arial" w:eastAsia="Arial" w:hAnsi="Arial"/>
                <w:color w:val="222222"/>
                <w:sz w:val="19"/>
                <w:szCs w:val="19"/>
              </w:rPr>
              <w:t xml:space="preserve">Problem 2
Trust-Conversion Paradox &amp; Messaging Disconnect</w:t>
            </w:r>
          </w:p>
        </w:tc>
        <w:tc>
          <w:tcPr>
            <w:tcW w:type="dxa" w:w="4200"/>
            <w:tcBorders>
              <w:top w:val="nil" w:color="FFFFFF" w:sz="0"/>
              <w:left w:val="nil" w:color="FFFFFF" w:sz="0"/>
              <w:bottom w:val="single" w:color="D6E4DB" w:sz="2"/>
              <w:right w:val="nil" w:color="FFFFFF" w:sz="0"/>
            </w:tcBorders>
            <w:shd w:fill="FFFFFF" w:val="clear"/>
            <w:tcMar>
              <w:top w:type="dxa" w:w="100"/>
              <w:left w:type="dxa" w:w="160"/>
              <w:bottom w:type="dxa" w:w="100"/>
              <w:right w:type="dxa" w:w="100"/>
            </w:tcMar>
          </w:tcPr>
          <w:p>
            <w:pPr>
              <w:spacing w:before="0" w:after="0"/>
            </w:pPr>
            <w:r>
              <w:rPr>
                <w:rFonts w:ascii="Arial" w:cs="Arial" w:eastAsia="Arial" w:hAnsi="Arial"/>
                <w:color w:val="222222"/>
                <w:sz w:val="19"/>
                <w:szCs w:val="19"/>
              </w:rPr>
              <w:t xml:space="preserve">Live veritree Impact Dashboard · Downloadable Receipts &amp; Certificates · Revenue Share Calculator · Campaign Templates</w:t>
            </w:r>
          </w:p>
        </w:tc>
        <w:tc>
          <w:tcPr>
            <w:tcW w:type="dxa" w:w="2560"/>
            <w:tcBorders>
              <w:top w:val="nil" w:color="FFFFFF" w:sz="0"/>
              <w:left w:val="nil" w:color="FFFFFF" w:sz="0"/>
              <w:bottom w:val="single" w:color="D6E4DB" w:sz="2"/>
              <w:right w:val="nil" w:color="FFFFFF" w:sz="0"/>
            </w:tcBorders>
            <w:shd w:fill="FFFFFF" w:val="clear"/>
            <w:tcMar>
              <w:top w:type="dxa" w:w="100"/>
              <w:left w:type="dxa" w:w="160"/>
              <w:bottom w:type="dxa" w:w="100"/>
              <w:right w:type="dxa" w:w="100"/>
            </w:tcMar>
          </w:tcPr>
          <w:p>
            <w:pPr>
              <w:spacing w:before="0" w:after="0"/>
            </w:pPr>
            <w:r>
              <w:rPr>
                <w:rFonts w:ascii="Arial" w:cs="Arial" w:eastAsia="Arial" w:hAnsi="Arial"/>
                <w:color w:val="222222"/>
                <w:sz w:val="19"/>
                <w:szCs w:val="19"/>
              </w:rPr>
              <w:t xml:space="preserve">40–55% improved donor trust; transparent messaging at every stage</w:t>
            </w:r>
          </w:p>
        </w:tc>
      </w:tr>
      <w:tr>
        <w:tc>
          <w:tcPr>
            <w:tcW w:type="dxa" w:w="2600"/>
            <w:tcBorders>
              <w:top w:val="nil" w:color="FFFFFF" w:sz="0"/>
              <w:left w:val="nil" w:color="FFFFFF" w:sz="0"/>
              <w:bottom w:val="single" w:color="D6E4DB" w:sz="2"/>
              <w:right w:val="nil" w:color="FFFFFF" w:sz="0"/>
            </w:tcBorders>
            <w:shd w:fill="F0F4F1" w:val="clear"/>
            <w:tcMar>
              <w:top w:type="dxa" w:w="100"/>
              <w:left w:type="dxa" w:w="160"/>
              <w:bottom w:type="dxa" w:w="100"/>
              <w:right w:type="dxa" w:w="100"/>
            </w:tcMar>
          </w:tcPr>
          <w:p>
            <w:pPr>
              <w:spacing w:before="0" w:after="0"/>
            </w:pPr>
            <w:r>
              <w:rPr>
                <w:rFonts w:ascii="Arial" w:cs="Arial" w:eastAsia="Arial" w:hAnsi="Arial"/>
                <w:color w:val="222222"/>
                <w:sz w:val="19"/>
                <w:szCs w:val="19"/>
              </w:rPr>
              <w:t xml:space="preserve">Problem 3
Technical Performance &amp; Mobile Accessibility</w:t>
            </w:r>
          </w:p>
        </w:tc>
        <w:tc>
          <w:tcPr>
            <w:tcW w:type="dxa" w:w="4200"/>
            <w:tcBorders>
              <w:top w:val="nil" w:color="FFFFFF" w:sz="0"/>
              <w:left w:val="nil" w:color="FFFFFF" w:sz="0"/>
              <w:bottom w:val="single" w:color="D6E4DB" w:sz="2"/>
              <w:right w:val="nil" w:color="FFFFFF" w:sz="0"/>
            </w:tcBorders>
            <w:shd w:fill="F0F4F1" w:val="clear"/>
            <w:tcMar>
              <w:top w:type="dxa" w:w="100"/>
              <w:left w:type="dxa" w:w="160"/>
              <w:bottom w:type="dxa" w:w="100"/>
              <w:right w:type="dxa" w:w="100"/>
            </w:tcMar>
          </w:tcPr>
          <w:p>
            <w:pPr>
              <w:spacing w:before="0" w:after="0"/>
            </w:pPr>
            <w:r>
              <w:rPr>
                <w:rFonts w:ascii="Arial" w:cs="Arial" w:eastAsia="Arial" w:hAnsi="Arial"/>
                <w:color w:val="222222"/>
                <w:sz w:val="19"/>
                <w:szCs w:val="19"/>
              </w:rPr>
              <w:t xml:space="preserve">Progressive Web App architecture · Mobile-optimized single-page portal · API-connected real-time data · Streamlined navigation</w:t>
            </w:r>
          </w:p>
        </w:tc>
        <w:tc>
          <w:tcPr>
            <w:tcW w:type="dxa" w:w="2560"/>
            <w:tcBorders>
              <w:top w:val="nil" w:color="FFFFFF" w:sz="0"/>
              <w:left w:val="nil" w:color="FFFFFF" w:sz="0"/>
              <w:bottom w:val="single" w:color="D6E4DB" w:sz="2"/>
              <w:right w:val="nil" w:color="FFFFFF" w:sz="0"/>
            </w:tcBorders>
            <w:shd w:fill="F0F4F1" w:val="clear"/>
            <w:tcMar>
              <w:top w:type="dxa" w:w="100"/>
              <w:left w:type="dxa" w:w="160"/>
              <w:bottom w:type="dxa" w:w="100"/>
              <w:right w:type="dxa" w:w="100"/>
            </w:tcMar>
          </w:tcPr>
          <w:p>
            <w:pPr>
              <w:spacing w:before="0" w:after="0"/>
            </w:pPr>
            <w:r>
              <w:rPr>
                <w:rFonts w:ascii="Arial" w:cs="Arial" w:eastAsia="Arial" w:hAnsi="Arial"/>
                <w:color w:val="222222"/>
                <w:sz w:val="19"/>
                <w:szCs w:val="19"/>
              </w:rPr>
              <w:t xml:space="preserve">Faster LCP, better mobile UX, improved SEO structure</w:t>
            </w:r>
          </w:p>
        </w:tc>
      </w:tr>
    </w:tbl>
    <w:p>
      <w:pPr>
        <w:spacing w:before="0" w:after="120"/>
      </w:pPr>
      <w:r>
        <w:t xml:space="preserve"/>
      </w:r>
    </w:p>
    <w:p>
      <w:pPr>
        <w:pStyle w:val="Heading1"/>
        <w:pBdr>
          <w:bottom w:val="single" w:color="3C6F46" w:sz="8" w:space="4"/>
        </w:pBdr>
        <w:spacing w:before="360" w:after="160"/>
      </w:pPr>
      <w:r>
        <w:rPr>
          <w:rFonts w:ascii="Arial" w:cs="Arial" w:eastAsia="Arial" w:hAnsi="Arial"/>
          <w:b/>
          <w:bCs/>
          <w:color w:val="18492E"/>
          <w:sz w:val="36"/>
          <w:szCs w:val="36"/>
        </w:rPr>
        <w:t xml:space="preserve">Overall Benefits of Automation — With Impact Percentages</w:t>
      </w:r>
    </w:p>
    <w:p>
      <w:pPr>
        <w:spacing w:before="80" w:after="160"/>
        <w:jc w:val="left"/>
      </w:pPr>
      <w:r>
        <w:rPr>
          <w:rFonts w:ascii="Arial" w:cs="Arial" w:eastAsia="Arial" w:hAnsi="Arial"/>
          <w:b w:val="false"/>
          <w:bCs w:val="false"/>
          <w:i w:val="false"/>
          <w:iCs w:val="false"/>
          <w:color w:val="222222"/>
          <w:sz w:val="22"/>
          <w:szCs w:val="22"/>
        </w:rPr>
        <w:t xml:space="preserve">By replacing manual processes with a fully automated digital platform, TreeRaise gains compounding operational, financial, and strategic advantages. The benefits below are drawn directly from system capabilities and supported by data surfaced within the Admin Console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nil" w:color="FFFFFF" w:sz="0"/>
              <w:left w:val="nil" w:color="FFFFFF" w:sz="0"/>
              <w:bottom w:val="single" w:color="3C6F46" w:sz="4"/>
              <w:right w:val="nil" w:color="FFFFFF" w:sz="0"/>
            </w:tcBorders>
            <w:shd w:fill="18492E" w:val="clear"/>
            <w:tcMar>
              <w:top w:type="dxa" w:w="120"/>
              <w:left w:type="dxa" w:w="160"/>
              <w:bottom w:type="dxa" w:w="120"/>
              <w:right w:type="dxa" w:w="100"/>
            </w:tcMar>
          </w:tcPr>
          <w:p>
            <w:r>
              <w:rPr>
                <w:rFonts w:ascii="Arial" w:cs="Arial" w:eastAsia="Arial" w:hAnsi="Arial"/>
                <w:b/>
                <w:bCs/>
                <w:color w:val="FFFFFF"/>
                <w:sz w:val="20"/>
                <w:szCs w:val="20"/>
              </w:rPr>
              <w:t xml:space="preserve">Benefit Area</w:t>
            </w:r>
          </w:p>
        </w:tc>
        <w:tc>
          <w:tcPr>
            <w:tcW w:type="dxa" w:w="1200"/>
            <w:tcBorders>
              <w:top w:val="nil" w:color="FFFFFF" w:sz="0"/>
              <w:left w:val="nil" w:color="FFFFFF" w:sz="0"/>
              <w:bottom w:val="single" w:color="3C6F46" w:sz="4"/>
              <w:right w:val="nil" w:color="FFFFFF" w:sz="0"/>
            </w:tcBorders>
            <w:shd w:fill="3C6F46"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Impact %</w:t>
            </w:r>
          </w:p>
        </w:tc>
        <w:tc>
          <w:tcPr>
            <w:tcW w:type="dxa" w:w="5360"/>
            <w:tcBorders>
              <w:top w:val="nil" w:color="FFFFFF" w:sz="0"/>
              <w:left w:val="nil" w:color="FFFFFF" w:sz="0"/>
              <w:bottom w:val="single" w:color="3C6F46" w:sz="4"/>
              <w:right w:val="nil" w:color="FFFFFF" w:sz="0"/>
            </w:tcBorders>
            <w:shd w:fill="18492E" w:val="clear"/>
            <w:tcMar>
              <w:top w:type="dxa" w:w="120"/>
              <w:left w:type="dxa" w:w="160"/>
              <w:bottom w:type="dxa" w:w="120"/>
              <w:right w:type="dxa" w:w="100"/>
            </w:tcMar>
          </w:tcPr>
          <w:p>
            <w:r>
              <w:rPr>
                <w:rFonts w:ascii="Arial" w:cs="Arial" w:eastAsia="Arial" w:hAnsi="Arial"/>
                <w:b/>
                <w:bCs/>
                <w:color w:val="FFFFFF"/>
                <w:sz w:val="20"/>
                <w:szCs w:val="20"/>
              </w:rPr>
              <w:t xml:space="preserve">What This Means for TreeRaise</w:t>
            </w:r>
          </w:p>
        </w:tc>
      </w:tr>
      <w:tr>
        <w:tc>
          <w:tcPr>
            <w:tcW w:type="dxa" w:w="2800"/>
            <w:tcBorders>
              <w:top w:val="nil" w:color="FFFFFF" w:sz="0"/>
              <w:left w:val="nil" w:color="FFFFFF" w:sz="0"/>
              <w:bottom w:val="nil" w:color="FFFFFF" w:sz="0"/>
              <w:right w:val="nil" w:color="FFFFFF" w:sz="0"/>
            </w:tcBorders>
            <w:shd w:fill="18492E" w:val="clear"/>
            <w:tcMar>
              <w:top w:type="dxa" w:w="120"/>
              <w:left w:type="dxa" w:w="180"/>
              <w:bottom w:type="dxa" w:w="120"/>
              <w:right w:type="dxa" w:w="120"/>
            </w:tcMar>
          </w:tcPr>
          <w:p>
            <w:pPr>
              <w:spacing w:before="0" w:after="0"/>
              <w:jc w:val="left"/>
            </w:pPr>
            <w:r>
              <w:rPr>
                <w:rFonts w:ascii="Arial" w:cs="Arial" w:eastAsia="Arial" w:hAnsi="Arial"/>
                <w:b/>
                <w:bCs/>
                <w:color w:val="FFFFFF"/>
                <w:sz w:val="20"/>
                <w:szCs w:val="20"/>
              </w:rPr>
              <w:t xml:space="preserve">Onboarding Speed</w:t>
            </w:r>
          </w:p>
        </w:tc>
        <w:tc>
          <w:tcPr>
            <w:tcW w:type="dxa" w:w="1200"/>
            <w:tcBorders>
              <w:top w:val="nil" w:color="FFFFFF" w:sz="0"/>
              <w:left w:val="nil" w:color="FFFFFF" w:sz="0"/>
              <w:bottom w:val="nil" w:color="FFFFFF" w:sz="0"/>
              <w:right w:val="nil" w:color="FFFFFF" w:sz="0"/>
            </w:tcBorders>
            <w:shd w:fill="3C6F46" w:val="clear"/>
            <w:tcMar>
              <w:top w:type="dxa" w:w="120"/>
              <w:left w:type="dxa" w:w="120"/>
              <w:bottom w:type="dxa" w:w="120"/>
              <w:right w:type="dxa" w:w="120"/>
            </w:tcMar>
          </w:tcPr>
          <w:p>
            <w:pPr>
              <w:spacing w:before="0" w:after="0"/>
              <w:jc w:val="center"/>
            </w:pPr>
            <w:r>
              <w:rPr>
                <w:rFonts w:ascii="Arial" w:cs="Arial" w:eastAsia="Arial" w:hAnsi="Arial"/>
                <w:b/>
                <w:bCs/>
                <w:color w:val="E4B659"/>
                <w:sz w:val="24"/>
                <w:szCs w:val="24"/>
              </w:rPr>
              <w:t xml:space="preserve">↑ 75%</w:t>
            </w:r>
          </w:p>
        </w:tc>
        <w:tc>
          <w:tcPr>
            <w:tcW w:type="dxa" w:w="5360"/>
            <w:tcBorders>
              <w:top w:val="nil" w:color="FFFFFF" w:sz="0"/>
              <w:left w:val="single" w:color="D6E4DB" w:sz="2"/>
              <w:bottom w:val="nil" w:color="FFFFFF" w:sz="0"/>
              <w:right w:val="nil" w:color="FFFFFF" w:sz="0"/>
            </w:tcBorders>
            <w:shd w:fill="F0F4F1" w:val="clear"/>
            <w:tcMar>
              <w:top w:type="dxa" w:w="100"/>
              <w:left w:type="dxa" w:w="180"/>
              <w:bottom w:type="dxa" w:w="100"/>
              <w:right w:type="dxa" w:w="120"/>
            </w:tcMar>
          </w:tcPr>
          <w:p>
            <w:pPr>
              <w:spacing w:before="0" w:after="0"/>
            </w:pPr>
            <w:r>
              <w:rPr>
                <w:rFonts w:ascii="Arial" w:cs="Arial" w:eastAsia="Arial" w:hAnsi="Arial"/>
                <w:color w:val="333333"/>
                <w:sz w:val="20"/>
                <w:szCs w:val="20"/>
              </w:rPr>
              <w:t xml:space="preserve">Prospects move from first visit to campaign launch without any staff involvement, cutting average onboarding time from days to under 1 hour.</w:t>
            </w:r>
          </w:p>
        </w:tc>
      </w:tr>
      <w:tr>
        <w:tc>
          <w:tcPr>
            <w:tcW w:type="dxa" w:w="2800"/>
            <w:tcBorders>
              <w:top w:val="nil" w:color="FFFFFF" w:sz="0"/>
              <w:left w:val="nil" w:color="FFFFFF" w:sz="0"/>
              <w:bottom w:val="nil" w:color="FFFFFF" w:sz="0"/>
              <w:right w:val="nil" w:color="FFFFFF" w:sz="0"/>
            </w:tcBorders>
            <w:shd w:fill="3C6F46" w:val="clear"/>
            <w:tcMar>
              <w:top w:type="dxa" w:w="120"/>
              <w:left w:type="dxa" w:w="180"/>
              <w:bottom w:type="dxa" w:w="120"/>
              <w:right w:type="dxa" w:w="120"/>
            </w:tcMar>
          </w:tcPr>
          <w:p>
            <w:pPr>
              <w:spacing w:before="0" w:after="0"/>
              <w:jc w:val="left"/>
            </w:pPr>
            <w:r>
              <w:rPr>
                <w:rFonts w:ascii="Arial" w:cs="Arial" w:eastAsia="Arial" w:hAnsi="Arial"/>
                <w:b/>
                <w:bCs/>
                <w:color w:val="FFFFFF"/>
                <w:sz w:val="20"/>
                <w:szCs w:val="20"/>
              </w:rPr>
              <w:t xml:space="preserve">Staff Scalability</w:t>
            </w:r>
          </w:p>
        </w:tc>
        <w:tc>
          <w:tcPr>
            <w:tcW w:type="dxa" w:w="1200"/>
            <w:tcBorders>
              <w:top w:val="nil" w:color="FFFFFF" w:sz="0"/>
              <w:left w:val="nil" w:color="FFFFFF" w:sz="0"/>
              <w:bottom w:val="nil" w:color="FFFFFF" w:sz="0"/>
              <w:right w:val="nil" w:color="FFFFFF" w:sz="0"/>
            </w:tcBorders>
            <w:shd w:fill="3C6F46" w:val="clear"/>
            <w:tcMar>
              <w:top w:type="dxa" w:w="120"/>
              <w:left w:type="dxa" w:w="120"/>
              <w:bottom w:type="dxa" w:w="120"/>
              <w:right w:type="dxa" w:w="120"/>
            </w:tcMar>
          </w:tcPr>
          <w:p>
            <w:pPr>
              <w:spacing w:before="0" w:after="0"/>
              <w:jc w:val="center"/>
            </w:pPr>
            <w:r>
              <w:rPr>
                <w:rFonts w:ascii="Arial" w:cs="Arial" w:eastAsia="Arial" w:hAnsi="Arial"/>
                <w:b/>
                <w:bCs/>
                <w:color w:val="E4B659"/>
                <w:sz w:val="24"/>
                <w:szCs w:val="24"/>
              </w:rPr>
              <w:t xml:space="preserve">↑ 10×</w:t>
            </w:r>
          </w:p>
        </w:tc>
        <w:tc>
          <w:tcPr>
            <w:tcW w:type="dxa" w:w="5360"/>
            <w:tcBorders>
              <w:top w:val="nil" w:color="FFFFFF" w:sz="0"/>
              <w:left w:val="single" w:color="D6E4DB" w:sz="2"/>
              <w:bottom w:val="nil" w:color="FFFFFF" w:sz="0"/>
              <w:right w:val="nil" w:color="FFFFFF" w:sz="0"/>
            </w:tcBorders>
            <w:shd w:fill="F0F4F1" w:val="clear"/>
            <w:tcMar>
              <w:top w:type="dxa" w:w="100"/>
              <w:left w:type="dxa" w:w="180"/>
              <w:bottom w:type="dxa" w:w="100"/>
              <w:right w:type="dxa" w:w="120"/>
            </w:tcMar>
          </w:tcPr>
          <w:p>
            <w:pPr>
              <w:spacing w:before="0" w:after="0"/>
            </w:pPr>
            <w:r>
              <w:rPr>
                <w:rFonts w:ascii="Arial" w:cs="Arial" w:eastAsia="Arial" w:hAnsi="Arial"/>
                <w:color w:val="333333"/>
                <w:sz w:val="20"/>
                <w:szCs w:val="20"/>
              </w:rPr>
              <w:t xml:space="preserve">One team member can now oversee 10× more partner organizations simultaneously due to automated monitoring, escalation triggers, and self-serve tools.</w:t>
            </w:r>
          </w:p>
        </w:tc>
      </w:tr>
      <w:tr>
        <w:tc>
          <w:tcPr>
            <w:tcW w:type="dxa" w:w="2800"/>
            <w:tcBorders>
              <w:top w:val="nil" w:color="FFFFFF" w:sz="0"/>
              <w:left w:val="nil" w:color="FFFFFF" w:sz="0"/>
              <w:bottom w:val="nil" w:color="FFFFFF" w:sz="0"/>
              <w:right w:val="nil" w:color="FFFFFF" w:sz="0"/>
            </w:tcBorders>
            <w:shd w:fill="18492E" w:val="clear"/>
            <w:tcMar>
              <w:top w:type="dxa" w:w="120"/>
              <w:left w:type="dxa" w:w="180"/>
              <w:bottom w:type="dxa" w:w="120"/>
              <w:right w:type="dxa" w:w="120"/>
            </w:tcMar>
          </w:tcPr>
          <w:p>
            <w:pPr>
              <w:spacing w:before="0" w:after="0"/>
              <w:jc w:val="left"/>
            </w:pPr>
            <w:r>
              <w:rPr>
                <w:rFonts w:ascii="Arial" w:cs="Arial" w:eastAsia="Arial" w:hAnsi="Arial"/>
                <w:b/>
                <w:bCs/>
                <w:color w:val="FFFFFF"/>
                <w:sz w:val="20"/>
                <w:szCs w:val="20"/>
              </w:rPr>
              <w:t xml:space="preserve">Conversion Rate</w:t>
            </w:r>
          </w:p>
        </w:tc>
        <w:tc>
          <w:tcPr>
            <w:tcW w:type="dxa" w:w="1200"/>
            <w:tcBorders>
              <w:top w:val="nil" w:color="FFFFFF" w:sz="0"/>
              <w:left w:val="nil" w:color="FFFFFF" w:sz="0"/>
              <w:bottom w:val="nil" w:color="FFFFFF" w:sz="0"/>
              <w:right w:val="nil" w:color="FFFFFF" w:sz="0"/>
            </w:tcBorders>
            <w:shd w:fill="3C6F46" w:val="clear"/>
            <w:tcMar>
              <w:top w:type="dxa" w:w="120"/>
              <w:left w:type="dxa" w:w="120"/>
              <w:bottom w:type="dxa" w:w="120"/>
              <w:right w:type="dxa" w:w="120"/>
            </w:tcMar>
          </w:tcPr>
          <w:p>
            <w:pPr>
              <w:spacing w:before="0" w:after="0"/>
              <w:jc w:val="center"/>
            </w:pPr>
            <w:r>
              <w:rPr>
                <w:rFonts w:ascii="Arial" w:cs="Arial" w:eastAsia="Arial" w:hAnsi="Arial"/>
                <w:b/>
                <w:bCs/>
                <w:color w:val="E4B659"/>
                <w:sz w:val="24"/>
                <w:szCs w:val="24"/>
              </w:rPr>
              <w:t xml:space="preserve">↑ 40–55%</w:t>
            </w:r>
          </w:p>
        </w:tc>
        <w:tc>
          <w:tcPr>
            <w:tcW w:type="dxa" w:w="5360"/>
            <w:tcBorders>
              <w:top w:val="nil" w:color="FFFFFF" w:sz="0"/>
              <w:left w:val="single" w:color="D6E4DB" w:sz="2"/>
              <w:bottom w:val="nil" w:color="FFFFFF" w:sz="0"/>
              <w:right w:val="nil" w:color="FFFFFF" w:sz="0"/>
            </w:tcBorders>
            <w:shd w:fill="F0F4F1" w:val="clear"/>
            <w:tcMar>
              <w:top w:type="dxa" w:w="100"/>
              <w:left w:type="dxa" w:w="180"/>
              <w:bottom w:type="dxa" w:w="100"/>
              <w:right w:type="dxa" w:w="120"/>
            </w:tcMar>
          </w:tcPr>
          <w:p>
            <w:pPr>
              <w:spacing w:before="0" w:after="0"/>
            </w:pPr>
            <w:r>
              <w:rPr>
                <w:rFonts w:ascii="Arial" w:cs="Arial" w:eastAsia="Arial" w:hAnsi="Arial"/>
                <w:color w:val="333333"/>
                <w:sz w:val="20"/>
                <w:szCs w:val="20"/>
              </w:rPr>
              <w:t xml:space="preserve">Personalized impact estimates shown before sign-up, and verified impact data shown to donors during campaigns, reduce hesitation and increase commitment at both stages.</w:t>
            </w:r>
          </w:p>
        </w:tc>
      </w:tr>
      <w:tr>
        <w:tc>
          <w:tcPr>
            <w:tcW w:type="dxa" w:w="2800"/>
            <w:tcBorders>
              <w:top w:val="nil" w:color="FFFFFF" w:sz="0"/>
              <w:left w:val="nil" w:color="FFFFFF" w:sz="0"/>
              <w:bottom w:val="nil" w:color="FFFFFF" w:sz="0"/>
              <w:right w:val="nil" w:color="FFFFFF" w:sz="0"/>
            </w:tcBorders>
            <w:shd w:fill="3C6F46" w:val="clear"/>
            <w:tcMar>
              <w:top w:type="dxa" w:w="120"/>
              <w:left w:type="dxa" w:w="180"/>
              <w:bottom w:type="dxa" w:w="120"/>
              <w:right w:type="dxa" w:w="120"/>
            </w:tcMar>
          </w:tcPr>
          <w:p>
            <w:pPr>
              <w:spacing w:before="0" w:after="0"/>
              <w:jc w:val="left"/>
            </w:pPr>
            <w:r>
              <w:rPr>
                <w:rFonts w:ascii="Arial" w:cs="Arial" w:eastAsia="Arial" w:hAnsi="Arial"/>
                <w:b/>
                <w:bCs/>
                <w:color w:val="FFFFFF"/>
                <w:sz w:val="20"/>
                <w:szCs w:val="20"/>
              </w:rPr>
              <w:t xml:space="preserve">Campaign Setup Time</w:t>
            </w:r>
          </w:p>
        </w:tc>
        <w:tc>
          <w:tcPr>
            <w:tcW w:type="dxa" w:w="1200"/>
            <w:tcBorders>
              <w:top w:val="nil" w:color="FFFFFF" w:sz="0"/>
              <w:left w:val="nil" w:color="FFFFFF" w:sz="0"/>
              <w:bottom w:val="nil" w:color="FFFFFF" w:sz="0"/>
              <w:right w:val="nil" w:color="FFFFFF" w:sz="0"/>
            </w:tcBorders>
            <w:shd w:fill="3C6F46" w:val="clear"/>
            <w:tcMar>
              <w:top w:type="dxa" w:w="120"/>
              <w:left w:type="dxa" w:w="120"/>
              <w:bottom w:type="dxa" w:w="120"/>
              <w:right w:type="dxa" w:w="120"/>
            </w:tcMar>
          </w:tcPr>
          <w:p>
            <w:pPr>
              <w:spacing w:before="0" w:after="0"/>
              <w:jc w:val="center"/>
            </w:pPr>
            <w:r>
              <w:rPr>
                <w:rFonts w:ascii="Arial" w:cs="Arial" w:eastAsia="Arial" w:hAnsi="Arial"/>
                <w:b/>
                <w:bCs/>
                <w:color w:val="E4B659"/>
                <w:sz w:val="24"/>
                <w:szCs w:val="24"/>
              </w:rPr>
              <w:t xml:space="preserve">↓ 80%</w:t>
            </w:r>
          </w:p>
        </w:tc>
        <w:tc>
          <w:tcPr>
            <w:tcW w:type="dxa" w:w="5360"/>
            <w:tcBorders>
              <w:top w:val="nil" w:color="FFFFFF" w:sz="0"/>
              <w:left w:val="single" w:color="D6E4DB" w:sz="2"/>
              <w:bottom w:val="nil" w:color="FFFFFF" w:sz="0"/>
              <w:right w:val="nil" w:color="FFFFFF" w:sz="0"/>
            </w:tcBorders>
            <w:shd w:fill="F0F4F1" w:val="clear"/>
            <w:tcMar>
              <w:top w:type="dxa" w:w="100"/>
              <w:left w:type="dxa" w:w="180"/>
              <w:bottom w:type="dxa" w:w="100"/>
              <w:right w:type="dxa" w:w="120"/>
            </w:tcMar>
          </w:tcPr>
          <w:p>
            <w:pPr>
              <w:spacing w:before="0" w:after="0"/>
            </w:pPr>
            <w:r>
              <w:rPr>
                <w:rFonts w:ascii="Arial" w:cs="Arial" w:eastAsia="Arial" w:hAnsi="Arial"/>
                <w:color w:val="333333"/>
                <w:sz w:val="20"/>
                <w:szCs w:val="20"/>
              </w:rPr>
              <w:t xml:space="preserve">Pre-built campaign templates by org type reduce campaign configuration from multi-hour manual processes to a single click, with all materials pre-loaded.</w:t>
            </w:r>
          </w:p>
        </w:tc>
      </w:tr>
      <w:tr>
        <w:tc>
          <w:tcPr>
            <w:tcW w:type="dxa" w:w="2800"/>
            <w:tcBorders>
              <w:top w:val="nil" w:color="FFFFFF" w:sz="0"/>
              <w:left w:val="nil" w:color="FFFFFF" w:sz="0"/>
              <w:bottom w:val="nil" w:color="FFFFFF" w:sz="0"/>
              <w:right w:val="nil" w:color="FFFFFF" w:sz="0"/>
            </w:tcBorders>
            <w:shd w:fill="18492E" w:val="clear"/>
            <w:tcMar>
              <w:top w:type="dxa" w:w="120"/>
              <w:left w:type="dxa" w:w="180"/>
              <w:bottom w:type="dxa" w:w="120"/>
              <w:right w:type="dxa" w:w="120"/>
            </w:tcMar>
          </w:tcPr>
          <w:p>
            <w:pPr>
              <w:spacing w:before="0" w:after="0"/>
              <w:jc w:val="left"/>
            </w:pPr>
            <w:r>
              <w:rPr>
                <w:rFonts w:ascii="Arial" w:cs="Arial" w:eastAsia="Arial" w:hAnsi="Arial"/>
                <w:b/>
                <w:bCs/>
                <w:color w:val="FFFFFF"/>
                <w:sz w:val="20"/>
                <w:szCs w:val="20"/>
              </w:rPr>
              <w:t xml:space="preserve">Manual Support Volume</w:t>
            </w:r>
          </w:p>
        </w:tc>
        <w:tc>
          <w:tcPr>
            <w:tcW w:type="dxa" w:w="1200"/>
            <w:tcBorders>
              <w:top w:val="nil" w:color="FFFFFF" w:sz="0"/>
              <w:left w:val="nil" w:color="FFFFFF" w:sz="0"/>
              <w:bottom w:val="nil" w:color="FFFFFF" w:sz="0"/>
              <w:right w:val="nil" w:color="FFFFFF" w:sz="0"/>
            </w:tcBorders>
            <w:shd w:fill="3C6F46" w:val="clear"/>
            <w:tcMar>
              <w:top w:type="dxa" w:w="120"/>
              <w:left w:type="dxa" w:w="120"/>
              <w:bottom w:type="dxa" w:w="120"/>
              <w:right w:type="dxa" w:w="120"/>
            </w:tcMar>
          </w:tcPr>
          <w:p>
            <w:pPr>
              <w:spacing w:before="0" w:after="0"/>
              <w:jc w:val="center"/>
            </w:pPr>
            <w:r>
              <w:rPr>
                <w:rFonts w:ascii="Arial" w:cs="Arial" w:eastAsia="Arial" w:hAnsi="Arial"/>
                <w:b/>
                <w:bCs/>
                <w:color w:val="E4B659"/>
                <w:sz w:val="24"/>
                <w:szCs w:val="24"/>
              </w:rPr>
              <w:t xml:space="preserve">↓ 70%</w:t>
            </w:r>
          </w:p>
        </w:tc>
        <w:tc>
          <w:tcPr>
            <w:tcW w:type="dxa" w:w="5360"/>
            <w:tcBorders>
              <w:top w:val="nil" w:color="FFFFFF" w:sz="0"/>
              <w:left w:val="single" w:color="D6E4DB" w:sz="2"/>
              <w:bottom w:val="nil" w:color="FFFFFF" w:sz="0"/>
              <w:right w:val="nil" w:color="FFFFFF" w:sz="0"/>
            </w:tcBorders>
            <w:shd w:fill="F0F4F1" w:val="clear"/>
            <w:tcMar>
              <w:top w:type="dxa" w:w="100"/>
              <w:left w:type="dxa" w:w="180"/>
              <w:bottom w:type="dxa" w:w="100"/>
              <w:right w:type="dxa" w:w="120"/>
            </w:tcMar>
          </w:tcPr>
          <w:p>
            <w:pPr>
              <w:spacing w:before="0" w:after="0"/>
            </w:pPr>
            <w:r>
              <w:rPr>
                <w:rFonts w:ascii="Arial" w:cs="Arial" w:eastAsia="Arial" w:hAnsi="Arial"/>
                <w:color w:val="333333"/>
                <w:sz w:val="20"/>
                <w:szCs w:val="20"/>
              </w:rPr>
              <w:t xml:space="preserve">The interactive checklist, self-serve FAQ, live chat integration, and team permissions system collectively eliminate the majority of routine support requests.</w:t>
            </w:r>
          </w:p>
        </w:tc>
      </w:tr>
      <w:tr>
        <w:tc>
          <w:tcPr>
            <w:tcW w:type="dxa" w:w="2800"/>
            <w:tcBorders>
              <w:top w:val="nil" w:color="FFFFFF" w:sz="0"/>
              <w:left w:val="nil" w:color="FFFFFF" w:sz="0"/>
              <w:bottom w:val="nil" w:color="FFFFFF" w:sz="0"/>
              <w:right w:val="nil" w:color="FFFFFF" w:sz="0"/>
            </w:tcBorders>
            <w:shd w:fill="3C6F46" w:val="clear"/>
            <w:tcMar>
              <w:top w:type="dxa" w:w="120"/>
              <w:left w:type="dxa" w:w="180"/>
              <w:bottom w:type="dxa" w:w="120"/>
              <w:right w:type="dxa" w:w="120"/>
            </w:tcMar>
          </w:tcPr>
          <w:p>
            <w:pPr>
              <w:spacing w:before="0" w:after="0"/>
              <w:jc w:val="left"/>
            </w:pPr>
            <w:r>
              <w:rPr>
                <w:rFonts w:ascii="Arial" w:cs="Arial" w:eastAsia="Arial" w:hAnsi="Arial"/>
                <w:b/>
                <w:bCs/>
                <w:color w:val="FFFFFF"/>
                <w:sz w:val="20"/>
                <w:szCs w:val="20"/>
              </w:rPr>
              <w:t xml:space="preserve">Payout Processing Time</w:t>
            </w:r>
          </w:p>
        </w:tc>
        <w:tc>
          <w:tcPr>
            <w:tcW w:type="dxa" w:w="1200"/>
            <w:tcBorders>
              <w:top w:val="nil" w:color="FFFFFF" w:sz="0"/>
              <w:left w:val="nil" w:color="FFFFFF" w:sz="0"/>
              <w:bottom w:val="nil" w:color="FFFFFF" w:sz="0"/>
              <w:right w:val="nil" w:color="FFFFFF" w:sz="0"/>
            </w:tcBorders>
            <w:shd w:fill="3C6F46" w:val="clear"/>
            <w:tcMar>
              <w:top w:type="dxa" w:w="120"/>
              <w:left w:type="dxa" w:w="120"/>
              <w:bottom w:type="dxa" w:w="120"/>
              <w:right w:type="dxa" w:w="120"/>
            </w:tcMar>
          </w:tcPr>
          <w:p>
            <w:pPr>
              <w:spacing w:before="0" w:after="0"/>
              <w:jc w:val="center"/>
            </w:pPr>
            <w:r>
              <w:rPr>
                <w:rFonts w:ascii="Arial" w:cs="Arial" w:eastAsia="Arial" w:hAnsi="Arial"/>
                <w:b/>
                <w:bCs/>
                <w:color w:val="E4B659"/>
                <w:sz w:val="24"/>
                <w:szCs w:val="24"/>
              </w:rPr>
              <w:t xml:space="preserve">↓ 90%</w:t>
            </w:r>
          </w:p>
        </w:tc>
        <w:tc>
          <w:tcPr>
            <w:tcW w:type="dxa" w:w="5360"/>
            <w:tcBorders>
              <w:top w:val="nil" w:color="FFFFFF" w:sz="0"/>
              <w:left w:val="single" w:color="D6E4DB" w:sz="2"/>
              <w:bottom w:val="nil" w:color="FFFFFF" w:sz="0"/>
              <w:right w:val="nil" w:color="FFFFFF" w:sz="0"/>
            </w:tcBorders>
            <w:shd w:fill="F0F4F1" w:val="clear"/>
            <w:tcMar>
              <w:top w:type="dxa" w:w="100"/>
              <w:left w:type="dxa" w:w="180"/>
              <w:bottom w:type="dxa" w:w="100"/>
              <w:right w:type="dxa" w:w="120"/>
            </w:tcMar>
          </w:tcPr>
          <w:p>
            <w:pPr>
              <w:spacing w:before="0" w:after="0"/>
            </w:pPr>
            <w:r>
              <w:rPr>
                <w:rFonts w:ascii="Arial" w:cs="Arial" w:eastAsia="Arial" w:hAnsi="Arial"/>
                <w:color w:val="333333"/>
                <w:sz w:val="20"/>
                <w:szCs w:val="20"/>
              </w:rPr>
              <w:t xml:space="preserve">Automated 7-day payout cycles through Stripe replace all manual disbursement work, with KYC and bank verification completed without staff intervention.</w:t>
            </w:r>
          </w:p>
        </w:tc>
      </w:tr>
      <w:tr>
        <w:tc>
          <w:tcPr>
            <w:tcW w:type="dxa" w:w="2800"/>
            <w:tcBorders>
              <w:top w:val="nil" w:color="FFFFFF" w:sz="0"/>
              <w:left w:val="nil" w:color="FFFFFF" w:sz="0"/>
              <w:bottom w:val="nil" w:color="FFFFFF" w:sz="0"/>
              <w:right w:val="nil" w:color="FFFFFF" w:sz="0"/>
            </w:tcBorders>
            <w:shd w:fill="18492E" w:val="clear"/>
            <w:tcMar>
              <w:top w:type="dxa" w:w="120"/>
              <w:left w:type="dxa" w:w="180"/>
              <w:bottom w:type="dxa" w:w="120"/>
              <w:right w:type="dxa" w:w="120"/>
            </w:tcMar>
          </w:tcPr>
          <w:p>
            <w:pPr>
              <w:spacing w:before="0" w:after="0"/>
              <w:jc w:val="left"/>
            </w:pPr>
            <w:r>
              <w:rPr>
                <w:rFonts w:ascii="Arial" w:cs="Arial" w:eastAsia="Arial" w:hAnsi="Arial"/>
                <w:b/>
                <w:bCs/>
                <w:color w:val="FFFFFF"/>
                <w:sz w:val="20"/>
                <w:szCs w:val="20"/>
              </w:rPr>
              <w:t xml:space="preserve">Partner Retention Rate</w:t>
            </w:r>
          </w:p>
        </w:tc>
        <w:tc>
          <w:tcPr>
            <w:tcW w:type="dxa" w:w="1200"/>
            <w:tcBorders>
              <w:top w:val="nil" w:color="FFFFFF" w:sz="0"/>
              <w:left w:val="nil" w:color="FFFFFF" w:sz="0"/>
              <w:bottom w:val="nil" w:color="FFFFFF" w:sz="0"/>
              <w:right w:val="nil" w:color="FFFFFF" w:sz="0"/>
            </w:tcBorders>
            <w:shd w:fill="3C6F46" w:val="clear"/>
            <w:tcMar>
              <w:top w:type="dxa" w:w="120"/>
              <w:left w:type="dxa" w:w="120"/>
              <w:bottom w:type="dxa" w:w="120"/>
              <w:right w:type="dxa" w:w="120"/>
            </w:tcMar>
          </w:tcPr>
          <w:p>
            <w:pPr>
              <w:spacing w:before="0" w:after="0"/>
              <w:jc w:val="center"/>
            </w:pPr>
            <w:r>
              <w:rPr>
                <w:rFonts w:ascii="Arial" w:cs="Arial" w:eastAsia="Arial" w:hAnsi="Arial"/>
                <w:b/>
                <w:bCs/>
                <w:color w:val="E4B659"/>
                <w:sz w:val="24"/>
                <w:szCs w:val="24"/>
              </w:rPr>
              <w:t xml:space="preserve">↑ 91.4%</w:t>
            </w:r>
          </w:p>
        </w:tc>
        <w:tc>
          <w:tcPr>
            <w:tcW w:type="dxa" w:w="5360"/>
            <w:tcBorders>
              <w:top w:val="nil" w:color="FFFFFF" w:sz="0"/>
              <w:left w:val="single" w:color="D6E4DB" w:sz="2"/>
              <w:bottom w:val="nil" w:color="FFFFFF" w:sz="0"/>
              <w:right w:val="nil" w:color="FFFFFF" w:sz="0"/>
            </w:tcBorders>
            <w:shd w:fill="F0F4F1" w:val="clear"/>
            <w:tcMar>
              <w:top w:type="dxa" w:w="100"/>
              <w:left w:type="dxa" w:w="180"/>
              <w:bottom w:type="dxa" w:w="100"/>
              <w:right w:type="dxa" w:w="120"/>
            </w:tcMar>
          </w:tcPr>
          <w:p>
            <w:pPr>
              <w:spacing w:before="0" w:after="0"/>
            </w:pPr>
            <w:r>
              <w:rPr>
                <w:rFonts w:ascii="Arial" w:cs="Arial" w:eastAsia="Arial" w:hAnsi="Arial"/>
                <w:color w:val="333333"/>
                <w:sz w:val="20"/>
                <w:szCs w:val="20"/>
              </w:rPr>
              <w:t xml:space="preserve">Gamification, milestone recognition, leaderboards, and community engagement mechanics drive repeat campaign launches without any manual relationship management effort.</w:t>
            </w:r>
          </w:p>
        </w:tc>
      </w:tr>
      <w:tr>
        <w:tc>
          <w:tcPr>
            <w:tcW w:type="dxa" w:w="2800"/>
            <w:tcBorders>
              <w:top w:val="nil" w:color="FFFFFF" w:sz="0"/>
              <w:left w:val="nil" w:color="FFFFFF" w:sz="0"/>
              <w:bottom w:val="nil" w:color="FFFFFF" w:sz="0"/>
              <w:right w:val="nil" w:color="FFFFFF" w:sz="0"/>
            </w:tcBorders>
            <w:shd w:fill="3C6F46" w:val="clear"/>
            <w:tcMar>
              <w:top w:type="dxa" w:w="120"/>
              <w:left w:type="dxa" w:w="180"/>
              <w:bottom w:type="dxa" w:w="120"/>
              <w:right w:type="dxa" w:w="120"/>
            </w:tcMar>
          </w:tcPr>
          <w:p>
            <w:pPr>
              <w:spacing w:before="0" w:after="0"/>
              <w:jc w:val="left"/>
            </w:pPr>
            <w:r>
              <w:rPr>
                <w:rFonts w:ascii="Arial" w:cs="Arial" w:eastAsia="Arial" w:hAnsi="Arial"/>
                <w:b/>
                <w:bCs/>
                <w:color w:val="FFFFFF"/>
                <w:sz w:val="20"/>
                <w:szCs w:val="20"/>
              </w:rPr>
              <w:t xml:space="preserve">Revenue per Partner</w:t>
            </w:r>
          </w:p>
        </w:tc>
        <w:tc>
          <w:tcPr>
            <w:tcW w:type="dxa" w:w="1200"/>
            <w:tcBorders>
              <w:top w:val="nil" w:color="FFFFFF" w:sz="0"/>
              <w:left w:val="nil" w:color="FFFFFF" w:sz="0"/>
              <w:bottom w:val="nil" w:color="FFFFFF" w:sz="0"/>
              <w:right w:val="nil" w:color="FFFFFF" w:sz="0"/>
            </w:tcBorders>
            <w:shd w:fill="3C6F46" w:val="clear"/>
            <w:tcMar>
              <w:top w:type="dxa" w:w="120"/>
              <w:left w:type="dxa" w:w="120"/>
              <w:bottom w:type="dxa" w:w="120"/>
              <w:right w:type="dxa" w:w="120"/>
            </w:tcMar>
          </w:tcPr>
          <w:p>
            <w:pPr>
              <w:spacing w:before="0" w:after="0"/>
              <w:jc w:val="center"/>
            </w:pPr>
            <w:r>
              <w:rPr>
                <w:rFonts w:ascii="Arial" w:cs="Arial" w:eastAsia="Arial" w:hAnsi="Arial"/>
                <w:b/>
                <w:bCs/>
                <w:color w:val="E4B659"/>
                <w:sz w:val="24"/>
                <w:szCs w:val="24"/>
              </w:rPr>
              <w:t xml:space="preserve">↑ 220%</w:t>
            </w:r>
          </w:p>
        </w:tc>
        <w:tc>
          <w:tcPr>
            <w:tcW w:type="dxa" w:w="5360"/>
            <w:tcBorders>
              <w:top w:val="nil" w:color="FFFFFF" w:sz="0"/>
              <w:left w:val="single" w:color="D6E4DB" w:sz="2"/>
              <w:bottom w:val="nil" w:color="FFFFFF" w:sz="0"/>
              <w:right w:val="nil" w:color="FFFFFF" w:sz="0"/>
            </w:tcBorders>
            <w:shd w:fill="F0F4F1" w:val="clear"/>
            <w:tcMar>
              <w:top w:type="dxa" w:w="100"/>
              <w:left w:type="dxa" w:w="180"/>
              <w:bottom w:type="dxa" w:w="100"/>
              <w:right w:type="dxa" w:w="120"/>
            </w:tcMar>
          </w:tcPr>
          <w:p>
            <w:pPr>
              <w:spacing w:before="0" w:after="0"/>
            </w:pPr>
            <w:r>
              <w:rPr>
                <w:rFonts w:ascii="Arial" w:cs="Arial" w:eastAsia="Arial" w:hAnsi="Arial"/>
                <w:color w:val="333333"/>
                <w:sz w:val="20"/>
                <w:szCs w:val="20"/>
              </w:rPr>
              <w:t xml:space="preserve">Assisted (Lane 2) and White Glove (Lane 3) partners raise an average of 3.2× more than self-serve partners. Analytics-driven lane upgrade nudges systematically shift partners to higher-value tiers.</w:t>
            </w:r>
          </w:p>
        </w:tc>
      </w:tr>
      <w:tr>
        <w:tc>
          <w:tcPr>
            <w:tcW w:type="dxa" w:w="2800"/>
            <w:tcBorders>
              <w:top w:val="nil" w:color="FFFFFF" w:sz="0"/>
              <w:left w:val="nil" w:color="FFFFFF" w:sz="0"/>
              <w:bottom w:val="nil" w:color="FFFFFF" w:sz="0"/>
              <w:right w:val="nil" w:color="FFFFFF" w:sz="0"/>
            </w:tcBorders>
            <w:shd w:fill="18492E" w:val="clear"/>
            <w:tcMar>
              <w:top w:type="dxa" w:w="120"/>
              <w:left w:type="dxa" w:w="180"/>
              <w:bottom w:type="dxa" w:w="120"/>
              <w:right w:type="dxa" w:w="120"/>
            </w:tcMar>
          </w:tcPr>
          <w:p>
            <w:pPr>
              <w:spacing w:before="0" w:after="0"/>
              <w:jc w:val="left"/>
            </w:pPr>
            <w:r>
              <w:rPr>
                <w:rFonts w:ascii="Arial" w:cs="Arial" w:eastAsia="Arial" w:hAnsi="Arial"/>
                <w:b/>
                <w:bCs/>
                <w:color w:val="FFFFFF"/>
                <w:sz w:val="20"/>
                <w:szCs w:val="20"/>
              </w:rPr>
              <w:t xml:space="preserve">Donor Trust &amp; Credibility</w:t>
            </w:r>
          </w:p>
        </w:tc>
        <w:tc>
          <w:tcPr>
            <w:tcW w:type="dxa" w:w="1200"/>
            <w:tcBorders>
              <w:top w:val="nil" w:color="FFFFFF" w:sz="0"/>
              <w:left w:val="nil" w:color="FFFFFF" w:sz="0"/>
              <w:bottom w:val="nil" w:color="FFFFFF" w:sz="0"/>
              <w:right w:val="nil" w:color="FFFFFF" w:sz="0"/>
            </w:tcBorders>
            <w:shd w:fill="3C6F46" w:val="clear"/>
            <w:tcMar>
              <w:top w:type="dxa" w:w="120"/>
              <w:left w:type="dxa" w:w="120"/>
              <w:bottom w:type="dxa" w:w="120"/>
              <w:right w:type="dxa" w:w="120"/>
            </w:tcMar>
          </w:tcPr>
          <w:p>
            <w:pPr>
              <w:spacing w:before="0" w:after="0"/>
              <w:jc w:val="center"/>
            </w:pPr>
            <w:r>
              <w:rPr>
                <w:rFonts w:ascii="Arial" w:cs="Arial" w:eastAsia="Arial" w:hAnsi="Arial"/>
                <w:b/>
                <w:bCs/>
                <w:color w:val="E4B659"/>
                <w:sz w:val="24"/>
                <w:szCs w:val="24"/>
              </w:rPr>
              <w:t xml:space="preserve">↑ 45–60%</w:t>
            </w:r>
          </w:p>
        </w:tc>
        <w:tc>
          <w:tcPr>
            <w:tcW w:type="dxa" w:w="5360"/>
            <w:tcBorders>
              <w:top w:val="nil" w:color="FFFFFF" w:sz="0"/>
              <w:left w:val="single" w:color="D6E4DB" w:sz="2"/>
              <w:bottom w:val="nil" w:color="FFFFFF" w:sz="0"/>
              <w:right w:val="nil" w:color="FFFFFF" w:sz="0"/>
            </w:tcBorders>
            <w:shd w:fill="F0F4F1" w:val="clear"/>
            <w:tcMar>
              <w:top w:type="dxa" w:w="100"/>
              <w:left w:type="dxa" w:w="180"/>
              <w:bottom w:type="dxa" w:w="100"/>
              <w:right w:type="dxa" w:w="120"/>
            </w:tcMar>
          </w:tcPr>
          <w:p>
            <w:pPr>
              <w:spacing w:before="0" w:after="0"/>
            </w:pPr>
            <w:r>
              <w:rPr>
                <w:rFonts w:ascii="Arial" w:cs="Arial" w:eastAsia="Arial" w:hAnsi="Arial"/>
                <w:color w:val="333333"/>
                <w:sz w:val="20"/>
                <w:szCs w:val="20"/>
              </w:rPr>
              <w:t xml:space="preserve">The in-platform veritree verification, GPS-tagged planting sites, downloadable impact certificates, and instant receipts resolve the core trust-conversion gap that was previously the #1 objection in the sales cycle.</w:t>
            </w:r>
          </w:p>
        </w:tc>
      </w:tr>
      <w:tr>
        <w:tc>
          <w:tcPr>
            <w:tcW w:type="dxa" w:w="2800"/>
            <w:tcBorders>
              <w:top w:val="nil" w:color="FFFFFF" w:sz="0"/>
              <w:left w:val="nil" w:color="FFFFFF" w:sz="0"/>
              <w:bottom w:val="nil" w:color="FFFFFF" w:sz="0"/>
              <w:right w:val="nil" w:color="FFFFFF" w:sz="0"/>
            </w:tcBorders>
            <w:shd w:fill="3C6F46" w:val="clear"/>
            <w:tcMar>
              <w:top w:type="dxa" w:w="120"/>
              <w:left w:type="dxa" w:w="180"/>
              <w:bottom w:type="dxa" w:w="120"/>
              <w:right w:type="dxa" w:w="120"/>
            </w:tcMar>
          </w:tcPr>
          <w:p>
            <w:pPr>
              <w:spacing w:before="0" w:after="0"/>
              <w:jc w:val="left"/>
            </w:pPr>
            <w:r>
              <w:rPr>
                <w:rFonts w:ascii="Arial" w:cs="Arial" w:eastAsia="Arial" w:hAnsi="Arial"/>
                <w:b/>
                <w:bCs/>
                <w:color w:val="FFFFFF"/>
                <w:sz w:val="20"/>
                <w:szCs w:val="20"/>
              </w:rPr>
              <w:t xml:space="preserve">Platform Error &amp; Drop-off</w:t>
            </w:r>
          </w:p>
        </w:tc>
        <w:tc>
          <w:tcPr>
            <w:tcW w:type="dxa" w:w="1200"/>
            <w:tcBorders>
              <w:top w:val="nil" w:color="FFFFFF" w:sz="0"/>
              <w:left w:val="nil" w:color="FFFFFF" w:sz="0"/>
              <w:bottom w:val="nil" w:color="FFFFFF" w:sz="0"/>
              <w:right w:val="nil" w:color="FFFFFF" w:sz="0"/>
            </w:tcBorders>
            <w:shd w:fill="3C6F46" w:val="clear"/>
            <w:tcMar>
              <w:top w:type="dxa" w:w="120"/>
              <w:left w:type="dxa" w:w="120"/>
              <w:bottom w:type="dxa" w:w="120"/>
              <w:right w:type="dxa" w:w="120"/>
            </w:tcMar>
          </w:tcPr>
          <w:p>
            <w:pPr>
              <w:spacing w:before="0" w:after="0"/>
              <w:jc w:val="center"/>
            </w:pPr>
            <w:r>
              <w:rPr>
                <w:rFonts w:ascii="Arial" w:cs="Arial" w:eastAsia="Arial" w:hAnsi="Arial"/>
                <w:b/>
                <w:bCs/>
                <w:color w:val="E4B659"/>
                <w:sz w:val="24"/>
                <w:szCs w:val="24"/>
              </w:rPr>
              <w:t xml:space="preserve">↓ 65%</w:t>
            </w:r>
          </w:p>
        </w:tc>
        <w:tc>
          <w:tcPr>
            <w:tcW w:type="dxa" w:w="5360"/>
            <w:tcBorders>
              <w:top w:val="nil" w:color="FFFFFF" w:sz="0"/>
              <w:left w:val="single" w:color="D6E4DB" w:sz="2"/>
              <w:bottom w:val="nil" w:color="FFFFFF" w:sz="0"/>
              <w:right w:val="nil" w:color="FFFFFF" w:sz="0"/>
            </w:tcBorders>
            <w:shd w:fill="F0F4F1" w:val="clear"/>
            <w:tcMar>
              <w:top w:type="dxa" w:w="100"/>
              <w:left w:type="dxa" w:w="180"/>
              <w:bottom w:type="dxa" w:w="100"/>
              <w:right w:type="dxa" w:w="120"/>
            </w:tcMar>
          </w:tcPr>
          <w:p>
            <w:pPr>
              <w:spacing w:before="0" w:after="0"/>
            </w:pPr>
            <w:r>
              <w:rPr>
                <w:rFonts w:ascii="Arial" w:cs="Arial" w:eastAsia="Arial" w:hAnsi="Arial"/>
                <w:color w:val="333333"/>
                <w:sz w:val="20"/>
                <w:szCs w:val="20"/>
              </w:rPr>
              <w:t xml:space="preserve">Replacing a high-friction WordPress/Elementor website with a purpose-built single-page progressive app eliminates slow LCP times, mobile breakpoints, and confusing navigation — each a previously identified source of client abandonment.</w:t>
            </w:r>
          </w:p>
        </w:tc>
      </w:tr>
      <w:tr>
        <w:tc>
          <w:tcPr>
            <w:tcW w:type="dxa" w:w="2800"/>
            <w:tcBorders>
              <w:top w:val="nil" w:color="FFFFFF" w:sz="0"/>
              <w:left w:val="nil" w:color="FFFFFF" w:sz="0"/>
              <w:bottom w:val="nil" w:color="FFFFFF" w:sz="0"/>
              <w:right w:val="nil" w:color="FFFFFF" w:sz="0"/>
            </w:tcBorders>
            <w:shd w:fill="18492E" w:val="clear"/>
            <w:tcMar>
              <w:top w:type="dxa" w:w="120"/>
              <w:left w:type="dxa" w:w="180"/>
              <w:bottom w:type="dxa" w:w="120"/>
              <w:right w:type="dxa" w:w="120"/>
            </w:tcMar>
          </w:tcPr>
          <w:p>
            <w:pPr>
              <w:spacing w:before="0" w:after="0"/>
              <w:jc w:val="left"/>
            </w:pPr>
            <w:r>
              <w:rPr>
                <w:rFonts w:ascii="Arial" w:cs="Arial" w:eastAsia="Arial" w:hAnsi="Arial"/>
                <w:b/>
                <w:bCs/>
                <w:color w:val="FFFFFF"/>
                <w:sz w:val="20"/>
                <w:szCs w:val="20"/>
              </w:rPr>
              <w:t xml:space="preserve">Sales Cycle Length</w:t>
            </w:r>
          </w:p>
        </w:tc>
        <w:tc>
          <w:tcPr>
            <w:tcW w:type="dxa" w:w="1200"/>
            <w:tcBorders>
              <w:top w:val="nil" w:color="FFFFFF" w:sz="0"/>
              <w:left w:val="nil" w:color="FFFFFF" w:sz="0"/>
              <w:bottom w:val="nil" w:color="FFFFFF" w:sz="0"/>
              <w:right w:val="nil" w:color="FFFFFF" w:sz="0"/>
            </w:tcBorders>
            <w:shd w:fill="3C6F46" w:val="clear"/>
            <w:tcMar>
              <w:top w:type="dxa" w:w="120"/>
              <w:left w:type="dxa" w:w="120"/>
              <w:bottom w:type="dxa" w:w="120"/>
              <w:right w:type="dxa" w:w="120"/>
            </w:tcMar>
          </w:tcPr>
          <w:p>
            <w:pPr>
              <w:spacing w:before="0" w:after="0"/>
              <w:jc w:val="center"/>
            </w:pPr>
            <w:r>
              <w:rPr>
                <w:rFonts w:ascii="Arial" w:cs="Arial" w:eastAsia="Arial" w:hAnsi="Arial"/>
                <w:b/>
                <w:bCs/>
                <w:color w:val="E4B659"/>
                <w:sz w:val="24"/>
                <w:szCs w:val="24"/>
              </w:rPr>
              <w:t xml:space="preserve">↓ 60%</w:t>
            </w:r>
          </w:p>
        </w:tc>
        <w:tc>
          <w:tcPr>
            <w:tcW w:type="dxa" w:w="5360"/>
            <w:tcBorders>
              <w:top w:val="nil" w:color="FFFFFF" w:sz="0"/>
              <w:left w:val="single" w:color="D6E4DB" w:sz="2"/>
              <w:bottom w:val="nil" w:color="FFFFFF" w:sz="0"/>
              <w:right w:val="nil" w:color="FFFFFF" w:sz="0"/>
            </w:tcBorders>
            <w:shd w:fill="F0F4F1" w:val="clear"/>
            <w:tcMar>
              <w:top w:type="dxa" w:w="100"/>
              <w:left w:type="dxa" w:w="180"/>
              <w:bottom w:type="dxa" w:w="100"/>
              <w:right w:type="dxa" w:w="120"/>
            </w:tcMar>
          </w:tcPr>
          <w:p>
            <w:pPr>
              <w:spacing w:before="0" w:after="0"/>
            </w:pPr>
            <w:r>
              <w:rPr>
                <w:rFonts w:ascii="Arial" w:cs="Arial" w:eastAsia="Arial" w:hAnsi="Arial"/>
                <w:color w:val="333333"/>
                <w:sz w:val="20"/>
                <w:szCs w:val="20"/>
              </w:rPr>
              <w:t xml:space="preserve">The self-qualifying funnel, instant impact estimate, and transparent revenue calculator compress what was a multi-touchpoint sales conversation into a sub-5-minute self-serve flow.</w:t>
            </w:r>
          </w:p>
        </w:tc>
      </w:tr>
      <w:tr>
        <w:tc>
          <w:tcPr>
            <w:tcW w:type="dxa" w:w="2800"/>
            <w:tcBorders>
              <w:top w:val="nil" w:color="FFFFFF" w:sz="0"/>
              <w:left w:val="nil" w:color="FFFFFF" w:sz="0"/>
              <w:bottom w:val="nil" w:color="FFFFFF" w:sz="0"/>
              <w:right w:val="nil" w:color="FFFFFF" w:sz="0"/>
            </w:tcBorders>
            <w:shd w:fill="3C6F46" w:val="clear"/>
            <w:tcMar>
              <w:top w:type="dxa" w:w="120"/>
              <w:left w:type="dxa" w:w="180"/>
              <w:bottom w:type="dxa" w:w="120"/>
              <w:right w:type="dxa" w:w="120"/>
            </w:tcMar>
          </w:tcPr>
          <w:p>
            <w:pPr>
              <w:spacing w:before="0" w:after="0"/>
              <w:jc w:val="left"/>
            </w:pPr>
            <w:r>
              <w:rPr>
                <w:rFonts w:ascii="Arial" w:cs="Arial" w:eastAsia="Arial" w:hAnsi="Arial"/>
                <w:b/>
                <w:bCs/>
                <w:color w:val="FFFFFF"/>
                <w:sz w:val="20"/>
                <w:szCs w:val="20"/>
              </w:rPr>
              <w:t xml:space="preserve">Operational Cost per Client</w:t>
            </w:r>
          </w:p>
        </w:tc>
        <w:tc>
          <w:tcPr>
            <w:tcW w:type="dxa" w:w="1200"/>
            <w:tcBorders>
              <w:top w:val="nil" w:color="FFFFFF" w:sz="0"/>
              <w:left w:val="nil" w:color="FFFFFF" w:sz="0"/>
              <w:bottom w:val="nil" w:color="FFFFFF" w:sz="0"/>
              <w:right w:val="nil" w:color="FFFFFF" w:sz="0"/>
            </w:tcBorders>
            <w:shd w:fill="3C6F46" w:val="clear"/>
            <w:tcMar>
              <w:top w:type="dxa" w:w="120"/>
              <w:left w:type="dxa" w:w="120"/>
              <w:bottom w:type="dxa" w:w="120"/>
              <w:right w:type="dxa" w:w="120"/>
            </w:tcMar>
          </w:tcPr>
          <w:p>
            <w:pPr>
              <w:spacing w:before="0" w:after="0"/>
              <w:jc w:val="center"/>
            </w:pPr>
            <w:r>
              <w:rPr>
                <w:rFonts w:ascii="Arial" w:cs="Arial" w:eastAsia="Arial" w:hAnsi="Arial"/>
                <w:b/>
                <w:bCs/>
                <w:color w:val="E4B659"/>
                <w:sz w:val="24"/>
                <w:szCs w:val="24"/>
              </w:rPr>
              <w:t xml:space="preserve">↓ 55%</w:t>
            </w:r>
          </w:p>
        </w:tc>
        <w:tc>
          <w:tcPr>
            <w:tcW w:type="dxa" w:w="5360"/>
            <w:tcBorders>
              <w:top w:val="nil" w:color="FFFFFF" w:sz="0"/>
              <w:left w:val="single" w:color="D6E4DB" w:sz="2"/>
              <w:bottom w:val="nil" w:color="FFFFFF" w:sz="0"/>
              <w:right w:val="nil" w:color="FFFFFF" w:sz="0"/>
            </w:tcBorders>
            <w:shd w:fill="F0F4F1" w:val="clear"/>
            <w:tcMar>
              <w:top w:type="dxa" w:w="100"/>
              <w:left w:type="dxa" w:w="180"/>
              <w:bottom w:type="dxa" w:w="100"/>
              <w:right w:type="dxa" w:w="120"/>
            </w:tcMar>
          </w:tcPr>
          <w:p>
            <w:pPr>
              <w:spacing w:before="0" w:after="0"/>
            </w:pPr>
            <w:r>
              <w:rPr>
                <w:rFonts w:ascii="Arial" w:cs="Arial" w:eastAsia="Arial" w:hAnsi="Arial"/>
                <w:color w:val="333333"/>
                <w:sz w:val="20"/>
                <w:szCs w:val="20"/>
              </w:rPr>
              <w:t xml:space="preserve">Eliminating the need for dedicated onboarding specialists for routine clients, automated billing, and self-serve team management substantially reduces per-client operational overhead as the partner base scales.</w:t>
            </w:r>
          </w:p>
        </w:tc>
      </w:tr>
    </w:tbl>
    <w:p>
      <w:pPr>
        <w:spacing w:before="0" w:after="120"/>
      </w:pPr>
      <w:r>
        <w:t xml:space="preserve"/>
      </w:r>
    </w:p>
    <w:p>
      <w:pPr>
        <w:pStyle w:val="Heading1"/>
        <w:pBdr>
          <w:bottom w:val="single" w:color="3C6F46" w:sz="8" w:space="4"/>
        </w:pBdr>
        <w:spacing w:before="360" w:after="160"/>
      </w:pPr>
      <w:r>
        <w:rPr>
          <w:rFonts w:ascii="Arial" w:cs="Arial" w:eastAsia="Arial" w:hAnsi="Arial"/>
          <w:b/>
          <w:bCs/>
          <w:color w:val="18492E"/>
          <w:sz w:val="36"/>
          <w:szCs w:val="36"/>
        </w:rPr>
        <w:t xml:space="preserve">Conclusion</w:t>
      </w:r>
    </w:p>
    <w:p>
      <w:pPr>
        <w:spacing w:before="80" w:after="120"/>
        <w:jc w:val="left"/>
      </w:pPr>
      <w:r>
        <w:rPr>
          <w:rFonts w:ascii="Arial" w:cs="Arial" w:eastAsia="Arial" w:hAnsi="Arial"/>
          <w:b w:val="false"/>
          <w:bCs w:val="false"/>
          <w:i w:val="false"/>
          <w:iCs w:val="false"/>
          <w:color w:val="222222"/>
          <w:sz w:val="22"/>
          <w:szCs w:val="22"/>
        </w:rPr>
        <w:t xml:space="preserve">The TreeRaise automated platform fundamentally transforms the organization's ability to scale. What previously required a full team of client specialists — each manually onboarding, following up, disbursing payments, and reporting impact — is now handled by the system automatically and consistently across all 47+ partners.</w:t>
      </w:r>
    </w:p>
    <w:p>
      <w:pPr>
        <w:spacing w:before="0" w:after="120"/>
        <w:jc w:val="left"/>
      </w:pPr>
      <w:r>
        <w:rPr>
          <w:rFonts w:ascii="Arial" w:cs="Arial" w:eastAsia="Arial" w:hAnsi="Arial"/>
          <w:b w:val="false"/>
          <w:bCs w:val="false"/>
          <w:i w:val="false"/>
          <w:iCs w:val="false"/>
          <w:color w:val="222222"/>
          <w:sz w:val="22"/>
          <w:szCs w:val="22"/>
        </w:rPr>
        <w:t xml:space="preserve">The platform directly addresses all three identified problems: onboarding friction is eliminated through self-serve funnels and intelligent escalation; the trust-conversion gap is closed by native veritree impact data; and mobile performance is resolved through a purpose-built, API-first architecture.</w:t>
      </w:r>
    </w:p>
    <w:p>
      <w:pPr>
        <w:spacing w:before="0" w:after="120"/>
        <w:jc w:val="left"/>
      </w:pPr>
      <w:r>
        <w:rPr>
          <w:rFonts w:ascii="Arial" w:cs="Arial" w:eastAsia="Arial" w:hAnsi="Arial"/>
          <w:b w:val="false"/>
          <w:bCs w:val="false"/>
          <w:i w:val="false"/>
          <w:iCs w:val="false"/>
          <w:color w:val="222222"/>
          <w:sz w:val="22"/>
          <w:szCs w:val="22"/>
        </w:rPr>
        <w:t xml:space="preserve">Most importantly, the compounding nature of these improvements means that as TreeRaise adds more partners, the per-partner cost of service decreases rather than increases — enabling sustainable, profitable growth aligned with the platform's environmental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4EFE5" w:val="clear"/>
            <w:tcMar>
              <w:top w:type="dxa" w:w="200"/>
              <w:left w:type="dxa" w:w="360"/>
              <w:bottom w:type="dxa" w:w="200"/>
              <w:right w:type="dxa" w:w="360"/>
            </w:tcMar>
          </w:tcPr>
          <w:p>
            <w:pPr>
              <w:spacing w:before="0" w:after="80"/>
              <w:jc w:val="center"/>
            </w:pPr>
            <w:r>
              <w:rPr>
                <w:rFonts w:ascii="Arial" w:cs="Arial" w:eastAsia="Arial" w:hAnsi="Arial"/>
                <w:b/>
                <w:bCs/>
                <w:color w:val="18492E"/>
                <w:sz w:val="22"/>
                <w:szCs w:val="22"/>
              </w:rPr>
              <w:t xml:space="preserve">🌳  Every tree planted begins with a system that works.</w:t>
            </w:r>
          </w:p>
          <w:p>
            <w:pPr>
              <w:spacing w:before="0" w:after="0"/>
              <w:jc w:val="center"/>
            </w:pPr>
            <w:r>
              <w:rPr>
                <w:rFonts w:ascii="Arial" w:cs="Arial" w:eastAsia="Arial" w:hAnsi="Arial"/>
                <w:color w:val="3C6F46"/>
                <w:sz w:val="20"/>
                <w:szCs w:val="20"/>
              </w:rPr>
              <w:t xml:space="preserve">TreeRaise — Where Giving Grows  |  www.treeraise.com</w:t>
            </w:r>
          </w:p>
        </w:tc>
      </w:tr>
    </w:tbl>
    <w:p>
      <w:pPr>
        <w:spacing w:before="0" w:after="12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C6F46" w:sz="4" w:space="4"/>
      </w:pBdr>
      <w:spacing w:before="0" w:after="0"/>
      <w:jc w:val="center"/>
    </w:pPr>
    <w:r>
      <w:rPr>
        <w:rFonts w:ascii="Arial" w:cs="Arial" w:eastAsia="Arial" w:hAnsi="Arial"/>
        <w:color w:val="5A5A5A"/>
        <w:sz w:val="16"/>
        <w:szCs w:val="16"/>
      </w:rPr>
      <w:t xml:space="preserve">www.treeraise.com  |  Confidential — Prepared for TreeRaise / Elsey Enterprises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C6F46" w:sz="6" w:space="4"/>
      </w:pBdr>
      <w:spacing w:before="0" w:after="0"/>
    </w:pPr>
    <w:r>
      <w:rPr>
        <w:rFonts w:ascii="Arial" w:cs="Arial" w:eastAsia="Arial" w:hAnsi="Arial"/>
        <w:color w:val="5A5A5A"/>
        <w:sz w:val="18"/>
        <w:szCs w:val="18"/>
      </w:rPr>
      <w:t xml:space="preserve">TreeRaise  |  Platform Feature &amp; Benefits Report</w:t>
    </w:r>
    <w:r>
      <w:rPr>
        <w:rFonts w:ascii="Arial" w:cs="Arial" w:eastAsia="Arial" w:hAnsi="Arial"/>
        <w:color w:val="5A5A5A"/>
        <w:sz w:val="18"/>
        <w:szCs w:val="18"/>
      </w:rPr>
      <w:t xml:space="preserve">    Page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8492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3C6F4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2026-03-09T20:58:19.041Z</dcterms:created>
  <dcterms:modified xsi:type="dcterms:W3CDTF">2026-03-09T20:58:19.042Z</dcterms:modified>
</cp:coreProperties>
</file>

<file path=docProps/custom.xml><?xml version="1.0" encoding="utf-8"?>
<Properties xmlns="http://schemas.openxmlformats.org/officeDocument/2006/custom-properties" xmlns:vt="http://schemas.openxmlformats.org/officeDocument/2006/docPropsVTypes"/>
</file>