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sz w:val="36"/>
        </w:rPr>
        <w:t>Business Operations Manual</w:t>
      </w:r>
    </w:p>
    <w:p>
      <w:pPr>
        <w:pStyle w:val="Heading2"/>
      </w:pPr>
      <w:r>
        <w:rPr>
          <w:color w:val="2E74B5"/>
          <w:sz w:val="30"/>
        </w:rPr>
        <w:t>1. Company Overview</w:t>
      </w:r>
    </w:p>
    <w:p>
      <w:pPr>
        <w:pStyle w:val="Heading3"/>
      </w:pPr>
      <w:r>
        <w:rPr>
          <w:color w:val="1F497D"/>
          <w:sz w:val="26"/>
        </w:rPr>
        <w:t>1.1 Business Name</w:t>
      </w:r>
    </w:p>
    <w:p>
      <w:r>
        <w:t>NexBiome Therapeutics</w:t>
      </w:r>
    </w:p>
    <w:p>
      <w:pPr>
        <w:pStyle w:val="Heading3"/>
      </w:pPr>
      <w:r>
        <w:rPr>
          <w:color w:val="1F497D"/>
          <w:sz w:val="26"/>
        </w:rPr>
        <w:t>1.2 Industry</w:t>
      </w:r>
    </w:p>
    <w:p>
      <w:r>
        <w:t>Biotechnology — microbiome-based drug development</w:t>
      </w:r>
    </w:p>
    <w:p>
      <w:pPr>
        <w:pStyle w:val="Heading3"/>
      </w:pPr>
      <w:r>
        <w:rPr>
          <w:color w:val="1F497D"/>
          <w:sz w:val="26"/>
        </w:rPr>
        <w:t>1.3 Core Products or Services</w:t>
      </w:r>
    </w:p>
    <w:p>
      <w:r>
        <w:t xml:space="preserve">NexBiome Therapeutics is a </w:t>
      </w:r>
      <w:r>
        <w:rPr>
          <w:b/>
        </w:rPr>
        <w:t>biotech studio</w:t>
      </w:r>
      <w:r>
        <w:t>. It does not sell products to the general public. It:</w:t>
      </w:r>
    </w:p>
    <w:p>
      <w:pPr>
        <w:pStyle w:val="ListBullet"/>
      </w:pPr>
      <w:r>
        <w:t>Identifies promising academic microbiome research</w:t>
      </w:r>
    </w:p>
    <w:p>
      <w:pPr>
        <w:pStyle w:val="ListBullet"/>
      </w:pPr>
      <w:r>
        <w:t>Acquires exclusive licenses or takes equity stakes in those projects</w:t>
      </w:r>
    </w:p>
    <w:p>
      <w:pPr>
        <w:pStyle w:val="ListBullet"/>
      </w:pPr>
      <w:r>
        <w:t>Designs and funds complete drug development roadmaps</w:t>
      </w:r>
    </w:p>
    <w:p>
      <w:pPr>
        <w:pStyle w:val="ListBullet"/>
      </w:pPr>
      <w:r>
        <w:t>Manages all development stages (preclinical, clinical, regulatory, CMC) until assets reach pharmaceutical standards</w:t>
      </w:r>
    </w:p>
    <w:p>
      <w:r>
        <w:t>The pipeline currently contains four active projects, selected from an original ten evaluated since 2020.</w:t>
      </w:r>
    </w:p>
    <w:p>
      <w:pPr>
        <w:pStyle w:val="Quote"/>
        <w:spacing w:before="40" w:after="40"/>
        <w:ind w:left="576"/>
      </w:pPr>
      <w:r>
        <w:rPr>
          <w:b/>
          <w:i/>
          <w:color w:val="404040"/>
        </w:rPr>
        <w:t>Note — nexbiome.life:</w:t>
      </w:r>
      <w:r>
        <w:rPr>
          <w:i/>
          <w:color w:val="404040"/>
        </w:rPr>
        <w:t xml:space="preserve"> A separate entity operating at this domain posted a WordPress developer job on Upwork, describing itself as "a probiotics brand." The relationship to NexBiome Therapeutics (nexbiome.com) is unconfirmed from available data — the domains differ, the Upwork posting contains no cross-reference to the therapeutics entity, and the operational context is consumer retail rather than drug development. It may be a related consumer brand, a portfolio company, or an unrelated entity sharing the NexBiome name. It is treated as a distinct entity throughout this document and flagged where operationally relevant.</w:t>
      </w:r>
    </w:p>
    <w:p>
      <w:pPr>
        <w:pStyle w:val="Heading3"/>
      </w:pPr>
      <w:r>
        <w:rPr>
          <w:color w:val="1F497D"/>
          <w:sz w:val="26"/>
        </w:rPr>
        <w:t>1.4 Target Customers</w:t>
      </w:r>
    </w:p>
    <w:p>
      <w:pPr>
        <w:pStyle w:val="ListBullet"/>
      </w:pPr>
      <w:r>
        <w:rPr>
          <w:b/>
        </w:rPr>
        <w:t>Family offices</w:t>
      </w:r>
      <w:r>
        <w:t xml:space="preserve"> — private wealthy investors seeking long-term biotech returns (primary investor base)</w:t>
      </w:r>
    </w:p>
    <w:p>
      <w:pPr>
        <w:pStyle w:val="ListBullet"/>
      </w:pPr>
      <w:r>
        <w:rPr>
          <w:b/>
        </w:rPr>
        <w:t>Academic researchers and institutions</w:t>
      </w:r>
      <w:r>
        <w:t xml:space="preserve"> — looking to commercialize microbiome discoveries</w:t>
      </w:r>
    </w:p>
    <w:p>
      <w:pPr>
        <w:pStyle w:val="ListBullet"/>
      </w:pPr>
      <w:r>
        <w:rPr>
          <w:b/>
        </w:rPr>
        <w:t>Early-stage biotech companies</w:t>
      </w:r>
      <w:r>
        <w:t xml:space="preserve"> — with microbiome assets needing development expertise and capital</w:t>
      </w:r>
    </w:p>
    <w:p>
      <w:pPr>
        <w:pStyle w:val="ListBullet"/>
      </w:pPr>
      <w:r>
        <w:rPr>
          <w:b/>
        </w:rPr>
        <w:t>Large pharmaceutical companies</w:t>
      </w:r>
      <w:r>
        <w:t xml:space="preserve"> — not customers in the traditional sense, but the intended end-buyers of developed assets; they license or acquire the portfolio companies once development milestones de-risk the asset sufficiently</w:t>
      </w:r>
    </w:p>
    <w:p>
      <w:pPr>
        <w:pStyle w:val="Heading3"/>
      </w:pPr>
      <w:r>
        <w:rPr>
          <w:color w:val="1F497D"/>
          <w:sz w:val="26"/>
        </w:rPr>
        <w:t>1.5 Value Proposition</w:t>
      </w:r>
    </w:p>
    <w:p>
      <w:r>
        <w:t>NexBiome bridges academic science and commercial drug development. It offers:</w:t>
      </w:r>
    </w:p>
    <w:p>
      <w:pPr>
        <w:pStyle w:val="ListBullet"/>
      </w:pPr>
      <w:r>
        <w:t>Full in-house pharmaceutical, regulatory, preclinical, clinical, CMC, QA, and finance expertise under one roof</w:t>
      </w:r>
    </w:p>
    <w:p>
      <w:pPr>
        <w:pStyle w:val="ListBullet"/>
      </w:pPr>
      <w:r>
        <w:t>A €23M equity-funded platform with patient, long-term capital</w:t>
      </w:r>
    </w:p>
    <w:p>
      <w:pPr>
        <w:pStyle w:val="ListBullet"/>
      </w:pPr>
      <w:r>
        <w:t>70+ year microbiome heritage — Lyocentre (1951) qualified the first pharmaceutical-grade probiotic; Antibiophilus® (1975) was the world's first microbiome-derived medicinal product</w:t>
      </w:r>
    </w:p>
    <w:p>
      <w:pPr>
        <w:pStyle w:val="ListBullet"/>
      </w:pPr>
      <w:r>
        <w:t>Founder-led management with a proven track record of building global pharma companies</w:t>
      </w:r>
    </w:p>
    <w:p>
      <w:pPr>
        <w:pStyle w:val="Heading3"/>
      </w:pPr>
      <w:r>
        <w:rPr>
          <w:color w:val="1F497D"/>
          <w:sz w:val="26"/>
        </w:rPr>
        <w:t>1.6 Business Model</w:t>
      </w:r>
    </w:p>
    <w:p>
      <w:pPr>
        <w:pStyle w:val="ListBullet"/>
      </w:pPr>
      <w:r>
        <w:rPr>
          <w:b/>
        </w:rPr>
        <w:t>How the company makes money:</w:t>
      </w:r>
      <w:r>
        <w:t xml:space="preserve"> NexBiome builds value in portfolio drug assets and earns returns through equity appreciation, licensing deals, milestone payments, and strategic exits (acquisition, IPO, big pharma partnerships).</w:t>
      </w:r>
    </w:p>
    <w:p>
      <w:pPr>
        <w:pStyle w:val="ListBullet"/>
      </w:pPr>
      <w:r>
        <w:rPr>
          <w:b/>
        </w:rPr>
        <w:t>Pricing model:</w:t>
      </w:r>
      <w:r>
        <w:t xml:space="preserve"> Not a fee-for-service model. Returns are tied to value creation in portfolio companies.</w:t>
      </w:r>
    </w:p>
    <w:p>
      <w:pPr>
        <w:pStyle w:val="ListBullet"/>
      </w:pPr>
      <w:r>
        <w:rPr>
          <w:b/>
        </w:rPr>
        <w:t>Revenue streams:</w:t>
      </w:r>
    </w:p>
    <w:p>
      <w:pPr>
        <w:pStyle w:val="ListBullet2"/>
      </w:pPr>
      <w:r>
        <w:t>Equity returns from portfolio companies at exit events</w:t>
      </w:r>
    </w:p>
    <w:p>
      <w:pPr>
        <w:pStyle w:val="ListBullet2"/>
      </w:pPr>
      <w:r>
        <w:t>Licensing royalties and milestone payments from pharma partnerships</w:t>
      </w:r>
    </w:p>
    <w:p>
      <w:pPr>
        <w:pStyle w:val="ListBullet2"/>
      </w:pPr>
      <w:r>
        <w:t>Potential management fees as studio operator for portfolio companies</w:t>
      </w:r>
    </w:p>
    <w:p>
      <w:pPr>
        <w:pStyle w:val="ListBullet2"/>
      </w:pPr>
      <w:r>
        <w:rPr>
          <w:b/>
        </w:rPr>
        <w:t>French CIR (Crédit Impôt Recherche)</w:t>
      </w:r>
      <w:r>
        <w:t xml:space="preserve"> — R&amp;D tax credit available to French companies. At the standard rate (30% on eligible R&amp;D spend up to €100M), this is a material cash recovery mechanism that offsets internal development costs and extends runway between funding rounds.</w:t>
      </w:r>
    </w:p>
    <w:p>
      <w:pPr>
        <w:pStyle w:val="ListBullet2"/>
      </w:pPr>
      <w:r>
        <w:rPr>
          <w:b/>
        </w:rPr>
        <w:t>Public grants</w:t>
      </w:r>
      <w:r>
        <w:t xml:space="preserve"> — BpiFrance (France's public investment bank) and EU Horizon programme grants are standard funding complements for French biotech studios at this stage.</w:t>
      </w:r>
    </w:p>
    <w:p>
      <w:pPr>
        <w:spacing w:before="80" w:after="80"/>
        <w:pBdr>
          <w:bottom w:val="single" w:sz="6" w:space="1" w:color="2E74B5"/>
        </w:pBdr>
      </w:pPr>
    </w:p>
    <w:p>
      <w:pPr>
        <w:pStyle w:val="Heading2"/>
      </w:pPr>
      <w:r>
        <w:rPr>
          <w:color w:val="2E74B5"/>
          <w:sz w:val="30"/>
        </w:rPr>
        <w:t>2. Customer Segments</w:t>
      </w:r>
    </w:p>
    <w:p>
      <w:pPr>
        <w:pStyle w:val="Heading3"/>
      </w:pPr>
      <w:r>
        <w:rPr>
          <w:color w:val="1F497D"/>
          <w:sz w:val="26"/>
        </w:rPr>
        <w:t>2.1 Ideal Customer Profile</w:t>
      </w:r>
    </w:p>
    <w:p>
      <w:pPr>
        <w:pStyle w:val="ListBullet"/>
      </w:pPr>
      <w:r>
        <w:rPr>
          <w:b/>
        </w:rPr>
        <w:t>Investors:</w:t>
      </w:r>
      <w:r>
        <w:t xml:space="preserve"> Family offices with a 5–15+ year investment horizon and alignment with the microbiome medicine thesis</w:t>
      </w:r>
    </w:p>
    <w:p>
      <w:pPr>
        <w:pStyle w:val="ListBullet"/>
      </w:pPr>
      <w:r>
        <w:rPr>
          <w:b/>
        </w:rPr>
        <w:t>Academic Partners:</w:t>
      </w:r>
      <w:r>
        <w:t xml:space="preserve"> University labs or researchers with novel microbiome concepts lacking commercial expertise or funding</w:t>
      </w:r>
    </w:p>
    <w:p>
      <w:pPr>
        <w:pStyle w:val="ListBullet"/>
      </w:pPr>
      <w:r>
        <w:rPr>
          <w:b/>
        </w:rPr>
        <w:t>Biotech Startups:</w:t>
      </w:r>
      <w:r>
        <w:t xml:space="preserve"> Pre-revenue, asset-heavy companies seeking a full-service development partner or co-investor</w:t>
      </w:r>
    </w:p>
    <w:p>
      <w:pPr>
        <w:pStyle w:val="Heading3"/>
      </w:pPr>
      <w:r>
        <w:rPr>
          <w:color w:val="1F497D"/>
          <w:sz w:val="26"/>
        </w:rPr>
        <w:t>2.2 Customer Industries</w:t>
      </w:r>
    </w:p>
    <w:p>
      <w:pPr>
        <w:pStyle w:val="ListBullet"/>
      </w:pPr>
      <w:r>
        <w:t>Private wealth management / family offices</w:t>
      </w:r>
    </w:p>
    <w:p>
      <w:pPr>
        <w:pStyle w:val="ListBullet"/>
      </w:pPr>
      <w:r>
        <w:t>Academic and clinical research (universities, INSERM, Gustave Roussy-type institutions)</w:t>
      </w:r>
    </w:p>
    <w:p>
      <w:pPr>
        <w:pStyle w:val="ListBullet"/>
      </w:pPr>
      <w:r>
        <w:t>Pharmaceutical and biotechnology</w:t>
      </w:r>
    </w:p>
    <w:p>
      <w:pPr>
        <w:pStyle w:val="Heading3"/>
      </w:pPr>
      <w:r>
        <w:rPr>
          <w:color w:val="1F497D"/>
          <w:sz w:val="26"/>
        </w:rPr>
        <w:t>2.3 Customer Size</w:t>
      </w:r>
    </w:p>
    <w:p>
      <w:pPr>
        <w:pStyle w:val="ListBullet"/>
      </w:pPr>
      <w:r>
        <w:t>Family offices: High-net-worth private investors (initial round was €23M scale)</w:t>
      </w:r>
    </w:p>
    <w:p>
      <w:pPr>
        <w:pStyle w:val="ListBullet"/>
      </w:pPr>
      <w:r>
        <w:t>Academic partners: University research labs and public research institutes</w:t>
      </w:r>
    </w:p>
    <w:p>
      <w:pPr>
        <w:pStyle w:val="ListBullet"/>
      </w:pPr>
      <w:r>
        <w:t>Biotech startups: Typically pre-revenue, early-stage companies</w:t>
      </w:r>
    </w:p>
    <w:p>
      <w:pPr>
        <w:pStyle w:val="Heading3"/>
      </w:pPr>
      <w:r>
        <w:rPr>
          <w:color w:val="1F497D"/>
          <w:sz w:val="26"/>
        </w:rPr>
        <w:t>2.4 Common Customer Problems</w:t>
      </w:r>
    </w:p>
    <w:p>
      <w:pPr>
        <w:pStyle w:val="ListBullet"/>
      </w:pPr>
      <w:r>
        <w:rPr>
          <w:b/>
        </w:rPr>
        <w:t>Investors:</w:t>
      </w:r>
      <w:r>
        <w:t xml:space="preserve"> Hard to find differentiated biotech investments with deep management expertise; biotech investments carry high technical risk (failure rates &gt;90% in early clinical), long timelines (10–15 years to approval), regulatory uncertainty, and capital intensity — most family offices lack the internal expertise to evaluate these risks themselves</w:t>
      </w:r>
    </w:p>
    <w:p>
      <w:pPr>
        <w:pStyle w:val="ListBullet"/>
      </w:pPr>
      <w:r>
        <w:rPr>
          <w:b/>
        </w:rPr>
        <w:t>Academics:</w:t>
      </w:r>
      <w:r>
        <w:t xml:space="preserve"> No commercial skills, regulatory knowledge, or capital to turn peer-reviewed research into drugs; academic publication timelines are incompatible with pharmaceutical regulatory timelines</w:t>
      </w:r>
    </w:p>
    <w:p>
      <w:pPr>
        <w:pStyle w:val="ListBullet"/>
      </w:pPr>
      <w:r>
        <w:rPr>
          <w:b/>
        </w:rPr>
        <w:t>Biotech startups:</w:t>
      </w:r>
      <w:r>
        <w:t xml:space="preserve"> No in-house regulatory, clinical, pharmaceutical, QA, or finance capabilities; building a full-stack pharma team is cost-prohibitive at early stage</w:t>
      </w:r>
    </w:p>
    <w:p>
      <w:pPr>
        <w:pStyle w:val="ListBullet"/>
      </w:pPr>
      <w:r>
        <w:rPr>
          <w:b/>
        </w:rPr>
        <w:t>Large pharma (exit context):</w:t>
      </w:r>
      <w:r>
        <w:t xml:space="preserve"> Need de-risked, late-stage microbiome assets with clean IP and a full regulatory dossier — NexBiome's development process is designed to produce exactly this</w:t>
      </w:r>
    </w:p>
    <w:p>
      <w:pPr>
        <w:pStyle w:val="Heading3"/>
      </w:pPr>
      <w:r>
        <w:rPr>
          <w:color w:val="1F497D"/>
          <w:sz w:val="26"/>
        </w:rPr>
        <w:t>2.5 Typical Customer Goals</w:t>
      </w:r>
    </w:p>
    <w:p>
      <w:pPr>
        <w:pStyle w:val="ListBullet"/>
      </w:pPr>
      <w:r>
        <w:rPr>
          <w:b/>
        </w:rPr>
        <w:t>Investors:</w:t>
      </w:r>
      <w:r>
        <w:t xml:space="preserve"> Long-term capital appreciation through a diversified microbiome biotech portfolio</w:t>
      </w:r>
    </w:p>
    <w:p>
      <w:pPr>
        <w:pStyle w:val="ListBullet"/>
      </w:pPr>
      <w:r>
        <w:rPr>
          <w:b/>
        </w:rPr>
        <w:t>Academics:</w:t>
      </w:r>
      <w:r>
        <w:t xml:space="preserve"> Seeing their science become real patient treatments</w:t>
      </w:r>
    </w:p>
    <w:p>
      <w:pPr>
        <w:pStyle w:val="ListBullet"/>
      </w:pPr>
      <w:r>
        <w:rPr>
          <w:b/>
        </w:rPr>
        <w:t>Biotech startups:</w:t>
      </w:r>
      <w:r>
        <w:t xml:space="preserve"> Reaching clinical milestones, regulatory approvals, and market entry</w:t>
      </w:r>
    </w:p>
    <w:p>
      <w:pPr>
        <w:spacing w:before="80" w:after="80"/>
        <w:pBdr>
          <w:bottom w:val="single" w:sz="6" w:space="1" w:color="2E74B5"/>
        </w:pBdr>
      </w:pPr>
    </w:p>
    <w:p>
      <w:pPr>
        <w:pStyle w:val="Heading2"/>
      </w:pPr>
      <w:r>
        <w:rPr>
          <w:color w:val="2E74B5"/>
          <w:sz w:val="30"/>
        </w:rPr>
        <w:t>3. Product / Service Breakdown</w:t>
      </w:r>
    </w:p>
    <w:p>
      <w:pPr>
        <w:pStyle w:val="Heading3"/>
      </w:pPr>
      <w:r>
        <w:rPr>
          <w:color w:val="1F497D"/>
          <w:sz w:val="26"/>
        </w:rPr>
        <w:t>3.1 Core Services</w:t>
      </w:r>
    </w:p>
    <w:p>
      <w:pPr>
        <w:pStyle w:val="ListNumber"/>
      </w:pPr>
      <w:r>
        <w:rPr>
          <w:b/>
        </w:rPr>
        <w:t>Project Evaluation</w:t>
      </w:r>
      <w:r>
        <w:t xml:space="preserve"> — Scientific and commercial assessment against patient need and scientific state-of-the-art</w:t>
      </w:r>
    </w:p>
    <w:p>
      <w:pPr>
        <w:pStyle w:val="ListNumber"/>
      </w:pPr>
      <w:r>
        <w:rPr>
          <w:b/>
        </w:rPr>
        <w:t>Drug Development Management</w:t>
      </w:r>
      <w:r>
        <w:t xml:space="preserve"> — End-to-end from discovery to product registration</w:t>
      </w:r>
    </w:p>
    <w:p>
      <w:pPr>
        <w:pStyle w:val="ListNumber"/>
      </w:pPr>
      <w:r>
        <w:rPr>
          <w:b/>
        </w:rPr>
        <w:t>Finance Engineering</w:t>
      </w:r>
      <w:r>
        <w:t xml:space="preserve"> — Structuring equity deals and accessing financial partners</w:t>
      </w:r>
    </w:p>
    <w:p>
      <w:pPr>
        <w:pStyle w:val="ListNumber"/>
      </w:pPr>
      <w:r>
        <w:rPr>
          <w:b/>
        </w:rPr>
        <w:t>Regulatory Affairs &amp; QA</w:t>
      </w:r>
      <w:r>
        <w:t xml:space="preserve"> — Full compliance with Health Agency requirements at every stage</w:t>
      </w:r>
    </w:p>
    <w:p>
      <w:pPr>
        <w:pStyle w:val="ListNumber"/>
      </w:pPr>
      <w:r>
        <w:rPr>
          <w:b/>
        </w:rPr>
        <w:t>Preclinical Development</w:t>
      </w:r>
      <w:r>
        <w:t xml:space="preserve"> — In vitro and in vivo studies from early discovery through Phase III support</w:t>
      </w:r>
    </w:p>
    <w:p>
      <w:pPr>
        <w:pStyle w:val="ListNumber"/>
      </w:pPr>
      <w:r>
        <w:rPr>
          <w:b/>
        </w:rPr>
        <w:t>Clinical Development</w:t>
      </w:r>
      <w:r>
        <w:t xml:space="preserve"> — Design and management of Phase I–III trials</w:t>
      </w:r>
    </w:p>
    <w:p>
      <w:pPr>
        <w:pStyle w:val="ListNumber"/>
      </w:pPr>
      <w:r>
        <w:rPr>
          <w:b/>
        </w:rPr>
        <w:t>CMC Development</w:t>
      </w:r>
      <w:r>
        <w:t xml:space="preserve"> — Chemistry, Manufacturing, and Controls (fermentation, formulation, analytics)</w:t>
      </w:r>
    </w:p>
    <w:p>
      <w:pPr>
        <w:pStyle w:val="Heading3"/>
      </w:pPr>
      <w:r>
        <w:rPr>
          <w:color w:val="1F497D"/>
          <w:sz w:val="26"/>
        </w:rPr>
        <w:t>3.2 Optional Services</w:t>
      </w:r>
    </w:p>
    <w:p>
      <w:pPr>
        <w:pStyle w:val="ListBullet"/>
      </w:pPr>
      <w:r>
        <w:t>Strategic consulting for external life-sciences companies (implied by CMO and preclinical leads' backgrounds; not explicitly confirmed as a revenue line)</w:t>
      </w:r>
    </w:p>
    <w:p>
      <w:pPr>
        <w:pStyle w:val="Quote"/>
        <w:spacing w:before="40" w:after="40"/>
        <w:ind w:left="576"/>
      </w:pPr>
      <w:r>
        <w:rPr>
          <w:b/>
          <w:i/>
          <w:color w:val="404040"/>
        </w:rPr>
        <w:t>Note:</w:t>
      </w:r>
      <w:r>
        <w:rPr>
          <w:i/>
          <w:color w:val="404040"/>
        </w:rPr>
        <w:t xml:space="preserve"> DPO services (Caroline Blaison via PharMarketing) and QA support are </w:t>
      </w:r>
      <w:r>
        <w:rPr>
          <w:b/>
          <w:i/>
          <w:color w:val="404040"/>
        </w:rPr>
        <w:t>contracted-in services</w:t>
      </w:r>
      <w:r>
        <w:rPr>
          <w:i/>
          <w:color w:val="404040"/>
        </w:rPr>
        <w:t xml:space="preserve"> that NexBiome buys from an external provider, not services NexBiome sells to others.</w:t>
      </w:r>
    </w:p>
    <w:p>
      <w:pPr>
        <w:pStyle w:val="Heading3"/>
      </w:pPr>
      <w:r>
        <w:rPr>
          <w:color w:val="1F497D"/>
          <w:sz w:val="26"/>
        </w:rPr>
        <w:t>3.3 Product Features</w:t>
      </w:r>
    </w:p>
    <w:p>
      <w:r>
        <w:t>The core deliverable is a developed, de-risked drug asset:</w:t>
      </w:r>
    </w:p>
    <w:p>
      <w:pPr>
        <w:pStyle w:val="ListBullet"/>
      </w:pPr>
      <w:r>
        <w:t>Pharmaceutical-grade characterized Live Biotherapeutic Products (LBPs)</w:t>
      </w:r>
    </w:p>
    <w:p>
      <w:pPr>
        <w:pStyle w:val="ListBullet"/>
      </w:pPr>
      <w:r>
        <w:t>Regulatory dossiers ready for Health Agency submission (CTD format; ANSM / EMA for EU; FDA for US)</w:t>
      </w:r>
    </w:p>
    <w:p>
      <w:pPr>
        <w:pStyle w:val="ListBullet"/>
      </w:pPr>
      <w:r>
        <w:t>Preclinical safety and efficacy data packages (GLP-compliant study reports)</w:t>
      </w:r>
    </w:p>
    <w:p>
      <w:pPr>
        <w:pStyle w:val="ListBullet"/>
      </w:pPr>
      <w:r>
        <w:t>Clinical trial data packages (Phase I / II / III reports; ICH-E6 GCP-compliant)</w:t>
      </w:r>
    </w:p>
    <w:p>
      <w:pPr>
        <w:pStyle w:val="ListBullet"/>
      </w:pPr>
      <w:r>
        <w:t>Intellectual property (patents, exclusive licenses, freedom-to-operate clearance)</w:t>
      </w:r>
    </w:p>
    <w:p>
      <w:pPr>
        <w:pStyle w:val="ListBullet"/>
      </w:pPr>
      <w:r>
        <w:t>Scientific publications authored by the team, building public evidence for the asset</w:t>
      </w:r>
    </w:p>
    <w:p>
      <w:pPr>
        <w:pStyle w:val="Heading3"/>
      </w:pPr>
      <w:r>
        <w:rPr>
          <w:color w:val="1F497D"/>
          <w:sz w:val="26"/>
        </w:rPr>
        <w:t>3.4 Deliverables Clients Receive</w:t>
      </w:r>
    </w:p>
    <w:p>
      <w:pPr>
        <w:pStyle w:val="ListBullet"/>
      </w:pPr>
      <w:r>
        <w:rPr>
          <w:b/>
        </w:rPr>
        <w:t>Investors:</w:t>
      </w:r>
      <w:r>
        <w:t xml:space="preserve"> Equity stakes in portfolio companies with milestone updates and KPI reports</w:t>
      </w:r>
    </w:p>
    <w:p>
      <w:pPr>
        <w:pStyle w:val="ListBullet"/>
      </w:pPr>
      <w:r>
        <w:rPr>
          <w:b/>
        </w:rPr>
        <w:t>Academic Partners:</w:t>
      </w:r>
      <w:r>
        <w:t xml:space="preserve"> Commercialized research, maintained co-authorship, ongoing collaboration</w:t>
      </w:r>
    </w:p>
    <w:p>
      <w:pPr>
        <w:pStyle w:val="ListBullet"/>
      </w:pPr>
      <w:r>
        <w:rPr>
          <w:b/>
        </w:rPr>
        <w:t>Portfolio Projects:</w:t>
      </w:r>
      <w:r>
        <w:t xml:space="preserve"> Complete development plans, regulatory filings, clinical data packages</w:t>
      </w:r>
    </w:p>
    <w:p>
      <w:pPr>
        <w:pStyle w:val="Heading3"/>
      </w:pPr>
      <w:r>
        <w:rPr>
          <w:color w:val="1F497D"/>
          <w:sz w:val="26"/>
        </w:rPr>
        <w:t>3.5 What Makes the Service Different</w:t>
      </w:r>
    </w:p>
    <w:p>
      <w:pPr>
        <w:pStyle w:val="ListBullet"/>
      </w:pPr>
      <w:r>
        <w:t>Deep specialization in microbiome therapeutics — rare full-stack expertise in this specific niche</w:t>
      </w:r>
    </w:p>
    <w:p>
      <w:pPr>
        <w:pStyle w:val="ListBullet"/>
      </w:pPr>
      <w:r>
        <w:t>In-house team covers every drug development function simultaneously (pharmaceutical, regulatory, preclinical, clinical, CMC, QA, finance) — most biotech studios outsource several of these</w:t>
      </w:r>
    </w:p>
    <w:p>
      <w:pPr>
        <w:pStyle w:val="ListBullet"/>
      </w:pPr>
      <w:r>
        <w:rPr>
          <w:b/>
        </w:rPr>
        <w:t>Rigorous project selection process:</w:t>
      </w:r>
      <w:r>
        <w:t xml:space="preserve"> NexBiome evaluated ten projects and selected only four — the selection capability itself is a differentiator (scientific, regulatory, and commercial evaluation all in-house)</w:t>
      </w:r>
    </w:p>
    <w:p>
      <w:pPr>
        <w:pStyle w:val="ListBullet"/>
      </w:pPr>
      <w:r>
        <w:t>70+ year institutional microbiome heritage through Lyocentre / biose lineage — no other private incubator in microbiome therapeutics has this history</w:t>
      </w:r>
    </w:p>
    <w:p>
      <w:pPr>
        <w:pStyle w:val="ListBullet"/>
      </w:pPr>
      <w:r>
        <w:t>Founder previously grew biose into a global market leader through four fundraising rounds</w:t>
      </w:r>
    </w:p>
    <w:p>
      <w:pPr>
        <w:pStyle w:val="ListBullet"/>
      </w:pPr>
      <w:r>
        <w:t>Family office capital model: long-term patient capital (5–15+ years), not VC pressure to exit in 3–5 years</w:t>
      </w:r>
    </w:p>
    <w:p>
      <w:pPr>
        <w:spacing w:before="80" w:after="80"/>
        <w:pBdr>
          <w:bottom w:val="single" w:sz="6" w:space="1" w:color="2E74B5"/>
        </w:pBdr>
      </w:pPr>
    </w:p>
    <w:p>
      <w:pPr>
        <w:pStyle w:val="Heading2"/>
      </w:pPr>
      <w:r>
        <w:rPr>
          <w:color w:val="2E74B5"/>
          <w:sz w:val="30"/>
        </w:rPr>
        <w:t>4. Customer Journey</w:t>
      </w:r>
    </w:p>
    <w:p>
      <w:pPr>
        <w:pStyle w:val="Heading3"/>
      </w:pPr>
      <w:r>
        <w:rPr>
          <w:color w:val="1F497D"/>
          <w:sz w:val="26"/>
        </w:rPr>
        <w:t>4.1 Lead Generation</w:t>
      </w:r>
    </w:p>
    <w:p>
      <w:pPr>
        <w:pStyle w:val="ListBullet"/>
      </w:pPr>
      <w:r>
        <w:t>Monitoring academic publications and preprints in microbiome and LBP research (PubMed, bioRxiv)</w:t>
      </w:r>
    </w:p>
    <w:p>
      <w:pPr>
        <w:pStyle w:val="ListBullet"/>
      </w:pPr>
      <w:r>
        <w:rPr>
          <w:b/>
        </w:rPr>
        <w:t>Patent database monitoring</w:t>
      </w:r>
      <w:r>
        <w:t xml:space="preserve"> (Espacenet, Google Patents) — identifies microbiome innovations before they are published</w:t>
      </w:r>
    </w:p>
    <w:p>
      <w:pPr>
        <w:pStyle w:val="ListBullet"/>
      </w:pPr>
      <w:r>
        <w:rPr>
          <w:b/>
        </w:rPr>
        <w:t>University tech transfer office (TTO) networks</w:t>
      </w:r>
      <w:r>
        <w:t xml:space="preserve"> — TTOs are the primary channel through which universities commercialize research; NexBiome likely has or needs direct TTO relationships across French and European institutions</w:t>
      </w:r>
    </w:p>
    <w:p>
      <w:pPr>
        <w:pStyle w:val="ListBullet"/>
      </w:pPr>
      <w:r>
        <w:rPr>
          <w:b/>
        </w:rPr>
        <w:t>Grant databases</w:t>
      </w:r>
      <w:r>
        <w:t xml:space="preserve"> (ANR, BpiFrance, EU Horizon) — funded microbiome research projects signal active, investable science</w:t>
      </w:r>
    </w:p>
    <w:p>
      <w:pPr>
        <w:pStyle w:val="ListBullet"/>
      </w:pPr>
      <w:r>
        <w:t>Direct relationships with universities and research institutes (INSERM, INRAE, university hospitals)</w:t>
      </w:r>
    </w:p>
    <w:p>
      <w:pPr>
        <w:pStyle w:val="ListBullet"/>
      </w:pPr>
      <w:r>
        <w:t>Scientific conferences and symposia (microbiome, LBP, gastroenterology, oncology depending on project focus)</w:t>
      </w:r>
    </w:p>
    <w:p>
      <w:pPr>
        <w:pStyle w:val="ListBullet"/>
      </w:pPr>
      <w:r>
        <w:t>Outreach to early-stage biotechs with microbiome assets</w:t>
      </w:r>
    </w:p>
    <w:p>
      <w:pPr>
        <w:pStyle w:val="ListBullet"/>
      </w:pPr>
      <w:r>
        <w:t>Referrals through family office investor networks</w:t>
      </w:r>
    </w:p>
    <w:p>
      <w:pPr>
        <w:pStyle w:val="ListBullet"/>
      </w:pPr>
      <w:r>
        <w:t>LinkedIn professional network and targeted outreach to biotech founders</w:t>
      </w:r>
    </w:p>
    <w:p>
      <w:pPr>
        <w:pStyle w:val="Heading3"/>
      </w:pPr>
      <w:r>
        <w:rPr>
          <w:color w:val="1F497D"/>
          <w:sz w:val="26"/>
        </w:rPr>
        <w:t>4.2 Lead Qualification</w:t>
      </w:r>
    </w:p>
    <w:p>
      <w:r>
        <w:t>Projects must meet two core criteria before advancing:</w:t>
      </w:r>
    </w:p>
    <w:p>
      <w:pPr>
        <w:pStyle w:val="ListNumber"/>
      </w:pPr>
      <w:r>
        <w:t xml:space="preserve">Address an </w:t>
      </w:r>
      <w:r>
        <w:rPr>
          <w:b/>
        </w:rPr>
        <w:t>unmet medical need</w:t>
      </w:r>
      <w:r>
        <w:t xml:space="preserve"> in a high-impact therapeutic area</w:t>
      </w:r>
    </w:p>
    <w:p>
      <w:pPr>
        <w:pStyle w:val="ListNumber"/>
      </w:pPr>
      <w:r>
        <w:t>Have sound scientific backing and a viable pharmaceutical development path</w:t>
      </w:r>
    </w:p>
    <w:p>
      <w:r>
        <w:t>The internal evaluation team (CEO, CMO, relevant project managers) assesses the following:</w:t>
      </w:r>
    </w:p>
    <w:p>
      <w:pPr>
        <w:pStyle w:val="ListBullet"/>
      </w:pPr>
      <w:r>
        <w:rPr>
          <w:b/>
        </w:rPr>
        <w:t>Scientific validity</w:t>
      </w:r>
      <w:r>
        <w:t xml:space="preserve"> — Is the hypothesis robust? Is the evidence from peer-reviewed studies?</w:t>
      </w:r>
    </w:p>
    <w:p>
      <w:pPr>
        <w:pStyle w:val="ListBullet"/>
      </w:pPr>
      <w:r>
        <w:rPr>
          <w:b/>
        </w:rPr>
        <w:t>IP status</w:t>
      </w:r>
      <w:r>
        <w:t xml:space="preserve"> — Does a patentable invention exist? Is there a freedom-to-operate (FTO) landscape that allows development without infringing existing IP?</w:t>
      </w:r>
    </w:p>
    <w:p>
      <w:pPr>
        <w:pStyle w:val="ListBullet"/>
      </w:pPr>
      <w:r>
        <w:rPr>
          <w:b/>
        </w:rPr>
        <w:t>Regulatory pathway</w:t>
      </w:r>
      <w:r>
        <w:t xml:space="preserve"> — Is there a clear route to clinical trials (IND or CTA)? Has ANSM scientific advice been obtained or obtainable?</w:t>
      </w:r>
    </w:p>
    <w:p>
      <w:pPr>
        <w:pStyle w:val="ListBullet"/>
      </w:pPr>
      <w:r>
        <w:rPr>
          <w:b/>
        </w:rPr>
        <w:t>Competitive landscape</w:t>
      </w:r>
      <w:r>
        <w:t xml:space="preserve"> — What competing projects or approved drugs exist? Is differentiation clear?</w:t>
      </w:r>
    </w:p>
    <w:p>
      <w:pPr>
        <w:pStyle w:val="ListBullet"/>
      </w:pPr>
      <w:r>
        <w:rPr>
          <w:b/>
        </w:rPr>
        <w:t>Manufacturing feasibility</w:t>
      </w:r>
      <w:r>
        <w:t xml:space="preserve"> — Can the strain or active ingredient be produced at pharmaceutical grade and scale?</w:t>
      </w:r>
    </w:p>
    <w:p>
      <w:pPr>
        <w:pStyle w:val="ListBullet"/>
      </w:pPr>
      <w:r>
        <w:rPr>
          <w:b/>
        </w:rPr>
        <w:t>Team capability of the source partner</w:t>
      </w:r>
      <w:r>
        <w:t xml:space="preserve"> — Is the academic group or biotech team credible and collaborative?</w:t>
      </w:r>
    </w:p>
    <w:p>
      <w:pPr>
        <w:pStyle w:val="ListBullet"/>
      </w:pPr>
      <w:r>
        <w:rPr>
          <w:b/>
        </w:rPr>
        <w:t>Commercial potential</w:t>
      </w:r>
      <w:r>
        <w:t xml:space="preserve"> — Is the therapeutic area large enough to attract a licensing or acquisition event?</w:t>
      </w:r>
    </w:p>
    <w:p>
      <w:pPr>
        <w:pStyle w:val="Heading3"/>
      </w:pPr>
      <w:r>
        <w:rPr>
          <w:color w:val="1F497D"/>
          <w:sz w:val="26"/>
        </w:rPr>
        <w:t>4.3 Sales Process</w:t>
      </w:r>
    </w:p>
    <w:p>
      <w:r>
        <w:rPr>
          <w:b/>
        </w:rPr>
        <w:t>For investors (family offices):</w:t>
      </w:r>
    </w:p>
    <w:p>
      <w:pPr>
        <w:pStyle w:val="ListNumber"/>
      </w:pPr>
      <w:r>
        <w:t>Identify family offices aligned with long-term biotech investment (through CEO/CFO network)</w:t>
      </w:r>
    </w:p>
    <w:p>
      <w:pPr>
        <w:pStyle w:val="ListNumber"/>
      </w:pPr>
      <w:r>
        <w:t>Initial exploratory call or meeting</w:t>
      </w:r>
    </w:p>
    <w:p>
      <w:pPr>
        <w:pStyle w:val="ListNumber"/>
      </w:pPr>
      <w:r>
        <w:rPr>
          <w:b/>
        </w:rPr>
        <w:t>NDA / confidentiality agreement signed</w:t>
      </w:r>
      <w:r>
        <w:t xml:space="preserve"> before sharing any portfolio-level scientific or financial detail</w:t>
      </w:r>
    </w:p>
    <w:p>
      <w:pPr>
        <w:pStyle w:val="ListNumber"/>
      </w:pPr>
      <w:r>
        <w:t>Portfolio presentation: pipeline summaries, development milestones, risk-adjusted value creation plan, exit scenarios</w:t>
      </w:r>
    </w:p>
    <w:p>
      <w:pPr>
        <w:pStyle w:val="ListNumber"/>
      </w:pPr>
      <w:r>
        <w:rPr>
          <w:b/>
        </w:rPr>
        <w:t>Investor due diligence phase</w:t>
      </w:r>
      <w:r>
        <w:t>: investor reviews scientific summaries, preclinical data, regulatory strategy, and financial projections via a secure Virtual Data Room (VDR)</w:t>
      </w:r>
    </w:p>
    <w:p>
      <w:pPr>
        <w:pStyle w:val="ListNumber"/>
      </w:pPr>
      <w:r>
        <w:t>Negotiate equity terms and investment structure</w:t>
      </w:r>
    </w:p>
    <w:p>
      <w:pPr>
        <w:pStyle w:val="ListNumber"/>
      </w:pPr>
      <w:r>
        <w:t>Legal documentation and capital commitment</w:t>
      </w:r>
    </w:p>
    <w:p>
      <w:r>
        <w:rPr>
          <w:b/>
        </w:rPr>
        <w:t>For academic / biotech partners:</w:t>
      </w:r>
    </w:p>
    <w:p>
      <w:pPr>
        <w:pStyle w:val="ListNumber"/>
      </w:pPr>
      <w:r>
        <w:t>Identify the research concept or asset (via publications, TTO, conference, or direct referral)</w:t>
      </w:r>
    </w:p>
    <w:p>
      <w:pPr>
        <w:pStyle w:val="ListNumber"/>
      </w:pPr>
      <w:r>
        <w:t>Preliminary screening call</w:t>
      </w:r>
    </w:p>
    <w:p>
      <w:pPr>
        <w:pStyle w:val="ListNumber"/>
      </w:pPr>
      <w:r>
        <w:rPr>
          <w:b/>
        </w:rPr>
        <w:t>Mutual NDA signed</w:t>
      </w:r>
      <w:r>
        <w:t xml:space="preserve"> before accessing unpublished data or proprietary science</w:t>
      </w:r>
    </w:p>
    <w:p>
      <w:pPr>
        <w:pStyle w:val="ListNumber"/>
      </w:pPr>
      <w:r>
        <w:t>Internal scientific and commercial due diligence (IP check, FTO analysis, regulatory pathway assessment)</w:t>
      </w:r>
    </w:p>
    <w:p>
      <w:pPr>
        <w:pStyle w:val="ListNumber"/>
      </w:pPr>
      <w:r>
        <w:t>Go / no-go decision by the internal evaluation team</w:t>
      </w:r>
    </w:p>
    <w:p>
      <w:pPr>
        <w:pStyle w:val="ListNumber"/>
      </w:pPr>
      <w:r>
        <w:t>If positive: negotiate licensing terms or equity participation</w:t>
      </w:r>
    </w:p>
    <w:p>
      <w:pPr>
        <w:pStyle w:val="ListNumber"/>
      </w:pPr>
      <w:r>
        <w:t>Agree on development roadmap, resources, and milestone schedule</w:t>
      </w:r>
    </w:p>
    <w:p>
      <w:pPr>
        <w:pStyle w:val="Heading3"/>
      </w:pPr>
      <w:r>
        <w:rPr>
          <w:color w:val="1F497D"/>
          <w:sz w:val="26"/>
        </w:rPr>
        <w:t>4.4 Onboarding Process</w:t>
      </w:r>
    </w:p>
    <w:p>
      <w:r>
        <w:rPr>
          <w:b/>
        </w:rPr>
        <w:t>For a new portfolio project:</w:t>
      </w:r>
    </w:p>
    <w:p>
      <w:pPr>
        <w:pStyle w:val="ListNumber"/>
      </w:pPr>
      <w:r>
        <w:t>Final NDA and legal licensing or equity agreement executed</w:t>
      </w:r>
    </w:p>
    <w:p>
      <w:pPr>
        <w:pStyle w:val="ListNumber"/>
      </w:pPr>
      <w:r>
        <w:rPr>
          <w:b/>
        </w:rPr>
        <w:t>IP and freedom-to-operate (FTO) analysis</w:t>
      </w:r>
      <w:r>
        <w:t xml:space="preserve"> finalized before development plan is locked</w:t>
      </w:r>
    </w:p>
    <w:p>
      <w:pPr>
        <w:pStyle w:val="ListNumber"/>
      </w:pPr>
      <w:r>
        <w:t>Internal project kickoff meeting with all functional heads (CMO, COO, Pharmaceutical Dev Head, Clinical Head, CFO)</w:t>
      </w:r>
    </w:p>
    <w:p>
      <w:pPr>
        <w:pStyle w:val="ListNumber"/>
      </w:pPr>
      <w:r>
        <w:t>Development plan created across all functions simultaneously (regulatory strategy, CMC plan, preclinical program, clinical plan)</w:t>
      </w:r>
    </w:p>
    <w:p>
      <w:pPr>
        <w:pStyle w:val="ListNumber"/>
      </w:pPr>
      <w:r>
        <w:t>Project Manager formally assigned to own cross-functional coordination</w:t>
      </w:r>
    </w:p>
    <w:p>
      <w:pPr>
        <w:pStyle w:val="ListNumber"/>
      </w:pPr>
      <w:r>
        <w:t>CRO / CMO partner shortlist prepared for upcoming study activities</w:t>
      </w:r>
    </w:p>
    <w:p>
      <w:pPr>
        <w:pStyle w:val="ListNumber"/>
      </w:pPr>
      <w:r>
        <w:t>Milestone schedule and go/no-go gate criteria defined upfront</w:t>
      </w:r>
    </w:p>
    <w:p>
      <w:r>
        <w:rPr>
          <w:b/>
        </w:rPr>
        <w:t>For a new investor:</w:t>
      </w:r>
    </w:p>
    <w:p>
      <w:pPr>
        <w:pStyle w:val="ListNumber"/>
      </w:pPr>
      <w:r>
        <w:t>Legal investment agreement (subscription, shareholders' agreement, or equivalent) executed</w:t>
      </w:r>
    </w:p>
    <w:p>
      <w:pPr>
        <w:pStyle w:val="ListNumber"/>
      </w:pPr>
      <w:r>
        <w:t>Capital commitment schedule confirmed with CFO</w:t>
      </w:r>
    </w:p>
    <w:p>
      <w:pPr>
        <w:pStyle w:val="ListNumber"/>
      </w:pPr>
      <w:r>
        <w:t>Reporting format, frequency, and investor portal access established</w:t>
      </w:r>
    </w:p>
    <w:p>
      <w:pPr>
        <w:pStyle w:val="ListNumber"/>
      </w:pPr>
      <w:r>
        <w:t>Board observer rights or board seat agreed (if applicable)</w:t>
      </w:r>
    </w:p>
    <w:p>
      <w:pPr>
        <w:pStyle w:val="Heading3"/>
      </w:pPr>
      <w:r>
        <w:rPr>
          <w:color w:val="1F497D"/>
          <w:sz w:val="26"/>
        </w:rPr>
        <w:t>4.5 Service Delivery</w:t>
      </w:r>
    </w:p>
    <w:p>
      <w:r>
        <w:t>Each project has a dedicated Project Manager who owns cross-functional coordination via regular team meetings and a shared project plan.</w:t>
      </w:r>
    </w:p>
    <w:p>
      <w:r>
        <w:rPr>
          <w:b/>
        </w:rPr>
        <w:t>Parallel workstreams run simultaneously (not sequentially):</w:t>
      </w:r>
    </w:p>
    <w:p>
      <w:pPr>
        <w:pStyle w:val="ListBullet"/>
      </w:pPr>
      <w:r>
        <w:t>CMC development starts as soon as the strain / active ingredient is confirmed — it runs in parallel with preclinical studies</w:t>
      </w:r>
    </w:p>
    <w:p>
      <w:pPr>
        <w:pStyle w:val="ListBullet"/>
      </w:pPr>
      <w:r>
        <w:t>Regulatory strategy is defined before preclinical begins, not after</w:t>
      </w:r>
    </w:p>
    <w:p>
      <w:pPr>
        <w:pStyle w:val="ListBullet"/>
      </w:pPr>
      <w:r>
        <w:t>Clinical protocol design begins during Phase II preclinical, not at IND filing</w:t>
      </w:r>
    </w:p>
    <w:p>
      <w:r>
        <w:rPr>
          <w:b/>
        </w:rPr>
        <w:t>Milestone-gated development:</w:t>
      </w:r>
    </w:p>
    <w:p>
      <w:r>
        <w:t>Formal go / no-go decisions are made at defined gates:</w:t>
      </w:r>
    </w:p>
    <w:p>
      <w:pPr>
        <w:pStyle w:val="ListBullet"/>
      </w:pPr>
      <w:r>
        <w:rPr>
          <w:b/>
        </w:rPr>
        <w:t>Gate 1</w:t>
      </w:r>
      <w:r>
        <w:t xml:space="preserve"> — After proof-of-concept in vitro: proceed to in vivo preclinical?</w:t>
      </w:r>
    </w:p>
    <w:p>
      <w:pPr>
        <w:pStyle w:val="ListBullet"/>
      </w:pPr>
      <w:r>
        <w:rPr>
          <w:b/>
        </w:rPr>
        <w:t>Gate 2</w:t>
      </w:r>
      <w:r>
        <w:t xml:space="preserve"> — After in vivo preclinical data: proceed to IND / CTA filing?</w:t>
      </w:r>
    </w:p>
    <w:p>
      <w:pPr>
        <w:pStyle w:val="ListBullet"/>
      </w:pPr>
      <w:r>
        <w:rPr>
          <w:b/>
        </w:rPr>
        <w:t>Gate 3</w:t>
      </w:r>
      <w:r>
        <w:t xml:space="preserve"> — After Phase I safety readout: proceed to Phase II efficacy?</w:t>
      </w:r>
    </w:p>
    <w:p>
      <w:pPr>
        <w:pStyle w:val="ListBullet"/>
      </w:pPr>
      <w:r>
        <w:rPr>
          <w:b/>
        </w:rPr>
        <w:t>Gate 4</w:t>
      </w:r>
      <w:r>
        <w:t xml:space="preserve"> — After Phase II data: proceed to Phase III or seek a licensing / exit event?</w:t>
      </w:r>
    </w:p>
    <w:p>
      <w:r>
        <w:t>At each gate, the CEO, CMO, COO, and CFO review data, regulatory feedback, and financial position before committing resources to the next stage.</w:t>
      </w:r>
    </w:p>
    <w:p>
      <w:r>
        <w:rPr>
          <w:b/>
        </w:rPr>
        <w:t>Escalation path:</w:t>
      </w:r>
    </w:p>
    <w:p>
      <w:r>
        <w:t>If a critical obstacle arises (study failure, regulatory rejection, manufacturing issue), the Project Manager escalates immediately to the relevant functional head (CMO for clinical/medical; COO for regulatory; Pharma Dev Head for CMC). The CEO is informed for any event that affects investor reporting or capital planning.</w:t>
      </w:r>
    </w:p>
    <w:p>
      <w:r>
        <w:t>In-house team handles strategy, oversight, and scientific direction. Specialized lab work, manufacturing batches, and clinical site operations are placed with qualified CROs and CMOs.</w:t>
      </w:r>
    </w:p>
    <w:p>
      <w:pPr>
        <w:pStyle w:val="Heading3"/>
      </w:pPr>
      <w:r>
        <w:rPr>
          <w:color w:val="1F497D"/>
          <w:sz w:val="26"/>
        </w:rPr>
        <w:t>4.6 Client Communication</w:t>
      </w:r>
    </w:p>
    <w:p>
      <w:r>
        <w:rPr>
          <w:b/>
        </w:rPr>
        <w:t>Investors:</w:t>
      </w:r>
    </w:p>
    <w:p>
      <w:pPr>
        <w:pStyle w:val="ListBullet"/>
      </w:pPr>
      <w:r>
        <w:t>Quarterly KPI reports (financial position, milestone status, burn rate, next gate) prepared by CFO</w:t>
      </w:r>
    </w:p>
    <w:p>
      <w:pPr>
        <w:pStyle w:val="ListBullet"/>
      </w:pPr>
      <w:r>
        <w:t>Milestone event notifications sent immediately when a go/no-go gate is reached (positive or negative)</w:t>
      </w:r>
    </w:p>
    <w:p>
      <w:pPr>
        <w:pStyle w:val="ListBullet"/>
      </w:pPr>
      <w:r>
        <w:t>Annual strategic review meeting (formal, in-person or video) with the CEO</w:t>
      </w:r>
    </w:p>
    <w:p>
      <w:pPr>
        <w:pStyle w:val="ListBullet"/>
      </w:pPr>
      <w:r>
        <w:t>Board observer or full board communications per governance agreement</w:t>
      </w:r>
    </w:p>
    <w:p>
      <w:r>
        <w:rPr>
          <w:b/>
        </w:rPr>
        <w:t>Academic / Biotech Partners:</w:t>
      </w:r>
    </w:p>
    <w:p>
      <w:pPr>
        <w:pStyle w:val="ListBullet"/>
      </w:pPr>
      <w:r>
        <w:t>Monthly project coordination calls managed by the assigned Project Manager</w:t>
      </w:r>
    </w:p>
    <w:p>
      <w:pPr>
        <w:pStyle w:val="ListBullet"/>
      </w:pPr>
      <w:r>
        <w:t>Shared access to study updates and data summaries (within NDA scope)</w:t>
      </w:r>
    </w:p>
    <w:p>
      <w:pPr>
        <w:pStyle w:val="ListBullet"/>
      </w:pPr>
      <w:r>
        <w:t>Co-publication planning coordinated between partners and NexBiome's R&amp;D PMs</w:t>
      </w:r>
    </w:p>
    <w:p>
      <w:r>
        <w:rPr>
          <w:b/>
        </w:rPr>
        <w:t>General contact:</w:t>
      </w:r>
    </w:p>
    <w:p>
      <w:pPr>
        <w:pStyle w:val="ListBullet"/>
      </w:pPr>
      <w:r>
        <w:t>Email: contact@nexbiome.com</w:t>
      </w:r>
    </w:p>
    <w:p>
      <w:pPr>
        <w:pStyle w:val="ListBullet"/>
      </w:pPr>
      <w:r>
        <w:t>Phone: +33 (0)7 72 06 69 38</w:t>
      </w:r>
    </w:p>
    <w:p>
      <w:pPr>
        <w:pStyle w:val="ListBullet"/>
      </w:pPr>
      <w:r>
        <w:t>Data / privacy: dpo@nexbiome.com</w:t>
      </w:r>
    </w:p>
    <w:p>
      <w:pPr>
        <w:pStyle w:val="Heading3"/>
      </w:pPr>
      <w:r>
        <w:rPr>
          <w:color w:val="1F497D"/>
          <w:sz w:val="26"/>
        </w:rPr>
        <w:t>4.7 Retention &amp; Upselling</w:t>
      </w:r>
    </w:p>
    <w:p>
      <w:pPr>
        <w:pStyle w:val="ListBullet"/>
      </w:pPr>
      <w:r>
        <w:t>Equity alignment keeps investors and partners engaged for the full multi-year development lifecycle</w:t>
      </w:r>
    </w:p>
    <w:p>
      <w:pPr>
        <w:pStyle w:val="ListBullet"/>
      </w:pPr>
      <w:r>
        <w:t>As projects advance and are de-risked, NexBiome invites additional family offices to co-invest in follow-on funding rounds at higher valuations</w:t>
      </w:r>
    </w:p>
    <w:p>
      <w:pPr>
        <w:pStyle w:val="ListBullet"/>
      </w:pPr>
      <w:r>
        <w:t>Successful milestones (e.g., IND clearance, Phase I safety, Phase II efficacy) create natural investor confidence and upsell opportunities</w:t>
      </w:r>
    </w:p>
    <w:p>
      <w:r>
        <w:rPr>
          <w:b/>
        </w:rPr>
        <w:t>Project failure handling (critical scenario):</w:t>
      </w:r>
    </w:p>
    <w:p>
      <w:r>
        <w:t>In a pharma development context, project failures are expected. When a go/no-go gate produces a negative result:</w:t>
      </w:r>
    </w:p>
    <w:p>
      <w:pPr>
        <w:pStyle w:val="ListNumber"/>
      </w:pPr>
      <w:r>
        <w:t>CEO and CFO assess whether the failure is terminal (e.g., safety signal) or recoverable (e.g., protocol amendment needed)</w:t>
      </w:r>
    </w:p>
    <w:p>
      <w:pPr>
        <w:pStyle w:val="ListNumber"/>
      </w:pPr>
      <w:r>
        <w:t>If terminal: formal notification to investors with a written analysis of what failed and why; asset write-down process initiated</w:t>
      </w:r>
    </w:p>
    <w:p>
      <w:pPr>
        <w:pStyle w:val="ListNumber"/>
      </w:pPr>
      <w:r>
        <w:t>If recoverable: revised development plan presented to investors with updated risk/cost/timeline</w:t>
      </w:r>
    </w:p>
    <w:p>
      <w:pPr>
        <w:pStyle w:val="ListNumber"/>
      </w:pPr>
      <w:r>
        <w:t>Portfolio capital is reallocated to the remaining active projects</w:t>
      </w:r>
    </w:p>
    <w:p>
      <w:pPr>
        <w:pStyle w:val="ListNumber"/>
      </w:pPr>
      <w:r>
        <w:t>Transparency with investors is maintained throughout — the long-term relationship is preserved by honest communication, not positive spin</w:t>
      </w:r>
    </w:p>
    <w:p>
      <w:pPr>
        <w:spacing w:before="80" w:after="80"/>
        <w:pBdr>
          <w:bottom w:val="single" w:sz="6" w:space="1" w:color="2E74B5"/>
        </w:pBdr>
      </w:pPr>
    </w:p>
    <w:p>
      <w:pPr>
        <w:pStyle w:val="Heading2"/>
      </w:pPr>
      <w:r>
        <w:rPr>
          <w:color w:val="2E74B5"/>
          <w:sz w:val="30"/>
        </w:rPr>
        <w:t>5. Daily Business Operations</w:t>
      </w:r>
    </w:p>
    <w:p>
      <w:pPr>
        <w:pStyle w:val="Heading3"/>
      </w:pPr>
      <w:r>
        <w:rPr>
          <w:color w:val="1F497D"/>
          <w:sz w:val="26"/>
        </w:rPr>
        <w:t>5.1 Daily Activities</w:t>
      </w:r>
    </w:p>
    <w:p>
      <w:pPr>
        <w:pStyle w:val="ListBullet"/>
      </w:pPr>
      <w:r>
        <w:t>Project Managers track active development programs and coordinate with CROs / CMOs against study timelines</w:t>
      </w:r>
    </w:p>
    <w:p>
      <w:pPr>
        <w:pStyle w:val="ListBullet"/>
      </w:pPr>
      <w:r>
        <w:t>Regulatory team (Cyrille Jeune) monitors Health Agency updates (ANSM, EMA) and prepares or reviews regulatory submissions</w:t>
      </w:r>
    </w:p>
    <w:p>
      <w:pPr>
        <w:pStyle w:val="ListBullet"/>
      </w:pPr>
      <w:r>
        <w:rPr>
          <w:b/>
        </w:rPr>
        <w:t>QA Representative (Caroline Blaison, via PharMarketing)</w:t>
      </w:r>
      <w:r>
        <w:t xml:space="preserve"> reviews GxP-critical documentation and maintains quality records — </w:t>
      </w:r>
      <w:r>
        <w:rPr>
          <w:i/>
        </w:rPr>
        <w:t>note: this is one contracted person, not an in-house team</w:t>
      </w:r>
    </w:p>
    <w:p>
      <w:pPr>
        <w:pStyle w:val="ListBullet"/>
      </w:pPr>
      <w:r>
        <w:t>CMC team (Claudia Thoral, Amandine Dousse) oversees formulation, fermentation, and analytical activities</w:t>
      </w:r>
    </w:p>
    <w:p>
      <w:pPr>
        <w:pStyle w:val="ListBullet"/>
      </w:pPr>
      <w:r>
        <w:t>Office Manager (Pierre Boccon) handles daily coordination, admin, HR, and external communications</w:t>
      </w:r>
    </w:p>
    <w:p>
      <w:pPr>
        <w:pStyle w:val="ListBullet"/>
      </w:pPr>
      <w:r>
        <w:t>CEO manages investor relations, strategic decisions, and new project sourcing</w:t>
      </w:r>
    </w:p>
    <w:p>
      <w:pPr>
        <w:pStyle w:val="ListBullet"/>
      </w:pPr>
      <w:r>
        <w:t>When active clinical trials are running: Project Manager and Clinical Head (Audrey Mole) coordinate daily with clinical site monitors and CRO operations teams</w:t>
      </w:r>
    </w:p>
    <w:p>
      <w:pPr>
        <w:pStyle w:val="Heading3"/>
      </w:pPr>
      <w:r>
        <w:rPr>
          <w:color w:val="1F497D"/>
          <w:sz w:val="26"/>
        </w:rPr>
        <w:t>5.2 Weekly Activities</w:t>
      </w:r>
    </w:p>
    <w:p>
      <w:pPr>
        <w:pStyle w:val="ListBullet"/>
      </w:pPr>
      <w:r>
        <w:t>Internal project review meetings (per project, chaired by the assigned Project Manager)</w:t>
      </w:r>
    </w:p>
    <w:p>
      <w:pPr>
        <w:pStyle w:val="ListBullet"/>
      </w:pPr>
      <w:r>
        <w:t>Cross-functional calls between regulatory, preclinical, and clinical leads to surface blockers</w:t>
      </w:r>
    </w:p>
    <w:p>
      <w:pPr>
        <w:pStyle w:val="ListBullet"/>
      </w:pPr>
      <w:r>
        <w:t>Scientific literature review by R&amp;D project managers (Maria Ibarlucea-Jerez, Véronique Trochon-Joseph)</w:t>
      </w:r>
    </w:p>
    <w:p>
      <w:pPr>
        <w:pStyle w:val="ListBullet"/>
      </w:pPr>
      <w:r>
        <w:t>QA document review of any GxP-critical records submitted that week</w:t>
      </w:r>
    </w:p>
    <w:p>
      <w:pPr>
        <w:pStyle w:val="ListBullet"/>
      </w:pPr>
      <w:r>
        <w:t>CEO / COO strategic alignment call</w:t>
      </w:r>
    </w:p>
    <w:p>
      <w:pPr>
        <w:pStyle w:val="ListBullet"/>
      </w:pPr>
      <w:r>
        <w:t>Financial activity and cash position review with CFO</w:t>
      </w:r>
    </w:p>
    <w:p>
      <w:pPr>
        <w:pStyle w:val="Heading3"/>
      </w:pPr>
      <w:r>
        <w:rPr>
          <w:color w:val="1F497D"/>
          <w:sz w:val="26"/>
        </w:rPr>
        <w:t>5.3 Monthly Activities</w:t>
      </w:r>
    </w:p>
    <w:p>
      <w:pPr>
        <w:pStyle w:val="ListBullet"/>
      </w:pPr>
      <w:r>
        <w:t>Strategic review of all four active pipeline projects against development plans and go/no-go gate schedules</w:t>
      </w:r>
    </w:p>
    <w:p>
      <w:pPr>
        <w:pStyle w:val="ListBullet"/>
      </w:pPr>
      <w:r>
        <w:rPr>
          <w:b/>
        </w:rPr>
        <w:t>Investor KPI report preparation</w:t>
      </w:r>
      <w:r>
        <w:t xml:space="preserve"> (CFO-led): financial position, burn rate, milestone status, risks</w:t>
      </w:r>
    </w:p>
    <w:p>
      <w:pPr>
        <w:pStyle w:val="ListBullet"/>
      </w:pPr>
      <w:r>
        <w:rPr>
          <w:b/>
        </w:rPr>
        <w:t>Burn rate monitoring and cash runway review</w:t>
      </w:r>
      <w:r>
        <w:t xml:space="preserve"> — critical for a funded biotech; the CFO tracks spend against the committed €23M and follow-on capital</w:t>
      </w:r>
    </w:p>
    <w:p>
      <w:pPr>
        <w:pStyle w:val="ListBullet"/>
      </w:pPr>
      <w:r>
        <w:t>External CRO / CMO milestone and deliverables check-in</w:t>
      </w:r>
    </w:p>
    <w:p>
      <w:pPr>
        <w:pStyle w:val="ListBullet"/>
      </w:pPr>
      <w:r>
        <w:t>Quality management system record review (Caroline Blaison / PharMarketing)</w:t>
      </w:r>
    </w:p>
    <w:p>
      <w:pPr>
        <w:pStyle w:val="ListBullet"/>
      </w:pPr>
      <w:r>
        <w:t>IP and patent status review — any new filings, freedom-to-operate updates</w:t>
      </w:r>
    </w:p>
    <w:p>
      <w:pPr>
        <w:pStyle w:val="ListBullet"/>
      </w:pPr>
      <w:r>
        <w:t>CIR (Crédit Impôt Recherche) eligible R&amp;D expenditure tracking for annual tax credit claim</w:t>
      </w:r>
    </w:p>
    <w:p>
      <w:pPr>
        <w:pStyle w:val="Heading3"/>
      </w:pPr>
      <w:r>
        <w:rPr>
          <w:color w:val="1F497D"/>
          <w:sz w:val="26"/>
        </w:rPr>
        <w:t>5.4 Key Operational Workflows</w:t>
      </w:r>
    </w:p>
    <w:p>
      <w:r>
        <w:rPr>
          <w:b/>
        </w:rPr>
        <w:t>Project Development Workflow (milestone-gated and parallel-track):</w:t>
      </w:r>
    </w:p>
    <w:p>
      <w:r>
        <w:rPr>
          <w:i/>
        </w:rPr>
        <w:t>Track A: Scientific &amp; Preclinical</w:t>
      </w:r>
    </w:p>
    <w:p>
      <w:pPr>
        <w:pStyle w:val="ListNumber"/>
      </w:pPr>
      <w:r>
        <w:t>Scientific evaluation and due diligence (IP check, FTO analysis, competitive landscape)</w:t>
      </w:r>
    </w:p>
    <w:p>
      <w:pPr>
        <w:pStyle w:val="ListNumber"/>
      </w:pPr>
      <w:r>
        <w:t>NDA signed; licensing or equity agreement executed</w:t>
      </w:r>
    </w:p>
    <w:p>
      <w:pPr>
        <w:pStyle w:val="ListNumber"/>
      </w:pPr>
      <w:r>
        <w:t>Proof-of-concept in vitro studies</w:t>
      </w:r>
    </w:p>
    <w:p>
      <w:pPr>
        <w:pStyle w:val="ListNumber"/>
      </w:pPr>
      <w:r>
        <w:rPr>
          <w:b/>
        </w:rPr>
        <w:t>Gate 1 review:</w:t>
      </w:r>
      <w:r>
        <w:t xml:space="preserve"> Proceed to in vivo preclinical?</w:t>
      </w:r>
    </w:p>
    <w:p>
      <w:pPr>
        <w:pStyle w:val="ListNumber"/>
      </w:pPr>
      <w:r>
        <w:t>In vivo preclinical studies (acute, chronic, toxicology) — conducted under GLP at qualified CROs; APAFIS ethics approval required in France for animal studies</w:t>
      </w:r>
    </w:p>
    <w:p>
      <w:pPr>
        <w:pStyle w:val="ListNumber"/>
      </w:pPr>
      <w:r>
        <w:rPr>
          <w:b/>
        </w:rPr>
        <w:t>Gate 2 review:</w:t>
      </w:r>
      <w:r>
        <w:t xml:space="preserve"> Proceed to IND / CTA filing?</w:t>
      </w:r>
    </w:p>
    <w:p>
      <w:pPr>
        <w:pStyle w:val="ListNumber"/>
      </w:pPr>
      <w:r>
        <w:t>ANSM scientific advice meeting (pre-CTA) to align on regulatory strategy</w:t>
      </w:r>
    </w:p>
    <w:p>
      <w:pPr>
        <w:pStyle w:val="ListNumber"/>
      </w:pPr>
      <w:r>
        <w:t>CTA (Clinical Trial Authorisation) filed with ANSM; CPP (Comité de Protection des Personnes) ethics committee approval obtained in parallel</w:t>
      </w:r>
    </w:p>
    <w:p>
      <w:r>
        <w:rPr>
          <w:i/>
        </w:rPr>
        <w:t>Track B: CMC (runs in parallel with Track A from step 3)</w:t>
      </w:r>
    </w:p>
    <w:p>
      <w:pPr>
        <w:pStyle w:val="ListNumber"/>
      </w:pPr>
      <w:r>
        <w:t>Strain / active ingredient characterization</w:t>
      </w:r>
    </w:p>
    <w:p>
      <w:pPr>
        <w:pStyle w:val="ListNumber"/>
      </w:pPr>
      <w:r>
        <w:t>Manufacturing process development (fermentation scale-up, formulation)</w:t>
      </w:r>
    </w:p>
    <w:p>
      <w:pPr>
        <w:pStyle w:val="ListNumber"/>
      </w:pPr>
      <w:r>
        <w:t>Analytical method development and validation</w:t>
      </w:r>
    </w:p>
    <w:p>
      <w:pPr>
        <w:pStyle w:val="ListNumber"/>
      </w:pPr>
      <w:r>
        <w:t>GMP pilot batch production for clinical supply</w:t>
      </w:r>
    </w:p>
    <w:p>
      <w:pPr>
        <w:pStyle w:val="ListNumber"/>
      </w:pPr>
      <w:r>
        <w:t>CMC module for regulatory dossier (CTD Module 3)</w:t>
      </w:r>
    </w:p>
    <w:p>
      <w:r>
        <w:rPr>
          <w:i/>
        </w:rPr>
        <w:t>Track C: Clinical Development (begins during Track A step 5)</w:t>
      </w:r>
    </w:p>
    <w:p>
      <w:pPr>
        <w:pStyle w:val="ListNumber"/>
      </w:pPr>
      <w:r>
        <w:t>Clinical protocol design (Phase I safety / PK)</w:t>
      </w:r>
    </w:p>
    <w:p>
      <w:pPr>
        <w:pStyle w:val="ListNumber"/>
      </w:pPr>
      <w:r>
        <w:t>CRO selection and qualification for clinical sites</w:t>
      </w:r>
    </w:p>
    <w:p>
      <w:pPr>
        <w:pStyle w:val="ListNumber"/>
      </w:pPr>
      <w:r>
        <w:t>Phase I execution</w:t>
      </w:r>
    </w:p>
    <w:p>
      <w:pPr>
        <w:pStyle w:val="ListNumber"/>
      </w:pPr>
      <w:r>
        <w:rPr>
          <w:b/>
        </w:rPr>
        <w:t>Gate 3 review:</w:t>
      </w:r>
      <w:r>
        <w:t xml:space="preserve"> Proceed to Phase II?</w:t>
      </w:r>
    </w:p>
    <w:p>
      <w:pPr>
        <w:pStyle w:val="ListNumber"/>
      </w:pPr>
      <w:r>
        <w:t>Phase II efficacy trial design, execution, interim analysis</w:t>
      </w:r>
    </w:p>
    <w:p>
      <w:pPr>
        <w:pStyle w:val="ListNumber"/>
      </w:pPr>
      <w:r>
        <w:rPr>
          <w:b/>
        </w:rPr>
        <w:t>Gate 4 review:</w:t>
      </w:r>
      <w:r>
        <w:t xml:space="preserve"> Proceed to Phase III or seek licensing / exit event?</w:t>
      </w:r>
    </w:p>
    <w:p>
      <w:pPr>
        <w:pStyle w:val="ListNumber"/>
      </w:pPr>
      <w:r>
        <w:t>Phase III (if applicable) or out-licensing discussions with big pharma</w:t>
      </w:r>
    </w:p>
    <w:p>
      <w:pPr>
        <w:pStyle w:val="ListNumber"/>
      </w:pPr>
      <w:r>
        <w:t>Regulatory dossier submission for product registration (CTD format, ANSM / EMA)</w:t>
      </w:r>
    </w:p>
    <w:p>
      <w:pPr>
        <w:pStyle w:val="ListNumber"/>
      </w:pPr>
      <w:r>
        <w:t>Market approval and commercialization / strategic exit (acquisition, IPO, licensing deal)</w:t>
      </w:r>
    </w:p>
    <w:p>
      <w:r>
        <w:rPr>
          <w:b/>
        </w:rPr>
        <w:t>Investment Workflow:</w:t>
      </w:r>
    </w:p>
    <w:p>
      <w:pPr>
        <w:pStyle w:val="ListNumber"/>
      </w:pPr>
      <w:r>
        <w:t>Family office investor identified through CEO/CFO network</w:t>
      </w:r>
    </w:p>
    <w:p>
      <w:pPr>
        <w:pStyle w:val="ListNumber"/>
      </w:pPr>
      <w:r>
        <w:t>Initial meeting: investment philosophy alignment check</w:t>
      </w:r>
    </w:p>
    <w:p>
      <w:pPr>
        <w:pStyle w:val="ListNumber"/>
      </w:pPr>
      <w:r>
        <w:rPr>
          <w:b/>
        </w:rPr>
        <w:t>NDA signed</w:t>
      </w:r>
      <w:r>
        <w:t xml:space="preserve"> before sharing portfolio details or financial projections</w:t>
      </w:r>
    </w:p>
    <w:p>
      <w:pPr>
        <w:pStyle w:val="ListNumber"/>
      </w:pPr>
      <w:r>
        <w:t>Portfolio presentation via secure Virtual Data Room (VDR)</w:t>
      </w:r>
    </w:p>
    <w:p>
      <w:pPr>
        <w:pStyle w:val="ListNumber"/>
      </w:pPr>
      <w:r>
        <w:t>Investor due diligence period</w:t>
      </w:r>
    </w:p>
    <w:p>
      <w:pPr>
        <w:pStyle w:val="ListNumber"/>
      </w:pPr>
      <w:r>
        <w:t>Term sheet negotiated and agreed</w:t>
      </w:r>
    </w:p>
    <w:p>
      <w:pPr>
        <w:pStyle w:val="ListNumber"/>
      </w:pPr>
      <w:r>
        <w:t>Legal documentation signed (subscription agreement, shareholders' agreement)</w:t>
      </w:r>
    </w:p>
    <w:p>
      <w:pPr>
        <w:pStyle w:val="ListNumber"/>
      </w:pPr>
      <w:r>
        <w:t>Capital deployed according to the agreed schedule</w:t>
      </w:r>
    </w:p>
    <w:p>
      <w:pPr>
        <w:pStyle w:val="ListNumber"/>
      </w:pPr>
      <w:r>
        <w:t>Investor onboarded to reporting cadence (quarterly KPI reports)</w:t>
      </w:r>
    </w:p>
    <w:p>
      <w:pPr>
        <w:pStyle w:val="ListNumber"/>
      </w:pPr>
      <w:r>
        <w:t>Ongoing milestone tracking, gate notifications, and annual review</w:t>
      </w:r>
    </w:p>
    <w:p>
      <w:pPr>
        <w:spacing w:before="80" w:after="80"/>
        <w:pBdr>
          <w:bottom w:val="single" w:sz="6" w:space="1" w:color="2E74B5"/>
        </w:pBdr>
      </w:pPr>
    </w:p>
    <w:p>
      <w:pPr>
        <w:pStyle w:val="Heading2"/>
      </w:pPr>
      <w:r>
        <w:rPr>
          <w:color w:val="2E74B5"/>
          <w:sz w:val="30"/>
        </w:rPr>
        <w:t>6. Team Structure</w:t>
      </w:r>
    </w:p>
    <w:p>
      <w:pPr>
        <w:pStyle w:val="Heading3"/>
      </w:pPr>
      <w:r>
        <w:rPr>
          <w:color w:val="1F497D"/>
          <w:sz w:val="26"/>
        </w:rPr>
        <w:t>6.1 Leadership Roles</w:t>
      </w:r>
    </w:p>
    <w:p>
      <w:r>
        <w:rPr>
          <w:b/>
        </w:rPr>
        <w:t>Stanislas Desjonquères — CEO</w:t>
      </w:r>
    </w:p>
    <w:p>
      <w:pPr>
        <w:pStyle w:val="ListBullet"/>
      </w:pPr>
      <w:r>
        <w:t>Responsibilities: Overall strategy, fundraising, investor relations, new project sourcing</w:t>
      </w:r>
    </w:p>
    <w:p>
      <w:pPr>
        <w:pStyle w:val="ListBullet"/>
      </w:pPr>
      <w:r>
        <w:t>Key outputs: Investment agreements, strategic development plans, funding rounds, investor KPI report sign-off</w:t>
      </w:r>
    </w:p>
    <w:p>
      <w:pPr>
        <w:pStyle w:val="ListBullet"/>
      </w:pPr>
      <w:r>
        <w:t>Tools used: Investor network, LinkedIn, VDR (Virtual Data Room), finance and legal platforms</w:t>
      </w:r>
    </w:p>
    <w:p>
      <w:pPr>
        <w:pStyle w:val="ListBullet"/>
      </w:pPr>
      <w:r>
        <w:t>Background: 25 years in pharma; previously grew biose into a worldwide leader through four fundraising rounds (CEO Oct 2007 – Jul 2020)</w:t>
      </w:r>
    </w:p>
    <w:p>
      <w:r>
        <w:rPr>
          <w:b/>
        </w:rPr>
        <w:t>Laurent Carrio — CFO</w:t>
      </w:r>
    </w:p>
    <w:p>
      <w:pPr>
        <w:pStyle w:val="ListBullet"/>
      </w:pPr>
      <w:r>
        <w:t>Responsibilities: All finance functions, KPI tracking, banking relationships, strategic risk analysis, CIR (R&amp;D tax credit) administration, monthly burn rate reporting</w:t>
      </w:r>
    </w:p>
    <w:p>
      <w:pPr>
        <w:pStyle w:val="ListBullet"/>
      </w:pPr>
      <w:r>
        <w:t>Key outputs: Financial reports, management accounts, funding structures, investor KPI dashboards, cash runway projections</w:t>
      </w:r>
    </w:p>
    <w:p>
      <w:pPr>
        <w:pStyle w:val="ListBullet"/>
      </w:pPr>
      <w:r>
        <w:t>Tools used: Accounting software, banking platforms, financial modeling tools (Excel / ERP)</w:t>
      </w:r>
    </w:p>
    <w:p>
      <w:pPr>
        <w:pStyle w:val="ListBullet"/>
      </w:pPr>
      <w:r>
        <w:t>Background: 30+ years across finance roles in industrial and services sectors; active on startup selection committees</w:t>
      </w:r>
    </w:p>
    <w:p>
      <w:r>
        <w:rPr>
          <w:b/>
        </w:rPr>
        <w:t>David Liens, MD — CMO</w:t>
      </w:r>
    </w:p>
    <w:p>
      <w:pPr>
        <w:pStyle w:val="ListBullet"/>
      </w:pPr>
      <w:r>
        <w:t>Responsibilities: Medical affairs, clinical strategy, regulatory medical oversight, clinical development plan authorship</w:t>
      </w:r>
    </w:p>
    <w:p>
      <w:pPr>
        <w:pStyle w:val="ListBullet"/>
      </w:pPr>
      <w:r>
        <w:t>Key outputs: Clinical development plans, medical assessments, regulatory medical documents (CTD Module 5 clinical sections)</w:t>
      </w:r>
    </w:p>
    <w:p>
      <w:pPr>
        <w:pStyle w:val="ListBullet"/>
      </w:pPr>
      <w:r>
        <w:t>Tools used: Clinical guidelines databases (ICH, EMA, FDA), clinical trial registries (ClinicalTrials.gov, EudraCT), scientific literature tools (PubMed)</w:t>
      </w:r>
    </w:p>
    <w:p>
      <w:pPr>
        <w:pStyle w:val="ListBullet"/>
      </w:pPr>
      <w:r>
        <w:t>Background: 30+ years in drug development (Merck KGaA, ERYTECH-Pharma, EUSA); founded BPLS-Consulting in 2012 as a consulting practice</w:t>
      </w:r>
    </w:p>
    <w:p>
      <w:r>
        <w:rPr>
          <w:b/>
        </w:rPr>
        <w:t>Cyrille JEUNE — COO / Head of Regulatory, QA &amp; Market Access</w:t>
      </w:r>
    </w:p>
    <w:p>
      <w:pPr>
        <w:pStyle w:val="ListBullet"/>
      </w:pPr>
      <w:r>
        <w:t xml:space="preserve">Responsibilities: Team management, Health Agency compliance, regulatory strategy execution, development plan oversight, </w:t>
      </w:r>
      <w:r>
        <w:rPr>
          <w:b/>
        </w:rPr>
        <w:t>Market Access</w:t>
      </w:r>
      <w:r>
        <w:t xml:space="preserve"> (health technology assessment strategy, payer analysis, reimbursement pathway planning for when assets approach market)</w:t>
      </w:r>
    </w:p>
    <w:p>
      <w:pPr>
        <w:pStyle w:val="ListBullet"/>
      </w:pPr>
      <w:r>
        <w:t>Key outputs: Regulatory strategy documents, compliance filings, development plans, CTD submission packages, market access dossiers (e.g., ASMR/SMR assessments for HAS in France)</w:t>
      </w:r>
    </w:p>
    <w:p>
      <w:pPr>
        <w:pStyle w:val="ListBullet"/>
      </w:pPr>
      <w:r>
        <w:t>Tools used: Regulatory submissions platforms (eCTD tools), ANSM/EMA guidance databases, project management tools</w:t>
      </w:r>
    </w:p>
    <w:p>
      <w:pPr>
        <w:pStyle w:val="ListBullet"/>
      </w:pPr>
      <w:r>
        <w:t>Background: Biochemistry + Regulatory Affairs specialist; 12 years across M&amp;A and product development</w:t>
      </w:r>
    </w:p>
    <w:p>
      <w:pPr>
        <w:pStyle w:val="Quote"/>
        <w:spacing w:before="40" w:after="40"/>
        <w:ind w:left="576"/>
      </w:pPr>
      <w:r>
        <w:rPr>
          <w:b/>
          <w:i/>
          <w:color w:val="404040"/>
        </w:rPr>
        <w:t>Note on Market Access:</w:t>
      </w:r>
      <w:r>
        <w:rPr>
          <w:i/>
          <w:color w:val="404040"/>
        </w:rPr>
        <w:t xml:space="preserve"> Cyrille Jeune's title explicitly includes Market Access. In the EU/French context this means preparing Health Technology Assessment (HTA) submissions to bodies like HAS (Haute Autorité de Santé) for reimbursement decisions. This work typically begins 2–3 years before anticipated approval and shapes clinical trial design (endpoints, comparators, patient populations).</w:t>
      </w:r>
    </w:p>
    <w:p>
      <w:pPr>
        <w:pStyle w:val="Heading3"/>
      </w:pPr>
      <w:r>
        <w:rPr>
          <w:color w:val="1F497D"/>
          <w:sz w:val="26"/>
        </w:rPr>
        <w:t>6.2 Sales Team</w:t>
      </w:r>
    </w:p>
    <w:p>
      <w:r>
        <w:t>No traditional sales team. Business development is handled directly by the CEO and CFO at the investor and partner level.</w:t>
      </w:r>
    </w:p>
    <w:p>
      <w:r>
        <w:rPr>
          <w:b/>
        </w:rPr>
        <w:t>Inbound inquiry handling:</w:t>
      </w:r>
      <w:r>
        <w:t xml:space="preserve"> The website (nexbiome.com) lists contact@nexbiome.com and a phone number. Inbound enquiries from academics, biotech founders, or investors are received here and routed to the CEO. Pierre Boccon (Office Manager) likely handles initial screening and routing of general enquiries.</w:t>
      </w:r>
    </w:p>
    <w:p>
      <w:pPr>
        <w:pStyle w:val="Heading3"/>
      </w:pPr>
      <w:r>
        <w:rPr>
          <w:color w:val="1F497D"/>
          <w:sz w:val="26"/>
        </w:rPr>
        <w:t>6.3 Marketing Team</w:t>
      </w:r>
    </w:p>
    <w:p>
      <w:r>
        <w:t>No dedicated marketing team. Activities:</w:t>
      </w:r>
    </w:p>
    <w:p>
      <w:pPr>
        <w:pStyle w:val="ListBullet"/>
      </w:pPr>
      <w:r>
        <w:t>Corporate website (nexbiome.com): mission, pipeline, team profiles, heritage content</w:t>
      </w:r>
    </w:p>
    <w:p>
      <w:pPr>
        <w:pStyle w:val="ListBullet"/>
      </w:pPr>
      <w:r>
        <w:t>LinkedIn company page (~1,975 followers): professional updates, team news, milestone announcements</w:t>
      </w:r>
    </w:p>
    <w:p>
      <w:pPr>
        <w:pStyle w:val="ListBullet"/>
      </w:pPr>
      <w:r>
        <w:t>Scientific publications authored by team members (Véronique Trochon-Joseph: 20+ publications; others across the team) — these function as credibility content for investor and pharma partner audiences</w:t>
      </w:r>
    </w:p>
    <w:p>
      <w:pPr>
        <w:pStyle w:val="ListBullet"/>
      </w:pPr>
      <w:r>
        <w:t>Press releases for significant milestones (IND clearance, clinical trial initiation) are standard in biotech and represent an untapped or informal channel here</w:t>
      </w:r>
    </w:p>
    <w:p>
      <w:pPr>
        <w:pStyle w:val="ListBullet"/>
      </w:pPr>
      <w:r>
        <w:t>Pierre Boccon (Office Manager) manages digital content creation and communications</w:t>
      </w:r>
    </w:p>
    <w:p>
      <w:pPr>
        <w:pStyle w:val="Heading3"/>
      </w:pPr>
      <w:r>
        <w:rPr>
          <w:color w:val="1F497D"/>
          <w:sz w:val="26"/>
        </w:rPr>
        <w:t>6.4 Operations Team</w:t>
      </w:r>
    </w:p>
    <w:p>
      <w:r>
        <w:rPr>
          <w:b/>
        </w:rPr>
        <w:t>Pierre BOCCON — Office Manager</w:t>
      </w:r>
    </w:p>
    <w:p>
      <w:pPr>
        <w:pStyle w:val="ListBullet"/>
      </w:pPr>
      <w:r>
        <w:t>Responsibilities: Daily team coordination, admin, project management support, HR, communications, QA coordination, event and meeting management</w:t>
      </w:r>
    </w:p>
    <w:p>
      <w:pPr>
        <w:pStyle w:val="ListBullet"/>
      </w:pPr>
      <w:r>
        <w:t>Key outputs: Meeting schedules, HR records, internal communications, vendor coordination, office administration</w:t>
      </w:r>
    </w:p>
    <w:p>
      <w:pPr>
        <w:pStyle w:val="ListBullet"/>
      </w:pPr>
      <w:r>
        <w:t>Tools used: Office productivity suite (Microsoft 365 or Google Workspace), email, calendar tools, HR management tools</w:t>
      </w:r>
    </w:p>
    <w:p>
      <w:pPr>
        <w:pStyle w:val="ListBullet"/>
      </w:pPr>
      <w:r>
        <w:t>In role since September 2025</w:t>
      </w:r>
    </w:p>
    <w:p>
      <w:r>
        <w:rPr>
          <w:b/>
        </w:rPr>
        <w:t>Caroline BLAISON — QA Representative / DPO (contracted via PharMarketing)</w:t>
      </w:r>
    </w:p>
    <w:p>
      <w:pPr>
        <w:pStyle w:val="ListBullet"/>
      </w:pPr>
      <w:r>
        <w:t>Responsibilities: Quality Management System implementation and continuous improvement; GLP, GMP, GCP compliance oversight; internal and external audits; deviation and CAPA management; staff QA training; GDPR data protection officer duties</w:t>
      </w:r>
    </w:p>
    <w:p>
      <w:pPr>
        <w:pStyle w:val="ListBullet"/>
      </w:pPr>
      <w:r>
        <w:t>Key outputs: QMS documentation, SOPs, audit reports, CAPA records, compliance certifications, GDPR compliance records</w:t>
      </w:r>
    </w:p>
    <w:p>
      <w:pPr>
        <w:pStyle w:val="ListBullet"/>
      </w:pPr>
      <w:r>
        <w:t>Tools used: Quality Management System software (eQMS), document management platform, audit tracking tools</w:t>
      </w:r>
    </w:p>
    <w:p>
      <w:pPr>
        <w:pStyle w:val="ListBullet"/>
      </w:pPr>
      <w:r>
        <w:t>Background: 13 years supporting QMS for clinical biotech organizations (France, Europe, USA); DPO since 2020 for US-French biotech</w:t>
      </w:r>
    </w:p>
    <w:p>
      <w:pPr>
        <w:pStyle w:val="Heading3"/>
      </w:pPr>
      <w:r>
        <w:rPr>
          <w:color w:val="1F497D"/>
          <w:sz w:val="26"/>
        </w:rPr>
        <w:t>6.5 Technical Team</w:t>
      </w:r>
    </w:p>
    <w:p>
      <w:pPr>
        <w:pStyle w:val="Quote"/>
        <w:spacing w:before="40" w:after="40"/>
        <w:ind w:left="576"/>
      </w:pPr>
      <w:r>
        <w:rPr>
          <w:b/>
          <w:i/>
          <w:color w:val="404040"/>
        </w:rPr>
        <w:t>Multi-project workload note:</w:t>
      </w:r>
      <w:r>
        <w:rPr>
          <w:i/>
          <w:color w:val="404040"/>
        </w:rPr>
        <w:t xml:space="preserve"> With four active pipeline projects and five technical staff, each person manages multiple projects simultaneously. This is standard for biotech studios but creates scheduling dependencies — a delayed CRO study on Project A can pull a Project Manager away from Project B's milestone. This resource constraint is an important operational risk.</w:t>
      </w:r>
    </w:p>
    <w:p>
      <w:r>
        <w:rPr>
          <w:b/>
        </w:rPr>
        <w:t>Claudia THORAL, PhD — Pharmaceutical Development Head</w:t>
      </w:r>
    </w:p>
    <w:p>
      <w:pPr>
        <w:pStyle w:val="ListBullet"/>
      </w:pPr>
      <w:r>
        <w:t>Responsibilities: CMC strategy, pharmaceutical development of bacterial strains, GMP manufacturing process design, CMC module authorship for regulatory submissions</w:t>
      </w:r>
    </w:p>
    <w:p>
      <w:pPr>
        <w:pStyle w:val="ListBullet"/>
      </w:pPr>
      <w:r>
        <w:t>Key outputs: CMC development reports, formulation strategies, LBP manufacturing processes, CTD Module 3 sections</w:t>
      </w:r>
    </w:p>
    <w:p>
      <w:pPr>
        <w:pStyle w:val="ListBullet"/>
      </w:pPr>
      <w:r>
        <w:t>Tools used: Laboratory software, fermentation management tools, analytical software (HPLC, dissolution), ELN (Electronic Lab Notebook)</w:t>
      </w:r>
    </w:p>
    <w:p>
      <w:r>
        <w:rPr>
          <w:b/>
        </w:rPr>
        <w:t>Amandine DOUSSE — CMC Project Manager</w:t>
      </w:r>
    </w:p>
    <w:p>
      <w:pPr>
        <w:pStyle w:val="ListBullet"/>
      </w:pPr>
      <w:r>
        <w:t>Responsibilities: Organic synthesis, analytical methods, galenic development, microbiology, pharmacology, human physiopathology</w:t>
      </w:r>
    </w:p>
    <w:p>
      <w:pPr>
        <w:pStyle w:val="ListBullet"/>
      </w:pPr>
      <w:r>
        <w:t>Key outputs: CMC project deliverables, analytical data packages, method validation reports</w:t>
      </w:r>
    </w:p>
    <w:p>
      <w:pPr>
        <w:pStyle w:val="ListBullet"/>
      </w:pPr>
      <w:r>
        <w:t>Tools used: Laboratory instruments, analytical software, ELN</w:t>
      </w:r>
    </w:p>
    <w:p>
      <w:r>
        <w:rPr>
          <w:b/>
        </w:rPr>
        <w:t>Véronique TROCHON-JOSEPH, PhD — Senior Preclinical Project Manager</w:t>
      </w:r>
    </w:p>
    <w:p>
      <w:pPr>
        <w:pStyle w:val="ListBullet"/>
      </w:pPr>
      <w:r>
        <w:t>Responsibilities: Full preclinical program management from discovery through Phase III regulatory support; preclinical strategy; GLP study oversight; CRO coordination for animal studies</w:t>
      </w:r>
    </w:p>
    <w:p>
      <w:pPr>
        <w:pStyle w:val="ListBullet"/>
      </w:pPr>
      <w:r>
        <w:t>Key outputs: Preclinical study reports (GLP), safety/efficacy dossiers, CTD Module 4 preclinical sections</w:t>
      </w:r>
    </w:p>
    <w:p>
      <w:pPr>
        <w:pStyle w:val="ListBullet"/>
      </w:pPr>
      <w:r>
        <w:t>Tools used: GLP study tracking tools, scientific literature databases (PubMed, Embase), CRO submission portals</w:t>
      </w:r>
    </w:p>
    <w:p>
      <w:pPr>
        <w:pStyle w:val="ListBullet"/>
      </w:pPr>
      <w:r>
        <w:t>Background: PhD in Pharmacology (Rouen University); 20+ international publications and patents; INSERM, Gustave Roussy, BioalliancePharma, ONXEO</w:t>
      </w:r>
    </w:p>
    <w:p>
      <w:r>
        <w:rPr>
          <w:b/>
        </w:rPr>
        <w:t>Maria IBARLUCEA-JEREZ, PhD — R&amp;D Project Manager</w:t>
      </w:r>
    </w:p>
    <w:p>
      <w:pPr>
        <w:pStyle w:val="ListBullet"/>
      </w:pPr>
      <w:r>
        <w:t>Responsibilities: Preclinical and early clinical development project management; microbiota research oversight across animal models; scientific data analysis and interpretation</w:t>
      </w:r>
    </w:p>
    <w:p>
      <w:pPr>
        <w:pStyle w:val="ListBullet"/>
      </w:pPr>
      <w:r>
        <w:t>Key outputs: Research reports, study protocols, scientific data packages, co-authored publications</w:t>
      </w:r>
    </w:p>
    <w:p>
      <w:pPr>
        <w:pStyle w:val="ListBullet"/>
      </w:pPr>
      <w:r>
        <w:t>Tools used: Laboratory platforms, scientific databases (PubMed, bioRxiv), data analysis software (R, SPSS, or equivalent)</w:t>
      </w:r>
    </w:p>
    <w:p>
      <w:pPr>
        <w:pStyle w:val="ListBullet"/>
      </w:pPr>
      <w:r>
        <w:t>Joined NexBiome in 2024</w:t>
      </w:r>
    </w:p>
    <w:p>
      <w:r>
        <w:rPr>
          <w:b/>
        </w:rPr>
        <w:t>Audrey MOLE — Clinical Development Head</w:t>
      </w:r>
    </w:p>
    <w:p>
      <w:pPr>
        <w:pStyle w:val="ListBullet"/>
      </w:pPr>
      <w:r>
        <w:t>Responsibilities: Clinical trial management (Phase I–III and investigator-initiated); global clinical operations; CRO oversight; ethics committee coordination (CPP in France); clinical monitoring and data integrity</w:t>
      </w:r>
    </w:p>
    <w:p>
      <w:pPr>
        <w:pStyle w:val="ListBullet"/>
      </w:pPr>
      <w:r>
        <w:t>Key outputs: Clinical protocols (ICH-E6 compliant), CRO contracts and oversight reports, clinical study reports (CSRs), CTD Module 5 clinical sections</w:t>
      </w:r>
    </w:p>
    <w:p>
      <w:pPr>
        <w:pStyle w:val="ListBullet"/>
      </w:pPr>
      <w:r>
        <w:t>Tools used: CTMS (Clinical Trial Management System), EDC / eCRF platform, eTMF (electronic Trial Master File), clinical site management tools</w:t>
      </w:r>
    </w:p>
    <w:p>
      <w:pPr>
        <w:pStyle w:val="ListBullet"/>
      </w:pPr>
      <w:r>
        <w:t>Background: 20+ years managing early and late phase trials across multiple therapeutic areas</w:t>
      </w:r>
    </w:p>
    <w:p>
      <w:pPr>
        <w:pStyle w:val="Heading3"/>
      </w:pPr>
      <w:r>
        <w:rPr>
          <w:color w:val="1F497D"/>
          <w:sz w:val="26"/>
        </w:rPr>
        <w:t>6.6 External Support Network</w:t>
      </w:r>
    </w:p>
    <w:p>
      <w:r>
        <w:t>NexBiome augments its core team with contracted and outsourced specialists:</w:t>
      </w:r>
    </w:p>
    <w:p>
      <w:pPr>
        <w:pStyle w:val="ListBullet"/>
      </w:pPr>
      <w:r>
        <w:rPr>
          <w:b/>
        </w:rPr>
        <w:t>Caroline BLAISON via PharMarketing</w:t>
      </w:r>
      <w:r>
        <w:t xml:space="preserve"> — QA Representative and DPO (as detailed in 6.4)</w:t>
      </w:r>
    </w:p>
    <w:p>
      <w:pPr>
        <w:pStyle w:val="ListBullet"/>
      </w:pPr>
      <w:r>
        <w:rPr>
          <w:b/>
        </w:rPr>
        <w:t>CROs (Contract Research Organizations)</w:t>
      </w:r>
      <w:r>
        <w:t xml:space="preserve"> — Execute preclinical studies and clinical trial operations; must be qualified and audited by the QA Representative before use</w:t>
      </w:r>
    </w:p>
    <w:p>
      <w:pPr>
        <w:pStyle w:val="ListBullet"/>
      </w:pPr>
      <w:r>
        <w:rPr>
          <w:b/>
        </w:rPr>
        <w:t>CMOs (Contract Manufacturing Organizations)</w:t>
      </w:r>
      <w:r>
        <w:t xml:space="preserve"> — Produce GMP-grade clinical supply batches of bacterial strains and formulations</w:t>
      </w:r>
    </w:p>
    <w:p>
      <w:pPr>
        <w:pStyle w:val="ListBullet"/>
      </w:pPr>
      <w:r>
        <w:rPr>
          <w:b/>
        </w:rPr>
        <w:t>Legal counsel</w:t>
      </w:r>
      <w:r>
        <w:t xml:space="preserve"> — Pharma licensing, IP prosecution, and corporate law (not named in available data; standard external engagement)</w:t>
      </w:r>
    </w:p>
    <w:p>
      <w:pPr>
        <w:pStyle w:val="ListBullet"/>
      </w:pPr>
      <w:r>
        <w:rPr>
          <w:b/>
        </w:rPr>
        <w:t>Financial auditors</w:t>
      </w:r>
      <w:r>
        <w:t xml:space="preserve"> — Statutory audit and CIR (R&amp;D tax credit) certification (not named; standard for French companies)</w:t>
      </w:r>
    </w:p>
    <w:p>
      <w:pPr>
        <w:pStyle w:val="ListBullet"/>
      </w:pPr>
      <w:r>
        <w:rPr>
          <w:b/>
        </w:rPr>
        <w:t>Medical writers</w:t>
      </w:r>
      <w:r>
        <w:t xml:space="preserve"> — Preparation of regulatory documents (CSRs, CTD modules, scientific publications) — standard outsource in pharma, not specifically named but implied by the team's regulatory output requirements</w:t>
      </w:r>
    </w:p>
    <w:p>
      <w:pPr>
        <w:pStyle w:val="ListBullet"/>
      </w:pPr>
      <w:r>
        <w:rPr>
          <w:b/>
        </w:rPr>
        <w:t>Biostatisticians</w:t>
      </w:r>
      <w:r>
        <w:t xml:space="preserve"> — Clinical data analysis for Phase I/II/III trials; required for all clinical study reports</w:t>
      </w:r>
    </w:p>
    <w:p>
      <w:pPr>
        <w:spacing w:before="80" w:after="80"/>
        <w:pBdr>
          <w:bottom w:val="single" w:sz="6" w:space="1" w:color="2E74B5"/>
        </w:pBdr>
      </w:pPr>
    </w:p>
    <w:p>
      <w:pPr>
        <w:pStyle w:val="Heading2"/>
      </w:pPr>
      <w:r>
        <w:rPr>
          <w:color w:val="2E74B5"/>
          <w:sz w:val="30"/>
        </w:rPr>
        <w:t>7. Tools and Technology</w:t>
      </w:r>
    </w:p>
    <w:p>
      <w:pPr>
        <w:pStyle w:val="Heading3"/>
      </w:pPr>
      <w:r>
        <w:rPr>
          <w:color w:val="1F497D"/>
          <w:sz w:val="26"/>
        </w:rPr>
        <w:t>7.1 CRM Systems</w:t>
      </w:r>
    </w:p>
    <w:p>
      <w:r>
        <w:t xml:space="preserve">No CRM is publicly specified. Given the small team and relationship-driven model, contact management may be handled via spreadsheets, email, or a lightweight tool (Notion, Airtable, or HubSpot). This is a </w:t>
      </w:r>
      <w:r>
        <w:rPr>
          <w:b/>
        </w:rPr>
        <w:t>notable operational gap</w:t>
      </w:r>
      <w:r>
        <w:t xml:space="preserve"> — as the investor base and partner pipeline grows, a proper CRM becomes important for tracking contacts, pipeline stages, follow-up schedules, and communication history.</w:t>
      </w:r>
    </w:p>
    <w:p>
      <w:pPr>
        <w:pStyle w:val="Heading3"/>
      </w:pPr>
      <w:r>
        <w:rPr>
          <w:color w:val="1F497D"/>
          <w:sz w:val="26"/>
        </w:rPr>
        <w:t>7.2 Marketing Tools</w:t>
      </w:r>
    </w:p>
    <w:p>
      <w:pPr>
        <w:pStyle w:val="ListBullet"/>
      </w:pPr>
      <w:r>
        <w:t>Corporate website: nexbiome.com (CMS type not confirmed from available data)</w:t>
      </w:r>
    </w:p>
    <w:p>
      <w:pPr>
        <w:pStyle w:val="ListBullet"/>
      </w:pPr>
      <w:r>
        <w:t>LinkedIn company page (~1,975 followers)</w:t>
      </w:r>
    </w:p>
    <w:p>
      <w:pPr>
        <w:pStyle w:val="ListBullet"/>
      </w:pPr>
      <w:r>
        <w:t>Google Analytics (referenced in privacy policy for traffic monitoring)</w:t>
      </w:r>
    </w:p>
    <w:p>
      <w:pPr>
        <w:pStyle w:val="ListBullet"/>
      </w:pPr>
      <w:r>
        <w:t>nexbiome.life (unconfirmed relationship; WordPress / Elementor per its Upwork job posting — see Section 1.3 note)</w:t>
      </w:r>
    </w:p>
    <w:p>
      <w:pPr>
        <w:pStyle w:val="Heading3"/>
      </w:pPr>
      <w:r>
        <w:rPr>
          <w:color w:val="1F497D"/>
          <w:sz w:val="26"/>
        </w:rPr>
        <w:t>7.3 Communication Tools</w:t>
      </w:r>
    </w:p>
    <w:p>
      <w:pPr>
        <w:pStyle w:val="ListBullet"/>
      </w:pPr>
      <w:r>
        <w:t>Email: contact@nexbiome.com / dpo@nexbiome.com</w:t>
      </w:r>
    </w:p>
    <w:p>
      <w:pPr>
        <w:pStyle w:val="ListBullet"/>
      </w:pPr>
      <w:r>
        <w:t>Phone: +33 (0)7 72 06 69 38</w:t>
      </w:r>
    </w:p>
    <w:p>
      <w:pPr>
        <w:pStyle w:val="ListBullet"/>
      </w:pPr>
      <w:r>
        <w:t>Video conferencing (not specified)</w:t>
      </w:r>
    </w:p>
    <w:p>
      <w:pPr>
        <w:pStyle w:val="Heading3"/>
      </w:pPr>
      <w:r>
        <w:rPr>
          <w:color w:val="1F497D"/>
          <w:sz w:val="26"/>
        </w:rPr>
        <w:t>7.4 Project Management Tools</w:t>
      </w:r>
    </w:p>
    <w:p>
      <w:r>
        <w:t xml:space="preserve">Not publicly specified. In a regulated pharmaceutical development environment, project management requires GxP-compliant or GxP-adjacent tools that produce auditable records. Likely candidate platforms include: Veeva Vault (industry standard for GxP document management and project tracking), Microsoft Project, or a combination of a standard PM tool plus the QMS for controlled documents. The absence of a named tool is an </w:t>
      </w:r>
      <w:r>
        <w:rPr>
          <w:b/>
        </w:rPr>
        <w:t>operational visibility gap</w:t>
      </w:r>
      <w:r>
        <w:t xml:space="preserve"> for partners and CROs.</w:t>
      </w:r>
    </w:p>
    <w:p>
      <w:pPr>
        <w:pStyle w:val="Heading3"/>
      </w:pPr>
      <w:r>
        <w:rPr>
          <w:color w:val="1F497D"/>
          <w:sz w:val="26"/>
        </w:rPr>
        <w:t>7.5 Internal Automation Systems</w:t>
      </w:r>
    </w:p>
    <w:p>
      <w:r>
        <w:t xml:space="preserve">No automation systems are publicly specified. Based on the operational model, the following represent </w:t>
      </w:r>
      <w:r>
        <w:rPr>
          <w:b/>
        </w:rPr>
        <w:t>current manual process areas with automation potential:</w:t>
      </w:r>
    </w:p>
    <w:p>
      <w:pPr>
        <w:pStyle w:val="ListBullet"/>
      </w:pPr>
      <w:r>
        <w:t>Investor KPI report generation (currently manual, CFO-assembled)</w:t>
      </w:r>
    </w:p>
    <w:p>
      <w:pPr>
        <w:pStyle w:val="ListBullet"/>
      </w:pPr>
      <w:r>
        <w:t>Milestone status tracking and gate notification alerts</w:t>
      </w:r>
    </w:p>
    <w:p>
      <w:pPr>
        <w:pStyle w:val="ListBullet"/>
      </w:pPr>
      <w:r>
        <w:t>CRO deliverable deadline tracking and follow-up workflows</w:t>
      </w:r>
    </w:p>
    <w:p>
      <w:pPr>
        <w:pStyle w:val="ListBullet"/>
      </w:pPr>
      <w:r>
        <w:t>Scientific literature monitoring (new publications in microbiome, LBP, target therapeutic areas)</w:t>
      </w:r>
    </w:p>
    <w:p>
      <w:pPr>
        <w:pStyle w:val="ListBullet"/>
      </w:pPr>
      <w:r>
        <w:t>CIR-eligible expenditure tracking and reporting</w:t>
      </w:r>
    </w:p>
    <w:p>
      <w:pPr>
        <w:pStyle w:val="ListBullet"/>
      </w:pPr>
      <w:r>
        <w:t>Contract and NDA expiry management</w:t>
      </w:r>
    </w:p>
    <w:p>
      <w:pPr>
        <w:pStyle w:val="Heading3"/>
      </w:pPr>
      <w:r>
        <w:rPr>
          <w:color w:val="1F497D"/>
          <w:sz w:val="26"/>
        </w:rPr>
        <w:t>7.6 Data Systems</w:t>
      </w:r>
    </w:p>
    <w:p>
      <w:pPr>
        <w:pStyle w:val="ListBullet"/>
      </w:pPr>
      <w:r>
        <w:rPr>
          <w:b/>
        </w:rPr>
        <w:t>Google Analytics</w:t>
      </w:r>
      <w:r>
        <w:t xml:space="preserve"> — website traffic monitoring</w:t>
      </w:r>
    </w:p>
    <w:p>
      <w:pPr>
        <w:pStyle w:val="ListBullet"/>
      </w:pPr>
      <w:r>
        <w:rPr>
          <w:b/>
        </w:rPr>
        <w:t>QMS software (eQMS)</w:t>
      </w:r>
      <w:r>
        <w:t xml:space="preserve"> — GLP / GMP / GCP documentation, SOPs, deviations, CAPAs, audit records (specific platform not named)</w:t>
      </w:r>
    </w:p>
    <w:p>
      <w:pPr>
        <w:pStyle w:val="ListBullet"/>
      </w:pPr>
      <w:r>
        <w:rPr>
          <w:b/>
        </w:rPr>
        <w:t>EDC / eCRF platform</w:t>
      </w:r>
      <w:r>
        <w:t xml:space="preserve"> — clinical trial data capture and management (required for any running clinical trials; specific platform not named)</w:t>
      </w:r>
    </w:p>
    <w:p>
      <w:pPr>
        <w:pStyle w:val="ListBullet"/>
      </w:pPr>
      <w:r>
        <w:rPr>
          <w:b/>
        </w:rPr>
        <w:t>eTMF (electronic Trial Master File)</w:t>
      </w:r>
      <w:r>
        <w:t xml:space="preserve"> — mandatory for clinical trial documentation and inspection-readiness; required by ICH E6(R3) GCP guidelines (specific platform not named but Audrey Mole's tools list confirms this is needed)</w:t>
      </w:r>
    </w:p>
    <w:p>
      <w:pPr>
        <w:pStyle w:val="ListBullet"/>
      </w:pPr>
      <w:r>
        <w:rPr>
          <w:b/>
        </w:rPr>
        <w:t>LIMS (Laboratory Information Management System)</w:t>
      </w:r>
      <w:r>
        <w:t xml:space="preserve"> — for CMC and preclinical laboratory data management; required for GLP and GMP data integrity (specific system not named; likely at CRO/CMO level)</w:t>
      </w:r>
    </w:p>
    <w:p>
      <w:pPr>
        <w:pStyle w:val="ListBullet"/>
      </w:pPr>
      <w:r>
        <w:rPr>
          <w:b/>
        </w:rPr>
        <w:t>Patent and IP database access</w:t>
      </w:r>
      <w:r>
        <w:t xml:space="preserve"> — Espacenet, Google Patents for FTO monitoring</w:t>
      </w:r>
    </w:p>
    <w:p>
      <w:pPr>
        <w:pStyle w:val="ListBullet"/>
      </w:pPr>
      <w:r>
        <w:rPr>
          <w:b/>
        </w:rPr>
        <w:t>Scientific literature tools</w:t>
      </w:r>
      <w:r>
        <w:t xml:space="preserve"> — PubMed, Embase, bioRxiv for literature surveillance</w:t>
      </w:r>
    </w:p>
    <w:p>
      <w:pPr>
        <w:pStyle w:val="ListBullet"/>
      </w:pPr>
      <w:r>
        <w:rPr>
          <w:b/>
        </w:rPr>
        <w:t>GDPR-compliant data management</w:t>
      </w:r>
      <w:r>
        <w:t xml:space="preserve"> — DPO appointed (dpo@nexbiome.com); data protection policy published on website</w:t>
      </w:r>
    </w:p>
    <w:p>
      <w:pPr>
        <w:spacing w:before="80" w:after="80"/>
        <w:pBdr>
          <w:bottom w:val="single" w:sz="6" w:space="1" w:color="2E74B5"/>
        </w:pBdr>
      </w:pPr>
    </w:p>
    <w:p>
      <w:pPr>
        <w:pStyle w:val="Heading2"/>
      </w:pPr>
      <w:r>
        <w:rPr>
          <w:color w:val="2E74B5"/>
          <w:sz w:val="30"/>
        </w:rPr>
        <w:t>8. Sales System (For BDRs)</w:t>
      </w:r>
    </w:p>
    <w:p>
      <w:pPr>
        <w:pStyle w:val="Heading3"/>
      </w:pPr>
      <w:r>
        <w:rPr>
          <w:color w:val="1F497D"/>
          <w:sz w:val="26"/>
        </w:rPr>
        <w:t>8.1 Lead Sources</w:t>
      </w:r>
    </w:p>
    <w:p>
      <w:r>
        <w:rPr>
          <w:b/>
        </w:rPr>
        <w:t>For project sourcing:</w:t>
      </w:r>
    </w:p>
    <w:p>
      <w:pPr>
        <w:pStyle w:val="ListBullet"/>
      </w:pPr>
      <w:r>
        <w:t>Academic publications (PubMed, bioRxiv) in microbiome and LBP research</w:t>
      </w:r>
    </w:p>
    <w:p>
      <w:pPr>
        <w:pStyle w:val="ListBullet"/>
      </w:pPr>
      <w:r>
        <w:t>Patent databases (Espacenet, Google Patents) — early IP filings reveal innovations before publication</w:t>
      </w:r>
    </w:p>
    <w:p>
      <w:pPr>
        <w:pStyle w:val="ListBullet"/>
      </w:pPr>
      <w:r>
        <w:rPr>
          <w:b/>
        </w:rPr>
        <w:t>University tech transfer offices (TTOs)</w:t>
      </w:r>
      <w:r>
        <w:t xml:space="preserve"> — the primary institutional channel for commercializing academic IP in France and across Europe</w:t>
      </w:r>
    </w:p>
    <w:p>
      <w:pPr>
        <w:pStyle w:val="ListBullet"/>
      </w:pPr>
      <w:r>
        <w:t>Public grant registers (ANR, BpiFrance, EU Horizon) — funded projects signal validated, active science</w:t>
      </w:r>
    </w:p>
    <w:p>
      <w:pPr>
        <w:pStyle w:val="ListBullet"/>
      </w:pPr>
      <w:r>
        <w:t>Scientific conferences and symposia</w:t>
      </w:r>
    </w:p>
    <w:p>
      <w:pPr>
        <w:pStyle w:val="ListBullet"/>
      </w:pPr>
      <w:r>
        <w:t>Direct relationships with research institutes (INSERM, INRAE, CNRS)</w:t>
      </w:r>
    </w:p>
    <w:p>
      <w:pPr>
        <w:pStyle w:val="ListBullet"/>
      </w:pPr>
      <w:r>
        <w:t>Referrals from scientific advisory network</w:t>
      </w:r>
    </w:p>
    <w:p>
      <w:r>
        <w:rPr>
          <w:b/>
        </w:rPr>
        <w:t>For investor sourcing:</w:t>
      </w:r>
    </w:p>
    <w:p>
      <w:pPr>
        <w:pStyle w:val="ListBullet"/>
      </w:pPr>
      <w:r>
        <w:t>Family office investor network (CEO/CFO warm referrals)</w:t>
      </w:r>
    </w:p>
    <w:p>
      <w:pPr>
        <w:pStyle w:val="ListBullet"/>
      </w:pPr>
      <w:r>
        <w:t>Private wealth management networks and placement agents</w:t>
      </w:r>
    </w:p>
    <w:p>
      <w:pPr>
        <w:pStyle w:val="ListBullet"/>
      </w:pPr>
      <w:r>
        <w:t>Biotech investor conferences (e.g., BIO Europe, Biofit)</w:t>
      </w:r>
    </w:p>
    <w:p>
      <w:pPr>
        <w:pStyle w:val="ListBullet"/>
      </w:pPr>
      <w:r>
        <w:t>LinkedIn professional network (CEO and CFO personal profiles)</w:t>
      </w:r>
    </w:p>
    <w:p>
      <w:pPr>
        <w:pStyle w:val="Heading3"/>
      </w:pPr>
      <w:r>
        <w:rPr>
          <w:color w:val="1F497D"/>
          <w:sz w:val="26"/>
        </w:rPr>
        <w:t>8.2 Prospecting Methods</w:t>
      </w:r>
    </w:p>
    <w:p>
      <w:pPr>
        <w:pStyle w:val="ListBullet"/>
      </w:pPr>
      <w:r>
        <w:rPr>
          <w:b/>
        </w:rPr>
        <w:t>TTO cold and warm outreach</w:t>
      </w:r>
      <w:r>
        <w:t xml:space="preserve"> — direct contact with technology transfer officers at French and European universities asking about active microbiome licensing opportunities</w:t>
      </w:r>
    </w:p>
    <w:p>
      <w:pPr>
        <w:pStyle w:val="ListBullet"/>
      </w:pPr>
      <w:r>
        <w:rPr>
          <w:b/>
        </w:rPr>
        <w:t>Grant database mining</w:t>
      </w:r>
      <w:r>
        <w:t xml:space="preserve"> — identifying recently funded microbiome projects and reaching out to principal investigators before competitors do</w:t>
      </w:r>
    </w:p>
    <w:p>
      <w:pPr>
        <w:pStyle w:val="ListBullet"/>
      </w:pPr>
      <w:r>
        <w:t>Patent filing surveillance — setting up alerts on Espacenet for new LBP / microbiome patent filings</w:t>
      </w:r>
    </w:p>
    <w:p>
      <w:pPr>
        <w:pStyle w:val="ListBullet"/>
      </w:pPr>
      <w:r>
        <w:t>Family office network engagement through CEO and CFO (relationship-led, not mass outreach)</w:t>
      </w:r>
    </w:p>
    <w:p>
      <w:pPr>
        <w:pStyle w:val="ListBullet"/>
      </w:pPr>
      <w:r>
        <w:t>Conference attendance and in-person relationship-building</w:t>
      </w:r>
    </w:p>
    <w:p>
      <w:pPr>
        <w:pStyle w:val="ListBullet"/>
      </w:pPr>
      <w:r>
        <w:t>LinkedIn profile-based discovery and connection requests from CEO / CFO</w:t>
      </w:r>
    </w:p>
    <w:p>
      <w:pPr>
        <w:pStyle w:val="Heading3"/>
      </w:pPr>
      <w:r>
        <w:rPr>
          <w:color w:val="1F497D"/>
          <w:sz w:val="26"/>
        </w:rPr>
        <w:t>8.3 Outreach Channels</w:t>
      </w:r>
    </w:p>
    <w:p>
      <w:pPr>
        <w:pStyle w:val="ListBullet"/>
      </w:pPr>
      <w:r>
        <w:t>Email (primary)</w:t>
      </w:r>
    </w:p>
    <w:p>
      <w:pPr>
        <w:pStyle w:val="ListBullet"/>
      </w:pPr>
      <w:r>
        <w:t>Phone</w:t>
      </w:r>
    </w:p>
    <w:p>
      <w:pPr>
        <w:pStyle w:val="ListBullet"/>
      </w:pPr>
      <w:r>
        <w:t>LinkedIn</w:t>
      </w:r>
    </w:p>
    <w:p>
      <w:pPr>
        <w:pStyle w:val="ListBullet"/>
      </w:pPr>
      <w:r>
        <w:t>In-person at industry conferences</w:t>
      </w:r>
    </w:p>
    <w:p>
      <w:pPr>
        <w:pStyle w:val="Heading3"/>
      </w:pPr>
      <w:r>
        <w:rPr>
          <w:color w:val="1F497D"/>
          <w:sz w:val="26"/>
        </w:rPr>
        <w:t>8.4 Sales Messaging</w:t>
      </w:r>
    </w:p>
    <w:p>
      <w:r>
        <w:rPr>
          <w:b/>
        </w:rPr>
        <w:t>For investors:</w:t>
      </w:r>
    </w:p>
    <w:p>
      <w:pPr>
        <w:pStyle w:val="ListBullet"/>
      </w:pPr>
      <w:r>
        <w:t>"We are the first private incubator dedicated to microbiome biotech."</w:t>
      </w:r>
    </w:p>
    <w:p>
      <w:pPr>
        <w:pStyle w:val="ListBullet"/>
      </w:pPr>
      <w:r>
        <w:t>"Long-term, family-office-style value creation in a high-impact therapeutic area."</w:t>
      </w:r>
    </w:p>
    <w:p>
      <w:pPr>
        <w:pStyle w:val="ListBullet"/>
      </w:pPr>
      <w:r>
        <w:t>"Founded with €23M; four high-potential projects selected from ten initial investments."</w:t>
      </w:r>
    </w:p>
    <w:p>
      <w:pPr>
        <w:pStyle w:val="ListBullet"/>
      </w:pPr>
      <w:r>
        <w:t>"Team with 25+ years of pharma expertise and a track record of building global leaders."</w:t>
      </w:r>
    </w:p>
    <w:p>
      <w:r>
        <w:rPr>
          <w:b/>
        </w:rPr>
        <w:t>For academic / biotech partners:</w:t>
      </w:r>
    </w:p>
    <w:p>
      <w:pPr>
        <w:pStyle w:val="ListBullet"/>
      </w:pPr>
      <w:r>
        <w:t>"We translate your science into real drugs for patients."</w:t>
      </w:r>
    </w:p>
    <w:p>
      <w:pPr>
        <w:pStyle w:val="ListBullet"/>
      </w:pPr>
      <w:r>
        <w:t>"We bring full-stack pharmaceutical expertise and long-term funding."</w:t>
      </w:r>
    </w:p>
    <w:p>
      <w:pPr>
        <w:pStyle w:val="ListBullet"/>
      </w:pPr>
      <w:r>
        <w:t>"We have a 70+ year heritage in microbiome science and the first microbiome-derived drug in history."</w:t>
      </w:r>
    </w:p>
    <w:p>
      <w:pPr>
        <w:pStyle w:val="Heading3"/>
      </w:pPr>
      <w:r>
        <w:rPr>
          <w:color w:val="1F497D"/>
          <w:sz w:val="26"/>
        </w:rPr>
        <w:t>8.5 Sales Pipeline Stages</w:t>
      </w:r>
    </w:p>
    <w:p>
      <w:r>
        <w:rPr>
          <w:b/>
        </w:rPr>
        <w:t>Project / Partner Pipeline:</w:t>
      </w:r>
    </w:p>
    <w:p>
      <w:pPr>
        <w:pStyle w:val="ListNumber"/>
      </w:pPr>
      <w:r>
        <w:t>Project identified (publication, TTO, conference, referral)</w:t>
      </w:r>
    </w:p>
    <w:p>
      <w:pPr>
        <w:pStyle w:val="ListNumber"/>
      </w:pPr>
      <w:r>
        <w:t>Preliminary screening (internal scientific review)</w:t>
      </w:r>
    </w:p>
    <w:p>
      <w:pPr>
        <w:pStyle w:val="ListNumber"/>
      </w:pPr>
      <w:r>
        <w:rPr>
          <w:b/>
        </w:rPr>
        <w:t>Mutual NDA signed</w:t>
      </w:r>
    </w:p>
    <w:p>
      <w:pPr>
        <w:pStyle w:val="ListNumber"/>
      </w:pPr>
      <w:r>
        <w:t>Full due diligence (scientific, IP/FTO, regulatory pathway, commercial)</w:t>
      </w:r>
    </w:p>
    <w:p>
      <w:pPr>
        <w:pStyle w:val="ListNumber"/>
      </w:pPr>
      <w:r>
        <w:t>Go / no-go evaluation decision</w:t>
      </w:r>
    </w:p>
    <w:p>
      <w:pPr>
        <w:pStyle w:val="ListNumber"/>
      </w:pPr>
      <w:r>
        <w:t>Term sheet / licensing deal discussion</w:t>
      </w:r>
    </w:p>
    <w:p>
      <w:pPr>
        <w:pStyle w:val="ListNumber"/>
      </w:pPr>
      <w:r>
        <w:t>Legal agreement signed</w:t>
      </w:r>
    </w:p>
    <w:p>
      <w:pPr>
        <w:pStyle w:val="ListNumber"/>
      </w:pPr>
      <w:r>
        <w:t>Onboarding (development plan, PM assigned, milestones set)</w:t>
      </w:r>
    </w:p>
    <w:p>
      <w:r>
        <w:rPr>
          <w:b/>
        </w:rPr>
        <w:t>Investor Pipeline:</w:t>
      </w:r>
    </w:p>
    <w:p>
      <w:pPr>
        <w:pStyle w:val="ListNumber"/>
      </w:pPr>
      <w:r>
        <w:t>Family office identified through network</w:t>
      </w:r>
    </w:p>
    <w:p>
      <w:pPr>
        <w:pStyle w:val="ListNumber"/>
      </w:pPr>
      <w:r>
        <w:t>Initial meeting (investment philosophy alignment)</w:t>
      </w:r>
    </w:p>
    <w:p>
      <w:pPr>
        <w:pStyle w:val="ListNumber"/>
      </w:pPr>
      <w:r>
        <w:rPr>
          <w:b/>
        </w:rPr>
        <w:t>NDA signed</w:t>
      </w:r>
    </w:p>
    <w:p>
      <w:pPr>
        <w:pStyle w:val="ListNumber"/>
      </w:pPr>
      <w:r>
        <w:t>Portfolio presentation via VDR</w:t>
      </w:r>
    </w:p>
    <w:p>
      <w:pPr>
        <w:pStyle w:val="ListNumber"/>
      </w:pPr>
      <w:r>
        <w:t>Investor due diligence period</w:t>
      </w:r>
    </w:p>
    <w:p>
      <w:pPr>
        <w:pStyle w:val="ListNumber"/>
      </w:pPr>
      <w:r>
        <w:t>Term sheet negotiated</w:t>
      </w:r>
    </w:p>
    <w:p>
      <w:pPr>
        <w:pStyle w:val="ListNumber"/>
      </w:pPr>
      <w:r>
        <w:t>Legal documentation signed</w:t>
      </w:r>
    </w:p>
    <w:p>
      <w:pPr>
        <w:pStyle w:val="ListNumber"/>
      </w:pPr>
      <w:r>
        <w:t>Capital deployed; investor onboarded to reporting cadence</w:t>
      </w:r>
    </w:p>
    <w:p>
      <w:pPr>
        <w:pStyle w:val="Heading3"/>
      </w:pPr>
      <w:r>
        <w:rPr>
          <w:color w:val="1F497D"/>
          <w:sz w:val="26"/>
        </w:rPr>
        <w:t>8.6 Demo Process</w:t>
      </w:r>
    </w:p>
    <w:p>
      <w:r>
        <w:rPr>
          <w:b/>
        </w:rPr>
        <w:t>For investors:</w:t>
      </w:r>
      <w:r>
        <w:t xml:space="preserve"> A structured portfolio presentation delivered in-person or via secure video, covering:</w:t>
      </w:r>
    </w:p>
    <w:p>
      <w:pPr>
        <w:pStyle w:val="ListBullet"/>
      </w:pPr>
      <w:r>
        <w:t>Portfolio overview: four active projects, therapeutic areas, development stage of each</w:t>
      </w:r>
    </w:p>
    <w:p>
      <w:pPr>
        <w:pStyle w:val="ListBullet"/>
      </w:pPr>
      <w:r>
        <w:t>Preclinical data summaries (where available) showing proof-of-concept</w:t>
      </w:r>
    </w:p>
    <w:p>
      <w:pPr>
        <w:pStyle w:val="ListBullet"/>
      </w:pPr>
      <w:r>
        <w:t>Regulatory strategy per project and milestone timeline</w:t>
      </w:r>
    </w:p>
    <w:p>
      <w:pPr>
        <w:pStyle w:val="ListBullet"/>
      </w:pPr>
      <w:r>
        <w:t>Risk-adjusted value creation model and comparable exit transactions in the microbiome space</w:t>
      </w:r>
    </w:p>
    <w:p>
      <w:pPr>
        <w:pStyle w:val="ListBullet"/>
      </w:pPr>
      <w:r>
        <w:t>Team track record (CEO’s biose growth story; CMO’s drug development portfolio)</w:t>
      </w:r>
    </w:p>
    <w:p>
      <w:pPr>
        <w:pStyle w:val="ListBullet"/>
      </w:pPr>
      <w:r>
        <w:t>Financial ask, proposed equity structure, and expected return profile</w:t>
      </w:r>
    </w:p>
    <w:p>
      <w:pPr>
        <w:pStyle w:val="ListBullet"/>
      </w:pPr>
      <w:r>
        <w:t>Virtual Data Room (VDR) access granted post-NDA for independent review of underlying data</w:t>
      </w:r>
    </w:p>
    <w:p>
      <w:r>
        <w:rPr>
          <w:b/>
        </w:rPr>
        <w:t>For academic / biotech partners:</w:t>
      </w:r>
      <w:r>
        <w:t xml:space="preserve"> A development capability presentation showing:</w:t>
      </w:r>
    </w:p>
    <w:p>
      <w:pPr>
        <w:pStyle w:val="ListBullet"/>
      </w:pPr>
      <w:r>
        <w:t>NexBiome’s in-house team and the 10 → 4 selection process as proof of rigor</w:t>
      </w:r>
    </w:p>
    <w:p>
      <w:pPr>
        <w:pStyle w:val="ListBullet"/>
      </w:pPr>
      <w:r>
        <w:t>Case examples of how NexBiome builds development roadmaps</w:t>
      </w:r>
    </w:p>
    <w:p>
      <w:pPr>
        <w:pStyle w:val="ListBullet"/>
      </w:pPr>
      <w:r>
        <w:t>Heritage and scientific credibility (Lyocentre, Antibiophílus®, team publication record)</w:t>
      </w:r>
    </w:p>
    <w:p>
      <w:pPr>
        <w:pStyle w:val="Heading3"/>
      </w:pPr>
      <w:r>
        <w:rPr>
          <w:color w:val="1F497D"/>
          <w:sz w:val="26"/>
        </w:rPr>
        <w:t>8.7 Closing Process</w:t>
      </w:r>
    </w:p>
    <w:p>
      <w:r>
        <w:rPr>
          <w:b/>
        </w:rPr>
        <w:t>For project deals:</w:t>
      </w:r>
    </w:p>
    <w:p>
      <w:pPr>
        <w:pStyle w:val="ListNumber"/>
      </w:pPr>
      <w:r>
        <w:t>Finalize licensing or equity term sheet</w:t>
      </w:r>
    </w:p>
    <w:p>
      <w:pPr>
        <w:pStyle w:val="ListNumber"/>
      </w:pPr>
      <w:r>
        <w:t>IP / FTO analysis confirmed as clean</w:t>
      </w:r>
    </w:p>
    <w:p>
      <w:pPr>
        <w:pStyle w:val="ListNumber"/>
      </w:pPr>
      <w:r>
        <w:t>External legal counsel engaged (pharma licensing specialist)</w:t>
      </w:r>
    </w:p>
    <w:p>
      <w:pPr>
        <w:pStyle w:val="ListNumber"/>
      </w:pPr>
      <w:r>
        <w:t>License or equity agreement executed (exclusivity, territory, field-of-use, milestone payments defined)</w:t>
      </w:r>
    </w:p>
    <w:p>
      <w:pPr>
        <w:pStyle w:val="ListNumber"/>
      </w:pPr>
      <w:r>
        <w:t>Internal team briefed at project kickoff meeting</w:t>
      </w:r>
    </w:p>
    <w:p>
      <w:pPr>
        <w:pStyle w:val="ListNumber"/>
      </w:pPr>
      <w:r>
        <w:t>Project Manager assigned; development plan initiated</w:t>
      </w:r>
    </w:p>
    <w:p>
      <w:r>
        <w:rPr>
          <w:b/>
        </w:rPr>
        <w:t>For investor deals:</w:t>
      </w:r>
    </w:p>
    <w:p>
      <w:pPr>
        <w:pStyle w:val="ListNumber"/>
      </w:pPr>
      <w:r>
        <w:t>Term sheet agreed</w:t>
      </w:r>
    </w:p>
    <w:p>
      <w:pPr>
        <w:pStyle w:val="ListNumber"/>
      </w:pPr>
      <w:r>
        <w:t>Investor legal counsel reviews documentation</w:t>
      </w:r>
    </w:p>
    <w:p>
      <w:pPr>
        <w:pStyle w:val="ListNumber"/>
      </w:pPr>
      <w:r>
        <w:t>Subscription or shareholders’ agreement executed</w:t>
      </w:r>
    </w:p>
    <w:p>
      <w:pPr>
        <w:pStyle w:val="ListNumber"/>
      </w:pPr>
      <w:r>
        <w:t>Capital call issued per agreed schedule</w:t>
      </w:r>
    </w:p>
    <w:p>
      <w:pPr>
        <w:pStyle w:val="ListNumber"/>
      </w:pPr>
      <w:r>
        <w:t>Investor added to quarterly reporting cadence</w:t>
      </w:r>
    </w:p>
    <w:p>
      <w:pPr>
        <w:pStyle w:val="ListNumber"/>
      </w:pPr>
      <w:r>
        <w:t>Board or observer rights activated per governance agreement</w:t>
      </w:r>
    </w:p>
    <w:p>
      <w:pPr>
        <w:spacing w:before="80" w:after="80"/>
        <w:pBdr>
          <w:bottom w:val="single" w:sz="6" w:space="1" w:color="2E74B5"/>
        </w:pBdr>
      </w:pPr>
    </w:p>
    <w:p>
      <w:pPr>
        <w:pStyle w:val="Heading2"/>
      </w:pPr>
      <w:r>
        <w:rPr>
          <w:color w:val="2E74B5"/>
          <w:sz w:val="30"/>
        </w:rPr>
        <w:t>9. Marketing System</w:t>
      </w:r>
    </w:p>
    <w:p>
      <w:pPr>
        <w:pStyle w:val="Heading3"/>
      </w:pPr>
      <w:r>
        <w:rPr>
          <w:color w:val="1F497D"/>
          <w:sz w:val="26"/>
        </w:rPr>
        <w:t>9.1 Marketing Channels</w:t>
      </w:r>
    </w:p>
    <w:p>
      <w:pPr>
        <w:pStyle w:val="ListBullet"/>
      </w:pPr>
      <w:r>
        <w:rPr>
          <w:b/>
        </w:rPr>
        <w:t>Corporate website (nexbiome.com)</w:t>
      </w:r>
      <w:r>
        <w:t xml:space="preserve"> — primary digital presence; pipeline, team, history, contact</w:t>
      </w:r>
    </w:p>
    <w:p>
      <w:pPr>
        <w:pStyle w:val="ListBullet"/>
      </w:pPr>
      <w:r>
        <w:rPr>
          <w:b/>
        </w:rPr>
        <w:t>LinkedIn company page</w:t>
      </w:r>
      <w:r>
        <w:t xml:space="preserve"> (~1,975 followers) — professional audience of investors, scientists, pharma professionals</w:t>
      </w:r>
    </w:p>
    <w:p>
      <w:pPr>
        <w:pStyle w:val="ListBullet"/>
      </w:pPr>
      <w:r>
        <w:rPr>
          <w:b/>
        </w:rPr>
        <w:t>Scientific publications</w:t>
      </w:r>
      <w:r>
        <w:t xml:space="preserve"> — team members have 20+ peer-reviewed publications; these build credibility with pharma partners, academic collaborators, and sophisticated investors</w:t>
      </w:r>
    </w:p>
    <w:p>
      <w:pPr>
        <w:pStyle w:val="ListBullet"/>
      </w:pPr>
      <w:r>
        <w:rPr>
          <w:b/>
        </w:rPr>
        <w:t>Industry conferences</w:t>
      </w:r>
      <w:r>
        <w:t xml:space="preserve"> — scientific and biotech investor events (BIO Europe, Biofit, microbiome-specific symposia)</w:t>
      </w:r>
    </w:p>
    <w:p>
      <w:pPr>
        <w:pStyle w:val="ListBullet"/>
      </w:pPr>
      <w:r>
        <w:rPr>
          <w:b/>
        </w:rPr>
        <w:t>Word of mouth</w:t>
      </w:r>
      <w:r>
        <w:t xml:space="preserve"> within pharma / biotech investor circles — significant given the CEO's established network from biose</w:t>
      </w:r>
    </w:p>
    <w:p>
      <w:pPr>
        <w:pStyle w:val="ListBullet"/>
      </w:pPr>
      <w:r>
        <w:rPr>
          <w:b/>
        </w:rPr>
        <w:t>Milestone press releases</w:t>
      </w:r>
      <w:r>
        <w:t xml:space="preserve"> — standard in biotech for announcing IND clearances, trial initiations, and partnership deals (not confirmed as active but expected at this stage)</w:t>
      </w:r>
    </w:p>
    <w:p>
      <w:pPr>
        <w:pStyle w:val="Heading3"/>
      </w:pPr>
      <w:r>
        <w:rPr>
          <w:color w:val="1F497D"/>
          <w:sz w:val="26"/>
        </w:rPr>
        <w:t>9.2 Content Strategy</w:t>
      </w:r>
    </w:p>
    <w:p>
      <w:pPr>
        <w:pStyle w:val="ListBullet"/>
      </w:pPr>
      <w:r>
        <w:t>Website communicates mission, pipeline summary, team profiles, company heritage, and contact information</w:t>
      </w:r>
    </w:p>
    <w:p>
      <w:pPr>
        <w:pStyle w:val="ListBullet"/>
      </w:pPr>
      <w:r>
        <w:t xml:space="preserve">The </w:t>
      </w:r>
      <w:r>
        <w:rPr>
          <w:b/>
        </w:rPr>
        <w:t>Pipeline page</w:t>
      </w:r>
      <w:r>
        <w:t xml:space="preserve"> (listed in site navigation) is a key investor-facing asset — content not captured in source data but likely summarizes project stages and therapeutic areas</w:t>
      </w:r>
    </w:p>
    <w:p>
      <w:pPr>
        <w:pStyle w:val="ListBullet"/>
      </w:pPr>
      <w:r>
        <w:t>LinkedIn used for professional updates, team announcements, and scientific milestones</w:t>
      </w:r>
    </w:p>
    <w:p>
      <w:pPr>
        <w:pStyle w:val="ListBullet"/>
      </w:pPr>
      <w:r>
        <w:t>Pierre Boccon (Office Manager) manages digital content creation and publication</w:t>
      </w:r>
    </w:p>
    <w:p>
      <w:pPr>
        <w:pStyle w:val="ListBullet"/>
      </w:pPr>
      <w:r>
        <w:rPr>
          <w:b/>
        </w:rPr>
        <w:t>Regulatory content constraint:</w:t>
      </w:r>
      <w:r>
        <w:t xml:space="preserve"> All public content about pipeline projects must avoid making clinical or efficacy claims about drugs in development (EU and French advertising rules for medicinal products). Content is kept at the strategy/company level, not product claim level.</w:t>
      </w:r>
    </w:p>
    <w:p>
      <w:pPr>
        <w:pStyle w:val="Heading3"/>
      </w:pPr>
      <w:r>
        <w:rPr>
          <w:color w:val="1F497D"/>
          <w:sz w:val="26"/>
        </w:rPr>
        <w:t>9.3 Advertising Strategy</w:t>
      </w:r>
    </w:p>
    <w:p>
      <w:r>
        <w:t>No paid advertising. The business model is relationship-driven and B2B. Traditional advertising is not appropriate for a regulated drug development company seeking institutional investors. The company relies entirely on direct outreach, conference presence, scientific credibility, and word of mouth.</w:t>
      </w:r>
    </w:p>
    <w:p>
      <w:pPr>
        <w:pStyle w:val="Heading3"/>
      </w:pPr>
      <w:r>
        <w:rPr>
          <w:color w:val="1F497D"/>
          <w:sz w:val="26"/>
        </w:rPr>
        <w:t>9.4 SEO Strategy</w:t>
      </w:r>
    </w:p>
    <w:p>
      <w:r>
        <w:t>Website uses standard metadata; Google Analytics is active. No specific SEO strategy is publicly documented.</w:t>
      </w:r>
    </w:p>
    <w:p>
      <w:pPr>
        <w:pStyle w:val="Heading3"/>
      </w:pPr>
      <w:r>
        <w:rPr>
          <w:color w:val="1F497D"/>
          <w:sz w:val="26"/>
        </w:rPr>
        <w:t>9.5 Social Media Strategy</w:t>
      </w:r>
    </w:p>
    <w:p>
      <w:pPr>
        <w:pStyle w:val="ListBullet"/>
      </w:pPr>
      <w:r>
        <w:t>LinkedIn is the primary and likely only active platform (~1,975 followers)</w:t>
      </w:r>
    </w:p>
    <w:p>
      <w:pPr>
        <w:pStyle w:val="ListBullet"/>
      </w:pPr>
      <w:r>
        <w:t>Content covers pipeline updates, team news, scientific milestones, and heritage storytelling</w:t>
      </w:r>
    </w:p>
    <w:p>
      <w:pPr>
        <w:pStyle w:val="ListBullet"/>
      </w:pPr>
      <w:r>
        <w:t>Audience is niche: investors, scientists, pharma professionals, academic collaborators</w:t>
      </w:r>
    </w:p>
    <w:p>
      <w:pPr>
        <w:pStyle w:val="ListBullet"/>
      </w:pPr>
      <w:r>
        <w:t>Content publishing cadence is not publicly specified; likely low-frequency (monthly or event-driven) given no dedicated marketing team</w:t>
      </w:r>
    </w:p>
    <w:p>
      <w:pPr>
        <w:pStyle w:val="ListBullet"/>
      </w:pPr>
      <w:r>
        <w:t>No evidence of presence on X/Twitter, Instagram, or other platforms — consistent with the B2B institutional focus</w:t>
      </w:r>
    </w:p>
    <w:p>
      <w:pPr>
        <w:spacing w:before="80" w:after="80"/>
        <w:pBdr>
          <w:bottom w:val="single" w:sz="6" w:space="1" w:color="2E74B5"/>
        </w:pBdr>
      </w:pPr>
    </w:p>
    <w:p>
      <w:pPr>
        <w:pStyle w:val="Heading2"/>
      </w:pPr>
      <w:r>
        <w:rPr>
          <w:color w:val="2E74B5"/>
          <w:sz w:val="30"/>
        </w:rPr>
        <w:t>10. Delivery System</w:t>
      </w:r>
    </w:p>
    <w:p>
      <w:pPr>
        <w:pStyle w:val="Heading3"/>
      </w:pPr>
      <w:r>
        <w:rPr>
          <w:color w:val="1F497D"/>
          <w:sz w:val="26"/>
        </w:rPr>
        <w:t>10.1 Project Kickoff</w:t>
      </w:r>
    </w:p>
    <w:p>
      <w:pPr>
        <w:pStyle w:val="ListNumber"/>
      </w:pPr>
      <w:r>
        <w:t>Licensing or equity agreement executed</w:t>
      </w:r>
    </w:p>
    <w:p>
      <w:pPr>
        <w:pStyle w:val="ListNumber"/>
      </w:pPr>
      <w:r>
        <w:rPr>
          <w:b/>
        </w:rPr>
        <w:t>IP / FTO analysis finalized</w:t>
      </w:r>
      <w:r>
        <w:t xml:space="preserve"> — confirm freedom to develop without infringing third-party patents</w:t>
      </w:r>
    </w:p>
    <w:p>
      <w:pPr>
        <w:pStyle w:val="ListNumber"/>
      </w:pPr>
      <w:r>
        <w:rPr>
          <w:b/>
        </w:rPr>
        <w:t>Initial risk assessment</w:t>
      </w:r>
      <w:r>
        <w:t xml:space="preserve"> — identify the top 3–5 development risks (e.g., manufacturing scale-up, safety signal likelihood, regulatory pathway uncertainty) and define mitigation plans</w:t>
      </w:r>
    </w:p>
    <w:p>
      <w:pPr>
        <w:pStyle w:val="ListNumber"/>
      </w:pPr>
      <w:r>
        <w:t>Internal project kickoff meeting with all functional heads (CEO, CMO, COO, Pharma Dev Head, Clinical Head, CFO, relevant PMs)</w:t>
      </w:r>
    </w:p>
    <w:p>
      <w:pPr>
        <w:pStyle w:val="ListNumber"/>
      </w:pPr>
      <w:r>
        <w:t>Project Manager formally assigned to own cross-functional coordination</w:t>
      </w:r>
    </w:p>
    <w:p>
      <w:pPr>
        <w:pStyle w:val="ListNumber"/>
      </w:pPr>
      <w:r>
        <w:t>Parallel development plan created simultaneously across all tracks (regulatory strategy, CMC plan, preclinical program, clinical protocol outline)</w:t>
      </w:r>
    </w:p>
    <w:p>
      <w:pPr>
        <w:pStyle w:val="ListNumber"/>
      </w:pPr>
      <w:r>
        <w:t>Milestone schedule and go/no-go gate criteria defined and documented</w:t>
      </w:r>
    </w:p>
    <w:p>
      <w:pPr>
        <w:pStyle w:val="ListNumber"/>
      </w:pPr>
      <w:r>
        <w:t>CRO / CMO partner shortlist prepared; qualification audits planned</w:t>
      </w:r>
    </w:p>
    <w:p>
      <w:pPr>
        <w:pStyle w:val="Heading3"/>
      </w:pPr>
      <w:r>
        <w:rPr>
          <w:color w:val="1F497D"/>
          <w:sz w:val="26"/>
        </w:rPr>
        <w:t>10.2 Task Allocation</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r>
              <w:rPr>
                <w:b/>
                <w:color w:val="FFFFFF"/>
              </w:rPr>
            </w:r>
            <w:r>
              <w:rPr>
                <w:b/>
                <w:color w:val="FFFFFF"/>
              </w:rPr>
              <w:t>Function</w:t>
            </w:r>
          </w:p>
        </w:tc>
        <w:tc>
          <w:tcPr>
            <w:tcW w:type="dxa" w:w="4392"/>
            <w:shd w:val="clear" w:color="auto" w:fill="2E74B5"/>
          </w:tcPr>
          <w:p>
            <w:r>
              <w:rPr>
                <w:b/>
                <w:color w:val="FFFFFF"/>
              </w:rPr>
            </w:r>
            <w:r>
              <w:rPr>
                <w:b/>
                <w:color w:val="FFFFFF"/>
              </w:rPr>
              <w:t>Owner</w:t>
            </w:r>
          </w:p>
        </w:tc>
      </w:tr>
      <w:tr>
        <w:tc>
          <w:tcPr>
            <w:tcW w:type="dxa" w:w="4392"/>
          </w:tcPr>
          <w:p>
            <w:r/>
            <w:r>
              <w:t>Pharmaceutical Development (CMC)</w:t>
            </w:r>
          </w:p>
        </w:tc>
        <w:tc>
          <w:tcPr>
            <w:tcW w:type="dxa" w:w="4392"/>
          </w:tcPr>
          <w:p>
            <w:r/>
            <w:r>
              <w:t>Claudia Thoral</w:t>
            </w:r>
          </w:p>
        </w:tc>
      </w:tr>
      <w:tr>
        <w:tc>
          <w:tcPr>
            <w:tcW w:type="dxa" w:w="4392"/>
          </w:tcPr>
          <w:p>
            <w:r/>
            <w:r>
              <w:t>CMC Execution</w:t>
            </w:r>
          </w:p>
        </w:tc>
        <w:tc>
          <w:tcPr>
            <w:tcW w:type="dxa" w:w="4392"/>
          </w:tcPr>
          <w:p>
            <w:r/>
            <w:r>
              <w:t>Amandine Dousse</w:t>
            </w:r>
          </w:p>
        </w:tc>
      </w:tr>
      <w:tr>
        <w:tc>
          <w:tcPr>
            <w:tcW w:type="dxa" w:w="4392"/>
          </w:tcPr>
          <w:p>
            <w:r/>
            <w:r>
              <w:t>Preclinical Programs</w:t>
            </w:r>
          </w:p>
        </w:tc>
        <w:tc>
          <w:tcPr>
            <w:tcW w:type="dxa" w:w="4392"/>
          </w:tcPr>
          <w:p>
            <w:r/>
            <w:r>
              <w:t>Véronique Trochon-Joseph</w:t>
            </w:r>
          </w:p>
        </w:tc>
      </w:tr>
      <w:tr>
        <w:tc>
          <w:tcPr>
            <w:tcW w:type="dxa" w:w="4392"/>
          </w:tcPr>
          <w:p>
            <w:r/>
            <w:r>
              <w:t>R&amp;D / Early Science</w:t>
            </w:r>
          </w:p>
        </w:tc>
        <w:tc>
          <w:tcPr>
            <w:tcW w:type="dxa" w:w="4392"/>
          </w:tcPr>
          <w:p>
            <w:r/>
            <w:r>
              <w:t>Maria Ibarlucea-Jerez</w:t>
            </w:r>
          </w:p>
        </w:tc>
      </w:tr>
      <w:tr>
        <w:tc>
          <w:tcPr>
            <w:tcW w:type="dxa" w:w="4392"/>
          </w:tcPr>
          <w:p>
            <w:r/>
            <w:r>
              <w:t>Clinical Development</w:t>
            </w:r>
          </w:p>
        </w:tc>
        <w:tc>
          <w:tcPr>
            <w:tcW w:type="dxa" w:w="4392"/>
          </w:tcPr>
          <w:p>
            <w:r/>
            <w:r>
              <w:t>Audrey Mole</w:t>
            </w:r>
          </w:p>
        </w:tc>
      </w:tr>
      <w:tr>
        <w:tc>
          <w:tcPr>
            <w:tcW w:type="dxa" w:w="4392"/>
          </w:tcPr>
          <w:p>
            <w:r/>
            <w:r>
              <w:t>Regulatory Affairs / QA</w:t>
            </w:r>
          </w:p>
        </w:tc>
        <w:tc>
          <w:tcPr>
            <w:tcW w:type="dxa" w:w="4392"/>
          </w:tcPr>
          <w:p>
            <w:r/>
            <w:r>
              <w:t>Cyrille Jeune + Caroline Blaison</w:t>
            </w:r>
          </w:p>
        </w:tc>
      </w:tr>
      <w:tr>
        <w:tc>
          <w:tcPr>
            <w:tcW w:type="dxa" w:w="4392"/>
          </w:tcPr>
          <w:p>
            <w:r/>
            <w:r>
              <w:t>Medical Affairs</w:t>
            </w:r>
          </w:p>
        </w:tc>
        <w:tc>
          <w:tcPr>
            <w:tcW w:type="dxa" w:w="4392"/>
          </w:tcPr>
          <w:p>
            <w:r/>
            <w:r>
              <w:t>David Liens</w:t>
            </w:r>
          </w:p>
        </w:tc>
      </w:tr>
      <w:tr>
        <w:tc>
          <w:tcPr>
            <w:tcW w:type="dxa" w:w="4392"/>
          </w:tcPr>
          <w:p>
            <w:r/>
            <w:r>
              <w:t>Finance</w:t>
            </w:r>
          </w:p>
        </w:tc>
        <w:tc>
          <w:tcPr>
            <w:tcW w:type="dxa" w:w="4392"/>
          </w:tcPr>
          <w:p>
            <w:r/>
            <w:r>
              <w:t>Laurent Carrio</w:t>
            </w:r>
          </w:p>
        </w:tc>
      </w:tr>
      <w:tr>
        <w:tc>
          <w:tcPr>
            <w:tcW w:type="dxa" w:w="4392"/>
          </w:tcPr>
          <w:p>
            <w:r/>
            <w:r>
              <w:t>Admin / Coordination</w:t>
            </w:r>
          </w:p>
        </w:tc>
        <w:tc>
          <w:tcPr>
            <w:tcW w:type="dxa" w:w="4392"/>
          </w:tcPr>
          <w:p>
            <w:r/>
            <w:r>
              <w:t>Pierre Boccon</w:t>
            </w:r>
          </w:p>
        </w:tc>
      </w:tr>
    </w:tbl>
    <w:p/>
    <w:p>
      <w:pPr>
        <w:pStyle w:val="Heading3"/>
      </w:pPr>
      <w:r>
        <w:rPr>
          <w:color w:val="1F497D"/>
          <w:sz w:val="26"/>
        </w:rPr>
        <w:t>10.3 Work Execution</w:t>
      </w:r>
    </w:p>
    <w:p>
      <w:pPr>
        <w:pStyle w:val="ListBullet"/>
      </w:pPr>
      <w:r>
        <w:t>In-house team owns strategy, scientific direction, study design, and regulatory oversight</w:t>
      </w:r>
    </w:p>
    <w:p>
      <w:pPr>
        <w:pStyle w:val="ListBullet"/>
      </w:pPr>
      <w:r>
        <w:t>External CROs and CMOs execute specific lab work, manufacturing batches, and clinical site operations</w:t>
      </w:r>
    </w:p>
    <w:p>
      <w:pPr>
        <w:pStyle w:val="ListBullet"/>
      </w:pPr>
      <w:r>
        <w:rPr>
          <w:b/>
        </w:rPr>
        <w:t>CRO qualification process:</w:t>
      </w:r>
      <w:r>
        <w:t xml:space="preserve"> Before placing any GxP-critical study, the QA Representative (Caroline Blaison) must audit the CRO/CMO for GLP/GMP/GCP compliance. An unqualified vendor cannot receive a study order.</w:t>
      </w:r>
    </w:p>
    <w:p>
      <w:pPr>
        <w:pStyle w:val="ListBullet"/>
      </w:pPr>
      <w:r>
        <w:rPr>
          <w:b/>
        </w:rPr>
        <w:t>Study protocol approval:</w:t>
      </w:r>
      <w:r>
        <w:t xml:space="preserve"> Every preclinical or clinical study must have a written, approved protocol before execution begins. The relevant PM and functional head sign off; QA reviews for GxP compliance.</w:t>
      </w:r>
    </w:p>
    <w:p>
      <w:pPr>
        <w:pStyle w:val="ListBullet"/>
      </w:pPr>
      <w:r>
        <w:rPr>
          <w:b/>
        </w:rPr>
        <w:t>Work package scoping:</w:t>
      </w:r>
      <w:r>
        <w:t xml:space="preserve"> Each CRO assignment is defined by a written Statement of Work (SOW) covering scope, timeline, deliverables, and quality requirements</w:t>
      </w:r>
    </w:p>
    <w:p>
      <w:pPr>
        <w:pStyle w:val="ListBullet"/>
      </w:pPr>
      <w:r>
        <w:t>Weekly cross-functional project meetings (per project) track progress against milestone plans</w:t>
      </w:r>
    </w:p>
    <w:p>
      <w:pPr>
        <w:pStyle w:val="ListBullet"/>
      </w:pPr>
      <w:r>
        <w:t>CRO deliverable reviews: each completed study report is reviewed by the in-house PM and functional head before being accepted</w:t>
      </w:r>
    </w:p>
    <w:p>
      <w:pPr>
        <w:pStyle w:val="Heading3"/>
      </w:pPr>
      <w:r>
        <w:rPr>
          <w:color w:val="1F497D"/>
          <w:sz w:val="26"/>
        </w:rPr>
        <w:t>10.4 Quality Control</w:t>
      </w:r>
    </w:p>
    <w:p>
      <w:pPr>
        <w:pStyle w:val="ListBullet"/>
      </w:pPr>
      <w:r>
        <w:rPr>
          <w:b/>
        </w:rPr>
        <w:t>QMS oversight:</w:t>
      </w:r>
      <w:r>
        <w:t xml:space="preserve"> Caroline Blaison (via PharMarketing) owns the Quality Management System; all GxP documentation flows through the QMS</w:t>
      </w:r>
    </w:p>
    <w:p>
      <w:pPr>
        <w:pStyle w:val="ListBullet"/>
      </w:pPr>
      <w:r>
        <w:rPr>
          <w:b/>
        </w:rPr>
        <w:t>GLP compliance:</w:t>
      </w:r>
      <w:r>
        <w:t xml:space="preserve"> All preclinical studies conducted in compliance with OECD GLP principles; study reports must carry a GLP compliance statement</w:t>
      </w:r>
    </w:p>
    <w:p>
      <w:pPr>
        <w:pStyle w:val="ListBullet"/>
      </w:pPr>
      <w:r>
        <w:rPr>
          <w:b/>
        </w:rPr>
        <w:t>APAFIS approval (France):</w:t>
      </w:r>
      <w:r>
        <w:t xml:space="preserve"> Animal studies in France require prior authorisation from APAFIS (Autorisation de Projet utilisant des Animaux à des Fins Scientifiques) — submitted by the Project Manager before any in vivo study can begin; approval timelines must be built into project plans</w:t>
      </w:r>
    </w:p>
    <w:p>
      <w:pPr>
        <w:pStyle w:val="ListBullet"/>
      </w:pPr>
      <w:r>
        <w:rPr>
          <w:b/>
        </w:rPr>
        <w:t>GMP compliance:</w:t>
      </w:r>
      <w:r>
        <w:t xml:space="preserve"> CMC manufacturing batches for clinical supply must be produced at GMP-certified facilities; batch records reviewed by Claudia Thoral and QA</w:t>
      </w:r>
    </w:p>
    <w:p>
      <w:pPr>
        <w:pStyle w:val="ListBullet"/>
      </w:pPr>
      <w:r>
        <w:rPr>
          <w:b/>
        </w:rPr>
        <w:t>CPP approval (France):</w:t>
      </w:r>
      <w:r>
        <w:t xml:space="preserve"> Clinical trials require ethical approval from a CPP (Comité de Protection des Personnes); submitted and tracked by Audrey Mole in parallel with CTA filing</w:t>
      </w:r>
    </w:p>
    <w:p>
      <w:pPr>
        <w:pStyle w:val="ListBullet"/>
      </w:pPr>
      <w:r>
        <w:rPr>
          <w:b/>
        </w:rPr>
        <w:t>CTA / ANSM approval:</w:t>
      </w:r>
      <w:r>
        <w:t xml:space="preserve"> Clinical Trial Authorisation filed with ANSM (Agence nationale de sécurité du médicament); Cyrille Jeune coordinates the submission; ANSM review period (typically 30–60 days) must be planned into timelines</w:t>
      </w:r>
    </w:p>
    <w:p>
      <w:pPr>
        <w:pStyle w:val="ListBullet"/>
      </w:pPr>
      <w:r>
        <w:rPr>
          <w:b/>
        </w:rPr>
        <w:t>Internal audits:</w:t>
      </w:r>
      <w:r>
        <w:t xml:space="preserve"> Scheduled by Caroline Blaison across all active projects to verify GxP compliance</w:t>
      </w:r>
    </w:p>
    <w:p>
      <w:pPr>
        <w:pStyle w:val="ListBullet"/>
      </w:pPr>
      <w:r>
        <w:rPr>
          <w:b/>
        </w:rPr>
        <w:t>External audits:</w:t>
      </w:r>
      <w:r>
        <w:t xml:space="preserve"> CRO and CMO audits conducted before and during study execution; findings tracked through formal CAPA process</w:t>
      </w:r>
    </w:p>
    <w:p>
      <w:pPr>
        <w:pStyle w:val="ListBullet"/>
      </w:pPr>
      <w:r>
        <w:rPr>
          <w:b/>
        </w:rPr>
        <w:t>Deviations:</w:t>
      </w:r>
      <w:r>
        <w:t xml:space="preserve"> Any deviation from approved protocols is documented in the QMS; root cause analysis and corrective actions applied</w:t>
      </w:r>
    </w:p>
    <w:p>
      <w:pPr>
        <w:pStyle w:val="Heading3"/>
      </w:pPr>
      <w:r>
        <w:rPr>
          <w:color w:val="1F497D"/>
          <w:sz w:val="26"/>
        </w:rPr>
        <w:t>10.5 Final Delivery</w:t>
      </w:r>
    </w:p>
    <w:p>
      <w:r>
        <w:rPr>
          <w:b/>
        </w:rPr>
        <w:t>Scientific / regulatory delivery:</w:t>
      </w:r>
    </w:p>
    <w:p>
      <w:pPr>
        <w:pStyle w:val="ListBullet"/>
      </w:pPr>
      <w:r>
        <w:t>Complete regulatory dossier in CTD (Common Technical Document) format submitted to ANSM / EMA for EU approval, or FDA for US approval</w:t>
      </w:r>
    </w:p>
    <w:p>
      <w:pPr>
        <w:pStyle w:val="ListBullet"/>
      </w:pPr>
      <w:r>
        <w:t>CTD structure: Module 1 (administrative), Module 2 (summaries), Module 3 (CMC), Module 4 (preclinical), Module 5 (clinical)</w:t>
      </w:r>
    </w:p>
    <w:p>
      <w:pPr>
        <w:pStyle w:val="ListBullet"/>
      </w:pPr>
      <w:r>
        <w:t>All modules must be complete and internally consistent before submission</w:t>
      </w:r>
    </w:p>
    <w:p>
      <w:pPr>
        <w:pStyle w:val="ListBullet"/>
      </w:pPr>
      <w:r>
        <w:t>Post-submission: regulatory agency review and potential requests for additional data (Day 70/Day 120 clock in EMA procedure); Cyrille Jeune manages responses</w:t>
      </w:r>
    </w:p>
    <w:p>
      <w:r>
        <w:rPr>
          <w:b/>
        </w:rPr>
        <w:t>Business delivery (exit event):</w:t>
      </w:r>
    </w:p>
    <w:p>
      <w:pPr>
        <w:pStyle w:val="ListBullet"/>
      </w:pPr>
      <w:r>
        <w:t xml:space="preserve">The final business outcome for NexBiome is not simply drug approval — it is a </w:t>
      </w:r>
      <w:r>
        <w:rPr>
          <w:b/>
        </w:rPr>
        <w:t>value realization event</w:t>
      </w:r>
      <w:r>
        <w:t xml:space="preserve"> that returns capital and profit to investors</w:t>
      </w:r>
    </w:p>
    <w:p>
      <w:pPr>
        <w:pStyle w:val="ListBullet"/>
      </w:pPr>
      <w:r>
        <w:t>Possible exit forms: (1) out-licensing to a large pharma company for milestone payments + royalties; (2) acquisition of the portfolio company; (3) IPO of the portfolio company; (4) co-development partnership with a strategic pharma partner</w:t>
      </w:r>
    </w:p>
    <w:p>
      <w:pPr>
        <w:pStyle w:val="ListBullet"/>
      </w:pPr>
      <w:r>
        <w:t>Exit discussions with pharma companies typically begin at Phase II data readout (Gate 4), not at approval — the Phase II data package is the primary sales tool for out-licensing</w:t>
      </w:r>
    </w:p>
    <w:p>
      <w:r>
        <w:rPr>
          <w:b/>
        </w:rPr>
        <w:t>For academic partners:</w:t>
      </w:r>
      <w:r>
        <w:t xml:space="preserve"> Commercialized drug asset, co-authorship on publications arising from the development program, and ongoing scientific collaboration</w:t>
      </w:r>
    </w:p>
    <w:p>
      <w:pPr>
        <w:spacing w:before="80" w:after="80"/>
        <w:pBdr>
          <w:bottom w:val="single" w:sz="6" w:space="1" w:color="2E74B5"/>
        </w:pBdr>
      </w:pPr>
    </w:p>
    <w:p>
      <w:pPr>
        <w:pStyle w:val="Heading2"/>
      </w:pPr>
      <w:r>
        <w:rPr>
          <w:color w:val="2E74B5"/>
          <w:sz w:val="30"/>
        </w:rPr>
        <w:t>11. Customer Success</w:t>
      </w:r>
    </w:p>
    <w:p>
      <w:pPr>
        <w:pStyle w:val="Heading3"/>
      </w:pPr>
      <w:r>
        <w:rPr>
          <w:color w:val="1F497D"/>
          <w:sz w:val="26"/>
        </w:rPr>
        <w:t>11.1 Client Communication</w:t>
      </w:r>
    </w:p>
    <w:p>
      <w:r>
        <w:rPr>
          <w:b/>
        </w:rPr>
        <w:t>Investors:</w:t>
      </w:r>
    </w:p>
    <w:p>
      <w:pPr>
        <w:pStyle w:val="ListBullet"/>
      </w:pPr>
      <w:r>
        <w:t>Quarterly KPI reports (financial position, burn rate, milestone status, risks) — prepared by CFO, reviewed and signed off by CEO before distribution</w:t>
      </w:r>
    </w:p>
    <w:p>
      <w:pPr>
        <w:pStyle w:val="ListBullet"/>
      </w:pPr>
      <w:r>
        <w:t>Immediate milestone gate notifications sent on the day a go/no-go outcome is confirmed (positive or negative)</w:t>
      </w:r>
    </w:p>
    <w:p>
      <w:pPr>
        <w:pStyle w:val="ListBullet"/>
      </w:pPr>
      <w:r>
        <w:t>Annual in-person or video strategic review meeting with CEO</w:t>
      </w:r>
    </w:p>
    <w:p>
      <w:pPr>
        <w:pStyle w:val="ListBullet"/>
      </w:pPr>
      <w:r>
        <w:t>Ad hoc updates for material events: regulatory approval or rejection, serious safety signal, unexpected CRO failure, or major partnership news</w:t>
      </w:r>
    </w:p>
    <w:p>
      <w:r>
        <w:rPr>
          <w:b/>
        </w:rPr>
        <w:t>Academic / Biotech Partners:</w:t>
      </w:r>
    </w:p>
    <w:p>
      <w:pPr>
        <w:pStyle w:val="ListBullet"/>
      </w:pPr>
      <w:r>
        <w:t>Monthly project coordination calls managed by the assigned Project Manager</w:t>
      </w:r>
    </w:p>
    <w:p>
      <w:pPr>
        <w:pStyle w:val="ListBullet"/>
      </w:pPr>
      <w:r>
        <w:t>Shared study updates and data summaries within NDA scope</w:t>
      </w:r>
    </w:p>
    <w:p>
      <w:pPr>
        <w:pStyle w:val="ListBullet"/>
      </w:pPr>
      <w:r>
        <w:t>Co-publication planning sessions coordinated by the R&amp;D PMs</w:t>
      </w:r>
    </w:p>
    <w:p>
      <w:r>
        <w:rPr>
          <w:b/>
        </w:rPr>
        <w:t>General contact:</w:t>
      </w:r>
    </w:p>
    <w:p>
      <w:pPr>
        <w:pStyle w:val="ListBullet"/>
      </w:pPr>
      <w:r>
        <w:t>Email: contact@nexbiome.com</w:t>
      </w:r>
    </w:p>
    <w:p>
      <w:pPr>
        <w:pStyle w:val="ListBullet"/>
      </w:pPr>
      <w:r>
        <w:t>Phone: +33 (0)7 72 06 69 38</w:t>
      </w:r>
    </w:p>
    <w:p>
      <w:pPr>
        <w:pStyle w:val="ListBullet"/>
      </w:pPr>
      <w:r>
        <w:t>Address: 22 Allée Alan Turing, 63000 Clermont-Ferrand, France</w:t>
      </w:r>
    </w:p>
    <w:p>
      <w:pPr>
        <w:pStyle w:val="ListBullet"/>
      </w:pPr>
      <w:r>
        <w:t>Data / Privacy: dpo@nexbiome.com</w:t>
      </w:r>
    </w:p>
    <w:p>
      <w:pPr>
        <w:pStyle w:val="Heading3"/>
      </w:pPr>
      <w:r>
        <w:rPr>
          <w:color w:val="1F497D"/>
          <w:sz w:val="26"/>
        </w:rPr>
        <w:t>11.2 Support Channels</w:t>
      </w:r>
    </w:p>
    <w:p>
      <w:pPr>
        <w:pStyle w:val="ListBullet"/>
      </w:pPr>
      <w:r>
        <w:t>Email: contact@nexbiome.com</w:t>
      </w:r>
    </w:p>
    <w:p>
      <w:pPr>
        <w:pStyle w:val="ListBullet"/>
      </w:pPr>
      <w:r>
        <w:t>Phone: +33 (0)7 72 06 69 38</w:t>
      </w:r>
    </w:p>
    <w:p>
      <w:pPr>
        <w:pStyle w:val="ListBullet"/>
      </w:pPr>
      <w:r>
        <w:t>Address: 22 Allée Alan Turing, 63000 Clermont-Ferrand, France</w:t>
      </w:r>
    </w:p>
    <w:p>
      <w:pPr>
        <w:pStyle w:val="ListBullet"/>
      </w:pPr>
      <w:r>
        <w:t>Data / Privacy: dpo@nexbiome.com</w:t>
      </w:r>
    </w:p>
    <w:p>
      <w:pPr>
        <w:pStyle w:val="Heading3"/>
      </w:pPr>
      <w:r>
        <w:rPr>
          <w:color w:val="1F497D"/>
          <w:sz w:val="26"/>
        </w:rPr>
        <w:t>11.3 Issue Resolution</w:t>
      </w:r>
    </w:p>
    <w:p>
      <w:pPr>
        <w:pStyle w:val="ListBullet"/>
      </w:pPr>
      <w:r>
        <w:rPr>
          <w:b/>
        </w:rPr>
        <w:t>Quality / compliance issues:</w:t>
      </w:r>
      <w:r>
        <w:t xml:space="preserve"> Formal deviation opened in QMS; root cause analysis completed; CAPA implemented and verified before closure (managed by Caroline Blaison via PharMarketing)</w:t>
      </w:r>
    </w:p>
    <w:p>
      <w:pPr>
        <w:pStyle w:val="ListBullet"/>
      </w:pPr>
      <w:r>
        <w:rPr>
          <w:b/>
        </w:rPr>
        <w:t>Scientific / development issues:</w:t>
      </w:r>
      <w:r>
        <w:t xml:space="preserve"> Escalated by Project Manager to relevant functional head (CMO for medical; COO for regulatory; Pharma Dev Head for CMC); if material, a gate review is triggered</w:t>
      </w:r>
    </w:p>
    <w:p>
      <w:pPr>
        <w:pStyle w:val="ListBullet"/>
      </w:pPr>
      <w:r>
        <w:rPr>
          <w:b/>
        </w:rPr>
        <w:t>Regulatory agency questions or rejections:</w:t>
      </w:r>
      <w:r>
        <w:t xml:space="preserve"> Cyrille Jeune leads the written response strategy; functional heads contribute their module-specific responses; submitted within the agency's stated deadline; CEO notified of any impact on investor reporting</w:t>
      </w:r>
    </w:p>
    <w:p>
      <w:pPr>
        <w:pStyle w:val="ListBullet"/>
      </w:pPr>
      <w:r>
        <w:rPr>
          <w:b/>
        </w:rPr>
        <w:t>Investor concerns:</w:t>
      </w:r>
      <w:r>
        <w:t xml:space="preserve"> CEO and CFO respond directly; written response for any formal concern; material issues trigger an off-cycle investor update</w:t>
      </w:r>
    </w:p>
    <w:p>
      <w:pPr>
        <w:pStyle w:val="ListBullet"/>
      </w:pPr>
      <w:r>
        <w:rPr>
          <w:b/>
        </w:rPr>
        <w:t>Project failure:</w:t>
      </w:r>
      <w:r>
        <w:t xml:space="preserve"> See Section 4.7 for the full terminal and recoverable failure handling workflow</w:t>
      </w:r>
    </w:p>
    <w:p>
      <w:pPr>
        <w:pStyle w:val="Heading3"/>
      </w:pPr>
      <w:r>
        <w:rPr>
          <w:color w:val="1F497D"/>
          <w:sz w:val="26"/>
        </w:rPr>
        <w:t>11.4 Long-Term Account Management</w:t>
      </w:r>
    </w:p>
    <w:p>
      <w:pPr>
        <w:pStyle w:val="ListBullet"/>
      </w:pPr>
      <w:r>
        <w:t>Equity alignment keeps investors and partners engaged for the full multi-year development lifecycle</w:t>
      </w:r>
    </w:p>
    <w:p>
      <w:pPr>
        <w:pStyle w:val="ListBullet"/>
      </w:pPr>
      <w:r>
        <w:t>CEO maintains direct personal relationships with each family office investor</w:t>
      </w:r>
    </w:p>
    <w:p>
      <w:pPr>
        <w:pStyle w:val="ListBullet"/>
      </w:pPr>
      <w:r>
        <w:t>Portfolio projects are managed over 5–15+ year timelines — relationship continuity matters as much as scientific progress</w:t>
      </w:r>
    </w:p>
    <w:p>
      <w:pPr>
        <w:pStyle w:val="ListBullet"/>
      </w:pPr>
      <w:r>
        <w:t>Existing investors are invited to co-invest in follow-on rounds as projects advance and are de-risked</w:t>
      </w:r>
    </w:p>
    <w:p>
      <w:r>
        <w:rPr>
          <w:b/>
        </w:rPr>
        <w:t>Governance structure (inferred from standard French biotech practice; not explicitly named in source data):</w:t>
      </w:r>
    </w:p>
    <w:p>
      <w:pPr>
        <w:pStyle w:val="ListBullet"/>
      </w:pPr>
      <w:r>
        <w:t>NexBiome is likely structured as an SAS or SA under French corporate law</w:t>
      </w:r>
    </w:p>
    <w:p>
      <w:pPr>
        <w:pStyle w:val="ListBullet"/>
      </w:pPr>
      <w:r>
        <w:t>Family office investors likely hold equity with formal rights: board seats or observer rights, information rights (quarterly reports), and consent rights over material decisions (new projects, large expenditures, exit transactions)</w:t>
      </w:r>
    </w:p>
    <w:p>
      <w:pPr>
        <w:pStyle w:val="ListBullet"/>
      </w:pPr>
      <w:r>
        <w:t>A pacte d'actionnaires (shareholders' agreement) governs drag-along / tag-along provisions and exit mechanics</w:t>
      </w:r>
    </w:p>
    <w:p>
      <w:pPr>
        <w:pStyle w:val="ListBullet"/>
      </w:pPr>
      <w:r>
        <w:t>A Board or Supervisory Board likely meets quarterly or semi-annually to review portfolio performance and strategic direction</w:t>
      </w:r>
    </w:p>
    <w:p>
      <w:pPr>
        <w:spacing w:before="80" w:after="80"/>
        <w:pBdr>
          <w:bottom w:val="single" w:sz="6" w:space="1" w:color="2E74B5"/>
        </w:pBdr>
      </w:pPr>
    </w:p>
    <w:p>
      <w:pPr>
        <w:pStyle w:val="Heading2"/>
      </w:pPr>
      <w:r>
        <w:rPr>
          <w:color w:val="2E74B5"/>
          <w:sz w:val="30"/>
        </w:rPr>
        <w:t>12. Key Metrics</w:t>
      </w:r>
    </w:p>
    <w:p>
      <w:pPr>
        <w:pStyle w:val="Heading3"/>
      </w:pPr>
      <w:r>
        <w:rPr>
          <w:color w:val="1F497D"/>
          <w:sz w:val="26"/>
        </w:rPr>
        <w:t>12.1 Sales Metrics</w:t>
      </w:r>
    </w:p>
    <w:p>
      <w:pPr>
        <w:pStyle w:val="ListBullet"/>
      </w:pPr>
      <w:r>
        <w:t>Number of new projects screened per quarter (project sourcing funnel volume)</w:t>
      </w:r>
    </w:p>
    <w:p>
      <w:pPr>
        <w:pStyle w:val="ListBullet"/>
      </w:pPr>
      <w:r>
        <w:rPr>
          <w:b/>
        </w:rPr>
        <w:t>Pipeline conversion rate:</w:t>
      </w:r>
      <w:r>
        <w:t xml:space="preserve"> Projects screened → NDA signed → full due diligence → deal agreed (10 → 4 historically = 40%; ongoing benchmark)</w:t>
      </w:r>
    </w:p>
    <w:p>
      <w:pPr>
        <w:pStyle w:val="ListBullet"/>
      </w:pPr>
      <w:r>
        <w:t>Number of licensing or equity agreements signed per year</w:t>
      </w:r>
    </w:p>
    <w:p>
      <w:pPr>
        <w:pStyle w:val="ListBullet"/>
      </w:pPr>
      <w:r>
        <w:t>Number of new family office investors onboarded per funding round</w:t>
      </w:r>
    </w:p>
    <w:p>
      <w:pPr>
        <w:pStyle w:val="ListBullet"/>
      </w:pPr>
      <w:r>
        <w:t>Total equity committed per funding round</w:t>
      </w:r>
    </w:p>
    <w:p>
      <w:pPr>
        <w:pStyle w:val="ListBullet"/>
      </w:pPr>
      <w:r>
        <w:rPr>
          <w:b/>
        </w:rPr>
        <w:t>Time to close:</w:t>
      </w:r>
      <w:r>
        <w:t xml:space="preserve"> Average months from first investor contact to signed investment agreement</w:t>
      </w:r>
    </w:p>
    <w:p>
      <w:pPr>
        <w:pStyle w:val="Heading3"/>
      </w:pPr>
      <w:r>
        <w:rPr>
          <w:color w:val="1F497D"/>
          <w:sz w:val="26"/>
        </w:rPr>
        <w:t>12.2 Marketing Metrics</w:t>
      </w:r>
    </w:p>
    <w:p>
      <w:pPr>
        <w:pStyle w:val="ListBullet"/>
      </w:pPr>
      <w:r>
        <w:t>LinkedIn follower growth rate (baseline: ~1,975 as of May 2026)</w:t>
      </w:r>
    </w:p>
    <w:p>
      <w:pPr>
        <w:pStyle w:val="ListBullet"/>
      </w:pPr>
      <w:r>
        <w:t>Website traffic volume and session engagement (Google Analytics)</w:t>
      </w:r>
    </w:p>
    <w:p>
      <w:pPr>
        <w:pStyle w:val="ListBullet"/>
      </w:pPr>
      <w:r>
        <w:rPr>
          <w:b/>
        </w:rPr>
        <w:t>Inbound inquiry volume:</w:t>
      </w:r>
      <w:r>
        <w:t xml:space="preserve"> Unsolicited contacts per month from academics, biotech founders, or investors</w:t>
      </w:r>
    </w:p>
    <w:p>
      <w:pPr>
        <w:pStyle w:val="ListBullet"/>
      </w:pPr>
      <w:r>
        <w:t>Conference attendance, speaking slots, and partner leads generated per event</w:t>
      </w:r>
    </w:p>
    <w:p>
      <w:pPr>
        <w:pStyle w:val="ListBullet"/>
      </w:pPr>
      <w:r>
        <w:t>Scientific publications per year (a credibility and brand metric for B2B biotech audiences)</w:t>
      </w:r>
    </w:p>
    <w:p>
      <w:pPr>
        <w:pStyle w:val="Heading3"/>
      </w:pPr>
      <w:r>
        <w:rPr>
          <w:color w:val="1F497D"/>
          <w:sz w:val="26"/>
        </w:rPr>
        <w:t>12.3 Operational Metrics</w:t>
      </w:r>
    </w:p>
    <w:p>
      <w:pPr>
        <w:pStyle w:val="ListBullet"/>
      </w:pPr>
      <w:r>
        <w:t>Number of active pipeline projects (currently: 4)</w:t>
      </w:r>
    </w:p>
    <w:p>
      <w:pPr>
        <w:pStyle w:val="ListBullet"/>
      </w:pPr>
      <w:r>
        <w:rPr>
          <w:b/>
        </w:rPr>
        <w:t>Monthly burn rate:</w:t>
      </w:r>
      <w:r>
        <w:t xml:space="preserve"> Cash consumed per month vs. budget; tracked against the committed €23M base and follow-on capital</w:t>
      </w:r>
    </w:p>
    <w:p>
      <w:pPr>
        <w:pStyle w:val="ListBullet"/>
      </w:pPr>
      <w:r>
        <w:rPr>
          <w:b/>
        </w:rPr>
        <w:t>Cash runway:</w:t>
      </w:r>
      <w:r>
        <w:t xml:space="preserve"> Months of operation remaining at current burn rate before next capital raise required</w:t>
      </w:r>
    </w:p>
    <w:p>
      <w:pPr>
        <w:pStyle w:val="ListBullet"/>
      </w:pPr>
      <w:r>
        <w:t>Milestone completion rate per project (on-time vs. plan)</w:t>
      </w:r>
    </w:p>
    <w:p>
      <w:pPr>
        <w:pStyle w:val="ListBullet"/>
      </w:pPr>
      <w:r>
        <w:rPr>
          <w:b/>
        </w:rPr>
        <w:t>Regulatory submission timelines:</w:t>
      </w:r>
      <w:r>
        <w:t xml:space="preserve"> CTA filing date vs. plan; ANSM review period; APAFIS approval lead time per project</w:t>
      </w:r>
    </w:p>
    <w:p>
      <w:pPr>
        <w:pStyle w:val="ListBullet"/>
      </w:pPr>
      <w:r>
        <w:t>CRO / CMO on-time and on-budget delivery rate</w:t>
      </w:r>
    </w:p>
    <w:p>
      <w:pPr>
        <w:pStyle w:val="ListBullet"/>
      </w:pPr>
      <w:r>
        <w:t>QMS deviation count, CAPA closure rate, and average resolution time</w:t>
      </w:r>
    </w:p>
    <w:p>
      <w:pPr>
        <w:pStyle w:val="ListBullet"/>
      </w:pPr>
      <w:r>
        <w:t>CRO / CMO audit completion rate (all active vendors audited before study placement)</w:t>
      </w:r>
    </w:p>
    <w:p>
      <w:pPr>
        <w:pStyle w:val="Heading3"/>
      </w:pPr>
      <w:r>
        <w:rPr>
          <w:color w:val="1F497D"/>
          <w:sz w:val="26"/>
        </w:rPr>
        <w:t>12.4 Customer Success Metrics</w:t>
      </w:r>
    </w:p>
    <w:p>
      <w:pPr>
        <w:pStyle w:val="ListBullet"/>
      </w:pPr>
      <w:r>
        <w:t>Project stage advancement per year (Gate 1 → Gate 2 → Gate 3 → Gate 4 → approval or exit)</w:t>
      </w:r>
    </w:p>
    <w:p>
      <w:pPr>
        <w:pStyle w:val="ListBullet"/>
      </w:pPr>
      <w:r>
        <w:rPr>
          <w:b/>
        </w:rPr>
        <w:t>Go/no-go gate pass rate:</w:t>
      </w:r>
      <w:r>
        <w:t xml:space="preserve"> Projects clearing each gate vs. being terminated (expected to decrease at later gates as harder science is tested)</w:t>
      </w:r>
    </w:p>
    <w:p>
      <w:pPr>
        <w:pStyle w:val="ListBullet"/>
      </w:pPr>
      <w:r>
        <w:t>Patent filings per year and IP portfolio geographic coverage</w:t>
      </w:r>
    </w:p>
    <w:p>
      <w:pPr>
        <w:pStyle w:val="ListBullet"/>
      </w:pPr>
      <w:r>
        <w:rPr>
          <w:b/>
        </w:rPr>
        <w:t>Regulatory interactions per year:</w:t>
      </w:r>
      <w:r>
        <w:t xml:space="preserve"> Number of ANSM / EMA scientific advice meetings — a leading indicator of regulatory readiness and agency relationship quality</w:t>
      </w:r>
    </w:p>
    <w:p>
      <w:pPr>
        <w:pStyle w:val="ListBullet"/>
      </w:pPr>
      <w:r>
        <w:rPr>
          <w:b/>
        </w:rPr>
        <w:t>Scientific publication output:</w:t>
      </w:r>
      <w:r>
        <w:t xml:space="preserve"> Peer-reviewed publications per project per year</w:t>
      </w:r>
    </w:p>
    <w:p>
      <w:pPr>
        <w:pStyle w:val="ListBullet"/>
      </w:pPr>
      <w:r>
        <w:t>Portfolio company pre-money valuation growth between funding rounds</w:t>
      </w:r>
    </w:p>
    <w:p>
      <w:pPr>
        <w:pStyle w:val="ListBullet"/>
      </w:pPr>
      <w:r>
        <w:t>Investor retention rate across follow-on rounds (indicates confidence in management)</w:t>
      </w:r>
    </w:p>
    <w:p>
      <w:pPr>
        <w:spacing w:before="80" w:after="80"/>
        <w:pBdr>
          <w:bottom w:val="single" w:sz="6" w:space="1" w:color="2E74B5"/>
        </w:pBdr>
      </w:pPr>
    </w:p>
    <w:p>
      <w:pPr>
        <w:pStyle w:val="Heading2"/>
      </w:pPr>
      <w:r>
        <w:rPr>
          <w:color w:val="2E74B5"/>
          <w:sz w:val="30"/>
        </w:rPr>
        <w:t>13. Opportunities for B2B Service Providers</w:t>
      </w:r>
    </w:p>
    <w:p>
      <w:pPr>
        <w:pStyle w:val="Heading3"/>
      </w:pPr>
      <w:r>
        <w:rPr>
          <w:color w:val="1F497D"/>
          <w:sz w:val="26"/>
        </w:rPr>
        <w:t>13.1 Sales Partnerships</w:t>
      </w:r>
    </w:p>
    <w:p>
      <w:pPr>
        <w:pStyle w:val="ListBullet"/>
      </w:pPr>
      <w:r>
        <w:rPr>
          <w:b/>
        </w:rPr>
        <w:t>Life sciences BD consultants</w:t>
      </w:r>
      <w:r>
        <w:t xml:space="preserve"> who can identify and introduce academic researchers (via TTO networks) or early-stage biotechs with microbiome assets seeking a development partner</w:t>
      </w:r>
    </w:p>
    <w:p>
      <w:pPr>
        <w:pStyle w:val="ListBullet"/>
      </w:pPr>
      <w:r>
        <w:rPr>
          <w:b/>
        </w:rPr>
        <w:t>Investment advisors and placement agents</w:t>
      </w:r>
      <w:r>
        <w:t xml:space="preserve"> working with family offices in healthcare / biotech who can introduce new long-term investors aligned with the 5–15+ year development horizon</w:t>
      </w:r>
    </w:p>
    <w:p>
      <w:pPr>
        <w:pStyle w:val="ListBullet"/>
      </w:pPr>
      <w:r>
        <w:rPr>
          <w:b/>
        </w:rPr>
        <w:t>Biotech accelerator and incubator networks</w:t>
      </w:r>
      <w:r>
        <w:t xml:space="preserve"> — early-stage programs that encounter microbiome projects not yet ready for NexBiome but worth tracking</w:t>
      </w:r>
    </w:p>
    <w:p>
      <w:pPr>
        <w:pStyle w:val="Heading3"/>
      </w:pPr>
      <w:r>
        <w:rPr>
          <w:color w:val="1F497D"/>
          <w:sz w:val="26"/>
        </w:rPr>
        <w:t>13.2 Marketing Partnerships</w:t>
      </w:r>
    </w:p>
    <w:p>
      <w:pPr>
        <w:pStyle w:val="ListBullet"/>
      </w:pPr>
      <w:r>
        <w:rPr>
          <w:b/>
        </w:rPr>
        <w:t>Life sciences PR firms</w:t>
      </w:r>
      <w:r>
        <w:t xml:space="preserve"> to raise visibility among biotech investors, pharma licensing teams, and academic communities</w:t>
      </w:r>
    </w:p>
    <w:p>
      <w:pPr>
        <w:pStyle w:val="ListBullet"/>
      </w:pPr>
      <w:r>
        <w:rPr>
          <w:b/>
        </w:rPr>
        <w:t>Conference management and sponsorship</w:t>
      </w:r>
      <w:r>
        <w:t xml:space="preserve"> providers for microbiome, LBP, and relevant therapeutic area scientific events</w:t>
      </w:r>
    </w:p>
    <w:p>
      <w:pPr>
        <w:pStyle w:val="ListBullet"/>
      </w:pPr>
      <w:r>
        <w:rPr>
          <w:b/>
        </w:rPr>
        <w:t>LinkedIn content agencies</w:t>
      </w:r>
      <w:r>
        <w:t xml:space="preserve"> to grow and engage the professional audience with consistent publishing</w:t>
      </w:r>
    </w:p>
    <w:p>
      <w:pPr>
        <w:pStyle w:val="ListBullet"/>
      </w:pPr>
      <w:r>
        <w:rPr>
          <w:b/>
        </w:rPr>
        <w:t>Biotech copywriters</w:t>
      </w:r>
      <w:r>
        <w:t xml:space="preserve"> for investor pitch materials, website copy, milestone press releases, and scientific communications</w:t>
      </w:r>
    </w:p>
    <w:p>
      <w:pPr>
        <w:pStyle w:val="ListBullet"/>
      </w:pPr>
      <w:r>
        <w:rPr>
          <w:b/>
        </w:rPr>
        <w:t>WordPress developers / Elementor specialists</w:t>
      </w:r>
      <w:r>
        <w:t xml:space="preserve"> — nexbiome.life (unconfirmed relationship to NexBiome Therapeutics; see Section 1.3) posted an active Upwork job seeking a specialist to fix or rebuild its consumer probiotics website</w:t>
      </w:r>
    </w:p>
    <w:p>
      <w:pPr>
        <w:pStyle w:val="Heading3"/>
      </w:pPr>
      <w:r>
        <w:rPr>
          <w:color w:val="1F497D"/>
          <w:sz w:val="26"/>
        </w:rPr>
        <w:t>13.3 Technology Integrations</w:t>
      </w:r>
    </w:p>
    <w:p>
      <w:pPr>
        <w:pStyle w:val="ListBullet"/>
      </w:pPr>
      <w:r>
        <w:rPr>
          <w:b/>
        </w:rPr>
        <w:t>CTMS (Clinical Trial Management Systems)</w:t>
      </w:r>
      <w:r>
        <w:t xml:space="preserve"> — e.g., Veeva Vault CTMS, Medidata — for clinical operations management and site oversight</w:t>
      </w:r>
    </w:p>
    <w:p>
      <w:pPr>
        <w:pStyle w:val="ListBullet"/>
      </w:pPr>
      <w:r>
        <w:rPr>
          <w:b/>
        </w:rPr>
        <w:t>EDC / eCRF platforms</w:t>
      </w:r>
      <w:r>
        <w:t xml:space="preserve"> — e.g., Medidata Rave, REDCap — for clinical trial data capture and management</w:t>
      </w:r>
    </w:p>
    <w:p>
      <w:pPr>
        <w:pStyle w:val="ListBullet"/>
      </w:pPr>
      <w:r>
        <w:rPr>
          <w:b/>
        </w:rPr>
        <w:t>eTMF (electronic Trial Master File)</w:t>
      </w:r>
      <w:r>
        <w:t xml:space="preserve"> — e.g., Veeva Vault eTMF, Phlexglobal — mandatory for clinical trial documentation and GCP inspection-readiness</w:t>
      </w:r>
    </w:p>
    <w:p>
      <w:pPr>
        <w:pStyle w:val="ListBullet"/>
      </w:pPr>
      <w:r>
        <w:rPr>
          <w:b/>
        </w:rPr>
        <w:t>QMS software (eQMS)</w:t>
      </w:r>
      <w:r>
        <w:t xml:space="preserve"> — e.g., Veeva Vault QualityDocs, MasterControl — for GLP/GMP/GCP-compliant document management</w:t>
      </w:r>
    </w:p>
    <w:p>
      <w:pPr>
        <w:pStyle w:val="ListBullet"/>
      </w:pPr>
      <w:r>
        <w:rPr>
          <w:b/>
        </w:rPr>
        <w:t>LIMS (Laboratory Information Management System)</w:t>
      </w:r>
      <w:r>
        <w:t xml:space="preserve"> — e.g., LabWare, STARLIMS — for CMC and preclinical laboratory data integrity</w:t>
      </w:r>
    </w:p>
    <w:p>
      <w:pPr>
        <w:pStyle w:val="ListBullet"/>
      </w:pPr>
      <w:r>
        <w:rPr>
          <w:b/>
        </w:rPr>
        <w:t>CRM platform</w:t>
      </w:r>
      <w:r>
        <w:t xml:space="preserve"> — e.g., HubSpot, Salesforce — for investor and partner pipeline tracking (currently a gap)</w:t>
      </w:r>
    </w:p>
    <w:p>
      <w:pPr>
        <w:pStyle w:val="ListBullet"/>
      </w:pPr>
      <w:r>
        <w:rPr>
          <w:b/>
        </w:rPr>
        <w:t>Regulatory submission software</w:t>
      </w:r>
      <w:r>
        <w:t xml:space="preserve"> — eCTD authoring and publishing tools (e.g., Lorenz docuBridge, Extedo eCTD)</w:t>
      </w:r>
    </w:p>
    <w:p>
      <w:pPr>
        <w:pStyle w:val="ListBullet"/>
      </w:pPr>
      <w:r>
        <w:rPr>
          <w:b/>
        </w:rPr>
        <w:t>ERP or financial reporting platform</w:t>
      </w:r>
      <w:r>
        <w:t xml:space="preserve"> — to support CFO KPI tracking, burn rate monitoring, and CIR expenditure recording</w:t>
      </w:r>
    </w:p>
    <w:p>
      <w:pPr>
        <w:pStyle w:val="ListBullet"/>
      </w:pPr>
      <w:r>
        <w:rPr>
          <w:b/>
        </w:rPr>
        <w:t>VDR (Virtual Data Room)</w:t>
      </w:r>
      <w:r>
        <w:t xml:space="preserve"> — e.g., Intralinks, Datasite — for secure investor due diligence document sharing</w:t>
      </w:r>
    </w:p>
    <w:p>
      <w:pPr>
        <w:pStyle w:val="Heading3"/>
      </w:pPr>
      <w:r>
        <w:rPr>
          <w:color w:val="1F497D"/>
          <w:sz w:val="26"/>
        </w:rPr>
        <w:t>13.4 Outsourcing Opportunities</w:t>
      </w:r>
    </w:p>
    <w:p>
      <w:pPr>
        <w:pStyle w:val="ListBullet"/>
      </w:pPr>
      <w:r>
        <w:rPr>
          <w:b/>
        </w:rPr>
        <w:t>CROs (Contract Research Organizations)</w:t>
      </w:r>
      <w:r>
        <w:t xml:space="preserve"> — preclinical study execution (GLP-certified) and clinical trial operations; must be qualified via QA audit before use</w:t>
      </w:r>
    </w:p>
    <w:p>
      <w:pPr>
        <w:pStyle w:val="ListBullet"/>
      </w:pPr>
      <w:r>
        <w:rPr>
          <w:b/>
        </w:rPr>
        <w:t>CMOs (Contract Manufacturing Organizations)</w:t>
      </w:r>
      <w:r>
        <w:t xml:space="preserve"> — GMP bacterial strain fermentation, formulation development, clinical supply manufacture, and analytical testing</w:t>
      </w:r>
    </w:p>
    <w:p>
      <w:pPr>
        <w:pStyle w:val="ListBullet"/>
      </w:pPr>
      <w:r>
        <w:rPr>
          <w:b/>
        </w:rPr>
        <w:t>Regulatory consultants</w:t>
      </w:r>
      <w:r>
        <w:t xml:space="preserve"> — market-specific expertise for US FDA (IND strategy), EMA (CTA/MAA), and other international markets beyond France</w:t>
      </w:r>
    </w:p>
    <w:p>
      <w:pPr>
        <w:pStyle w:val="ListBullet"/>
      </w:pPr>
      <w:r>
        <w:rPr>
          <w:b/>
        </w:rPr>
        <w:t>Clinical site networks</w:t>
      </w:r>
      <w:r>
        <w:t xml:space="preserve"> — Phase I–III trial site identification, contracting, and management across France and Europe</w:t>
      </w:r>
    </w:p>
    <w:p>
      <w:pPr>
        <w:pStyle w:val="ListBullet"/>
      </w:pPr>
      <w:r>
        <w:rPr>
          <w:b/>
        </w:rPr>
        <w:t>Medical writing firms</w:t>
      </w:r>
      <w:r>
        <w:t xml:space="preserve"> — regulatory document authorship: CSRs, IB, CTD module summaries, scientific publications — a high-volume need for a studio running four projects simultaneously</w:t>
      </w:r>
    </w:p>
    <w:p>
      <w:pPr>
        <w:pStyle w:val="ListBullet"/>
      </w:pPr>
      <w:r>
        <w:rPr>
          <w:b/>
        </w:rPr>
        <w:t>Biostatistics firms</w:t>
      </w:r>
      <w:r>
        <w:t xml:space="preserve"> — clinical trial statistical analysis plans (SAPs), interim analyses, and final clinical study reports; required for every Phase I/II/III study</w:t>
      </w:r>
    </w:p>
    <w:p>
      <w:pPr>
        <w:pStyle w:val="ListBullet"/>
      </w:pPr>
      <w:r>
        <w:rPr>
          <w:b/>
        </w:rPr>
        <w:t>Pharmacovigilance (PV) service providers</w:t>
      </w:r>
      <w:r>
        <w:t xml:space="preserve"> — safety database management, ICSRs (Individual Case Safety Reports), PV system master files (PSMFs); required as soon as a clinical trial opens</w:t>
      </w:r>
    </w:p>
    <w:p>
      <w:pPr>
        <w:pStyle w:val="ListBullet"/>
      </w:pPr>
      <w:r>
        <w:rPr>
          <w:b/>
        </w:rPr>
        <w:t>QA / QC specialists</w:t>
      </w:r>
      <w:r>
        <w:t xml:space="preserve"> — additional capacity beyond PharMarketing as pipeline grows to four simultaneous clinical-stage projects</w:t>
      </w:r>
    </w:p>
    <w:p>
      <w:pPr>
        <w:pStyle w:val="ListBullet"/>
      </w:pPr>
      <w:r>
        <w:rPr>
          <w:b/>
        </w:rPr>
        <w:t>DPO services</w:t>
      </w:r>
      <w:r>
        <w:t xml:space="preserve"> — currently contracted through PharMarketing; sufficient for current scale</w:t>
      </w:r>
    </w:p>
    <w:p>
      <w:pPr>
        <w:pStyle w:val="ListBullet"/>
      </w:pPr>
      <w:r>
        <w:rPr>
          <w:b/>
        </w:rPr>
        <w:t>IP and patent prosecution firms</w:t>
      </w:r>
      <w:r>
        <w:t xml:space="preserve"> — ongoing patent filing, FTO analysis, and IP portfolio management in key commercial markets (France, EU, USA, Japan)</w:t>
      </w:r>
    </w:p>
    <w:p>
      <w:pPr>
        <w:pStyle w:val="ListBullet"/>
      </w:pPr>
      <w:r>
        <w:rPr>
          <w:b/>
        </w:rPr>
        <w:t>Financial auditors and CIR specialists</w:t>
      </w:r>
      <w:r>
        <w:t xml:space="preserve"> — statutory audit and Crédit Impôt Recherche certification; material cash recovery at 30% on eligible R&amp;D spend</w:t>
      </w:r>
    </w:p>
    <w:p>
      <w:pPr>
        <w:pStyle w:val="ListBullet"/>
      </w:pPr>
      <w:r>
        <w:rPr>
          <w:b/>
        </w:rPr>
        <w:t>Pharma licensing and corporate legal counsel</w:t>
      </w:r>
      <w:r>
        <w:t xml:space="preserve"> — licensing agreement drafting, M&amp;A structuring, shareholders' agreement management</w:t>
      </w:r>
    </w:p>
    <w:p>
      <w:pPr>
        <w:spacing w:before="80" w:after="80"/>
        <w:pBdr>
          <w:bottom w:val="single" w:sz="6" w:space="1" w:color="2E74B5"/>
        </w:pBdr>
      </w:pPr>
    </w:p>
    <w:p>
      <w:pPr>
        <w:pStyle w:val="Heading2"/>
      </w:pPr>
      <w:r>
        <w:rPr>
          <w:color w:val="2E74B5"/>
          <w:sz w:val="30"/>
        </w:rPr>
        <w:t>14. Summary of Business Operations</w:t>
      </w:r>
    </w:p>
    <w:p>
      <w:r>
        <w:t xml:space="preserve">NexBiome Therapeutics is a biotech studio based in Clermont-Ferrand, France. It began operating as an independent company in </w:t>
      </w:r>
      <w:r>
        <w:rPr>
          <w:b/>
        </w:rPr>
        <w:t>2020</w:t>
      </w:r>
      <w:r>
        <w:t xml:space="preserve"> and was formally founded with </w:t>
      </w:r>
      <w:r>
        <w:rPr>
          <w:b/>
        </w:rPr>
        <w:t>€23M in equity from a single family office in 2021</w:t>
      </w:r>
      <w:r>
        <w:t>. It focuses entirely on turning academic microbiome research into approved drugs for patients. Its heritage traces directly to Lyocentre laboratories (1951) and Antibiophilus® (1975) — the world's first microbiome-derived medicinal product.</w:t>
      </w:r>
    </w:p>
    <w:p>
      <w:r>
        <w:rPr>
          <w:b/>
        </w:rPr>
        <w:t>How it works, step by step:</w:t>
      </w:r>
    </w:p>
    <w:p>
      <w:pPr>
        <w:pStyle w:val="ListNumber"/>
      </w:pPr>
      <w:r>
        <w:rPr>
          <w:b/>
        </w:rPr>
        <w:t>Find</w:t>
      </w:r>
      <w:r>
        <w:t xml:space="preserve"> — NexBiome identifies promising microbiome science in academic labs, patent databases, university tech transfer offices (TTOs), and early-stage biotech companies. The project must address a real medical problem without a good existing treatment.</w:t>
      </w:r>
    </w:p>
    <w:p>
      <w:pPr>
        <w:pStyle w:val="ListNumber"/>
      </w:pPr>
      <w:r>
        <w:rPr>
          <w:b/>
        </w:rPr>
        <w:t>Protect</w:t>
      </w:r>
      <w:r>
        <w:t xml:space="preserve"> — Before any data is shared, a mutual NDA is signed. Before any development begins, an IP and freedom-to-operate (FTO) analysis confirms the science can be developed without infringing existing patents.</w:t>
      </w:r>
    </w:p>
    <w:p>
      <w:pPr>
        <w:pStyle w:val="ListNumber"/>
      </w:pPr>
      <w:r>
        <w:rPr>
          <w:b/>
        </w:rPr>
        <w:t>License or Invest</w:t>
      </w:r>
      <w:r>
        <w:t xml:space="preserve"> — NexBiome signs a licensing agreement or takes an equity stake in the project or company owning it. External legal counsel finalizes the deal structure.</w:t>
      </w:r>
    </w:p>
    <w:p>
      <w:pPr>
        <w:pStyle w:val="ListNumber"/>
      </w:pPr>
      <w:r>
        <w:rPr>
          <w:b/>
        </w:rPr>
        <w:t>Plan — in parallel</w:t>
      </w:r>
      <w:r>
        <w:t xml:space="preserve"> — The internal team builds three development tracks simultaneously, not sequentially: a preclinical/scientific track, a CMC (manufacturing) track, and a clinical strategy track. Regulatory strategy is defined before preclinical begins. All tracks are governed by formal go/no-go gates that require a positive data readout before resources are committed to the next stage.</w:t>
      </w:r>
    </w:p>
    <w:p>
      <w:pPr>
        <w:pStyle w:val="ListNumber"/>
      </w:pPr>
      <w:r>
        <w:rPr>
          <w:b/>
        </w:rPr>
        <w:t>Execute</w:t>
      </w:r>
      <w:r>
        <w:t xml:space="preserve"> — The team manages all development activities. Strategy stays in-house; specialized lab work, manufacturing batches, and clinical site operations go to qualified CROs and CMOs. Every study requires a written protocol, QA sign-off, and where required by French law: APAFIS approval for animal studies, CPP ethics committee approval for clinical trials, and ANSM Clinical Trial Authorisation (CTA) before the first patient is dosed.</w:t>
      </w:r>
    </w:p>
    <w:p>
      <w:pPr>
        <w:pStyle w:val="ListNumber"/>
      </w:pPr>
      <w:r>
        <w:rPr>
          <w:b/>
        </w:rPr>
        <w:t>Fund</w:t>
      </w:r>
      <w:r>
        <w:t xml:space="preserve"> — The CEO and CFO manage the capital base. The initial €23M equity covers the early portfolio. As projects advance through development gates and are de-risked, additional family office investors are invited into follow-on rounds at higher valuations. The French CIR (Crédit Impôt Recherche) R&amp;D tax credit recovers approximately 30% of eligible R&amp;D spend annually, extending cash runway. BpiFrance and EU Horizon grants are additional funding levers available to French biotech companies.</w:t>
      </w:r>
    </w:p>
    <w:p>
      <w:pPr>
        <w:pStyle w:val="ListNumber"/>
      </w:pPr>
      <w:r>
        <w:rPr>
          <w:b/>
        </w:rPr>
        <w:t>Create Value</w:t>
      </w:r>
      <w:r>
        <w:t xml:space="preserve"> — As each project clears development gates, its value grows. Out-licensing discussions with large pharma companies typically begin at Phase II data readout — not at approval. The Phase II data package is the primary commercial asset. Exit forms include: out-licensing deal with milestone payments and royalties, full acquisition, co-development partnership, or IPO.</w:t>
      </w:r>
    </w:p>
    <w:p>
      <w:r>
        <w:rPr>
          <w:b/>
        </w:rPr>
        <w:t>Operational snapshot:</w:t>
      </w:r>
    </w:p>
    <w:p>
      <w:pPr>
        <w:pStyle w:val="ListBullet"/>
      </w:pPr>
      <w:r>
        <w:t>4 active pipeline projects (selected from 10 evaluated)</w:t>
      </w:r>
    </w:p>
    <w:p>
      <w:pPr>
        <w:pStyle w:val="ListBullet"/>
      </w:pPr>
      <w:r>
        <w:t>11-person core team covering all pharmaceutical development functions</w:t>
      </w:r>
    </w:p>
    <w:p>
      <w:pPr>
        <w:pStyle w:val="ListBullet"/>
      </w:pPr>
      <w:r>
        <w:t>All development QA oversight through one contracted QA Representative (PharMarketing)</w:t>
      </w:r>
    </w:p>
    <w:p>
      <w:pPr>
        <w:pStyle w:val="ListBullet"/>
      </w:pPr>
      <w:r>
        <w:t>Long-term patient capital model (5–15+ year horizon)</w:t>
      </w:r>
    </w:p>
    <w:p>
      <w:pPr>
        <w:pStyle w:val="ListBullet"/>
      </w:pPr>
      <w:r>
        <w:t>Regulatory jurisdiction: primarily ANSM (France) and EMA (EU), with US FDA applicable for any US development plans</w:t>
      </w:r>
    </w:p>
    <w:p>
      <w:pPr>
        <w:pStyle w:val="ListBullet"/>
      </w:pPr>
      <w:r>
        <w:t>No dedicated sales, marketing, or automation team — all relationship-driven at CEO/CFO level</w:t>
      </w:r>
    </w:p>
    <w:p>
      <w:r>
        <w:rPr>
          <w:b/>
        </w:rPr>
        <w:t>For external service providers, the clearest opportunities are:</w:t>
      </w:r>
    </w:p>
    <w:p>
      <w:pPr>
        <w:pStyle w:val="ListBullet"/>
      </w:pPr>
      <w:r>
        <w:rPr>
          <w:b/>
        </w:rPr>
        <w:t>CROs and CMOs</w:t>
      </w:r>
      <w:r>
        <w:t xml:space="preserve"> — the engine of all study and manufacturing execution; must pass QA qualification</w:t>
      </w:r>
    </w:p>
    <w:p>
      <w:pPr>
        <w:pStyle w:val="ListBullet"/>
      </w:pPr>
      <w:r>
        <w:rPr>
          <w:b/>
        </w:rPr>
        <w:t>Medical writers and biostatisticians</w:t>
      </w:r>
      <w:r>
        <w:t xml:space="preserve"> — essential for every clinical study report and regulatory submission across four simultaneous projects</w:t>
      </w:r>
    </w:p>
    <w:p>
      <w:pPr>
        <w:pStyle w:val="ListBullet"/>
      </w:pPr>
      <w:r>
        <w:rPr>
          <w:b/>
        </w:rPr>
        <w:t>Pharmacovigilance providers</w:t>
      </w:r>
      <w:r>
        <w:t xml:space="preserve"> — required the moment any clinical trial opens</w:t>
      </w:r>
    </w:p>
    <w:p>
      <w:pPr>
        <w:pStyle w:val="ListBullet"/>
      </w:pPr>
      <w:r>
        <w:rPr>
          <w:b/>
        </w:rPr>
        <w:t>IP and patent prosecution firms</w:t>
      </w:r>
      <w:r>
        <w:t xml:space="preserve"> — ongoing FTO monitoring and patent portfolio management</w:t>
      </w:r>
    </w:p>
    <w:p>
      <w:pPr>
        <w:pStyle w:val="ListBullet"/>
      </w:pPr>
      <w:r>
        <w:rPr>
          <w:b/>
        </w:rPr>
        <w:t>Technology platforms</w:t>
      </w:r>
      <w:r>
        <w:t xml:space="preserve"> — CTMS, eTMF, QMS, LIMS, CRM, and VDR are all either confirmed gaps or unspecified tools; vendors with life-sciences-regulated platforms have clear entry points</w:t>
      </w:r>
    </w:p>
    <w:p>
      <w:pPr>
        <w:pStyle w:val="ListBullet"/>
      </w:pPr>
      <w:r>
        <w:rPr>
          <w:b/>
        </w:rPr>
        <w:t>Life sciences PR and content agencies</w:t>
      </w:r>
      <w:r>
        <w:t xml:space="preserve"> — to build visibility with pharma licensing teams and family office investors</w:t>
      </w:r>
    </w:p>
    <w:p>
      <w:pPr>
        <w:pStyle w:val="ListBullet"/>
      </w:pPr>
      <w:r>
        <w:rPr>
          <w:b/>
        </w:rPr>
        <w:t>CIR and financial advisors</w:t>
      </w:r>
      <w:r>
        <w:t xml:space="preserve"> — to optimize the R&amp;D tax credit recovery and statutory compliance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