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before="200"/>
        <w:jc w:val="center"/>
      </w:pPr>
      <w:r>
        <w:rPr>
          <w:rFonts w:ascii="Arial" w:cs="Arial" w:eastAsia="Arial" w:hAnsi="Arial"/>
          <w:b/>
          <w:bCs/>
          <w:color w:val="1B4F72"/>
          <w:sz w:val="52"/>
          <w:szCs w:val="52"/>
        </w:rPr>
        <w:t xml:space="preserve">pie Health</w:t>
      </w:r>
    </w:p>
    <w:p>
      <w:pPr>
        <w:spacing w:after="120" w:before="120"/>
        <w:jc w:val="center"/>
      </w:pPr>
      <w:r>
        <w:rPr>
          <w:rFonts w:ascii="Arial" w:cs="Arial" w:eastAsia="Arial" w:hAnsi="Arial"/>
          <w:color w:val="2E86C1"/>
          <w:sz w:val="28"/>
          <w:szCs w:val="28"/>
        </w:rPr>
        <w:t xml:space="preserve">Business Operations Manual</w:t>
      </w:r>
    </w:p>
    <w:p>
      <w:pPr>
        <w:spacing w:before="200"/>
      </w:pPr>
    </w:p>
    <w:p>
      <w:pPr>
        <w:spacing w:after="80" w:before="80"/>
        <w:jc w:val="center"/>
      </w:pPr>
      <w:r>
        <w:rPr>
          <w:rFonts w:ascii="Arial" w:cs="Arial" w:eastAsia="Arial" w:hAnsi="Arial"/>
          <w:color w:val="555555"/>
          <w:sz w:val="22"/>
          <w:szCs w:val="22"/>
        </w:rPr>
        <w:t xml:space="preserve">Prepared for: B2B Partners, BDRs, Marketing Agencies,</w:t>
      </w:r>
    </w:p>
    <w:p>
      <w:pPr>
        <w:spacing w:after="80" w:before="80"/>
        <w:jc w:val="center"/>
      </w:pPr>
      <w:r>
        <w:rPr>
          <w:rFonts w:ascii="Arial" w:cs="Arial" w:eastAsia="Arial" w:hAnsi="Arial"/>
          <w:color w:val="555555"/>
          <w:sz w:val="22"/>
          <w:szCs w:val="22"/>
        </w:rPr>
        <w:t xml:space="preserve">Consultants, Automation Engineers &amp; Vendors</w:t>
      </w:r>
    </w:p>
    <w:p>
      <w:pPr>
        <w:spacing w:before="80"/>
      </w:pPr>
    </w:p>
    <w:p>
      <w:pPr>
        <w:spacing w:after="80" w:before="80"/>
        <w:jc w:val="center"/>
      </w:pPr>
      <w:r>
        <w:rPr>
          <w:rFonts w:ascii="Arial" w:cs="Arial" w:eastAsia="Arial" w:hAnsi="Arial"/>
          <w:color w:val="555555"/>
          <w:sz w:val="22"/>
          <w:szCs w:val="22"/>
        </w:rPr>
        <w:t xml:space="preserve">Based on: piehealthusa.com | LinkedIn Company &amp; Owner Profiles | Job Posting</w:t>
      </w:r>
    </w:p>
    <w:p>
      <w:pPr>
        <w:spacing w:after="80" w:before="80"/>
        <w:jc w:val="center"/>
      </w:pPr>
      <w:r>
        <w:rPr>
          <w:rFonts w:ascii="Arial" w:cs="Arial" w:eastAsia="Arial" w:hAnsi="Arial"/>
          <w:color w:val="555555"/>
          <w:sz w:val="22"/>
          <w:szCs w:val="22"/>
        </w:rPr>
        <w:t xml:space="preserve">Compiled: May 2026</w:t>
      </w:r>
    </w:p>
    <w:p>
      <w:r>
        <w:br w:type="page"/>
      </w:r>
    </w:p>
    <w:p>
      <w:pPr>
        <w:pStyle w:val="Heading1"/>
        <w:spacing w:after="120" w:before="360"/>
      </w:pPr>
      <w:r>
        <w:rPr>
          <w:rFonts w:ascii="Arial" w:cs="Arial" w:eastAsia="Arial" w:hAnsi="Arial"/>
          <w:b/>
          <w:bCs/>
          <w:color w:val="1B4F72"/>
          <w:sz w:val="32"/>
          <w:szCs w:val="32"/>
        </w:rPr>
        <w:t xml:space="preserve">1. Company Overview</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1.1 Business Name</w:t>
      </w:r>
    </w:p>
    <w:p>
      <w:pPr>
        <w:spacing w:after="60" w:before="60"/>
      </w:pPr>
      <w:r>
        <w:rPr>
          <w:rFonts w:ascii="Arial" w:cs="Arial" w:eastAsia="Arial" w:hAnsi="Arial"/>
          <w:sz w:val="22"/>
          <w:szCs w:val="22"/>
        </w:rPr>
        <w:t xml:space="preserve">pie Health (piehealthusa.com)</w:t>
      </w:r>
    </w:p>
    <w:p>
      <w:pPr>
        <w:pStyle w:val="Heading2"/>
        <w:spacing w:after="80" w:before="280"/>
      </w:pPr>
      <w:r>
        <w:rPr>
          <w:rFonts w:ascii="Arial" w:cs="Arial" w:eastAsia="Arial" w:hAnsi="Arial"/>
          <w:b/>
          <w:bCs/>
          <w:color w:val="2E86C1"/>
          <w:sz w:val="26"/>
          <w:szCs w:val="26"/>
        </w:rPr>
        <w:t xml:space="preserve">1.2 Industry</w:t>
      </w:r>
    </w:p>
    <w:p>
      <w:pPr>
        <w:spacing w:after="60" w:before="60"/>
      </w:pPr>
      <w:r>
        <w:rPr>
          <w:rFonts w:ascii="Arial" w:cs="Arial" w:eastAsia="Arial" w:hAnsi="Arial"/>
          <w:sz w:val="22"/>
          <w:szCs w:val="22"/>
        </w:rPr>
        <w:t xml:space="preserve">Healthcare IT — Medical Credentialing &amp; Payer Enrollment Services</w:t>
      </w:r>
    </w:p>
    <w:p>
      <w:pPr>
        <w:pStyle w:val="Heading2"/>
        <w:spacing w:after="80" w:before="280"/>
      </w:pPr>
      <w:r>
        <w:rPr>
          <w:rFonts w:ascii="Arial" w:cs="Arial" w:eastAsia="Arial" w:hAnsi="Arial"/>
          <w:b/>
          <w:bCs/>
          <w:color w:val="2E86C1"/>
          <w:sz w:val="26"/>
          <w:szCs w:val="26"/>
        </w:rPr>
        <w:t xml:space="preserve">1.3 Core Products or Services</w:t>
      </w:r>
    </w:p>
    <w:p>
      <w:pPr>
        <w:pStyle w:val="ListParagraph"/>
        <w:numPr>
          <w:ilvl w:val="0"/>
          <w:numId w:val="2"/>
        </w:numPr>
        <w:spacing w:after="40" w:before="40"/>
      </w:pPr>
      <w:r>
        <w:rPr>
          <w:rFonts w:ascii="Arial" w:cs="Arial" w:eastAsia="Arial" w:hAnsi="Arial"/>
          <w:sz w:val="22"/>
          <w:szCs w:val="22"/>
        </w:rPr>
        <w:t xml:space="preserve">Insurance credentialing and provider enrollment (individuals, groups, facilities)</w:t>
      </w:r>
    </w:p>
    <w:p>
      <w:pPr>
        <w:pStyle w:val="ListParagraph"/>
        <w:numPr>
          <w:ilvl w:val="0"/>
          <w:numId w:val="2"/>
        </w:numPr>
        <w:spacing w:after="40" w:before="40"/>
      </w:pPr>
      <w:r>
        <w:rPr>
          <w:rFonts w:ascii="Arial" w:cs="Arial" w:eastAsia="Arial" w:hAnsi="Arial"/>
          <w:sz w:val="22"/>
          <w:szCs w:val="22"/>
        </w:rPr>
        <w:t xml:space="preserve">CAQH profile setup, cleanup, and ongoing attestation management</w:t>
      </w:r>
    </w:p>
    <w:p>
      <w:pPr>
        <w:pStyle w:val="ListParagraph"/>
        <w:numPr>
          <w:ilvl w:val="0"/>
          <w:numId w:val="2"/>
        </w:numPr>
        <w:spacing w:after="40" w:before="40"/>
      </w:pPr>
      <w:r>
        <w:rPr>
          <w:rFonts w:ascii="Arial" w:cs="Arial" w:eastAsia="Arial" w:hAnsi="Arial"/>
          <w:sz w:val="22"/>
          <w:szCs w:val="22"/>
        </w:rPr>
        <w:t xml:space="preserve">Medicare and Medicaid enrollment (PECOS, state portals)</w:t>
      </w:r>
    </w:p>
    <w:p>
      <w:pPr>
        <w:pStyle w:val="ListParagraph"/>
        <w:numPr>
          <w:ilvl w:val="0"/>
          <w:numId w:val="2"/>
        </w:numPr>
        <w:spacing w:after="40" w:before="40"/>
      </w:pPr>
      <w:r>
        <w:rPr>
          <w:rFonts w:ascii="Arial" w:cs="Arial" w:eastAsia="Arial" w:hAnsi="Arial"/>
          <w:sz w:val="22"/>
          <w:szCs w:val="22"/>
        </w:rPr>
        <w:t xml:space="preserve">Commercial payer enrollment and paneling</w:t>
      </w:r>
    </w:p>
    <w:p>
      <w:pPr>
        <w:pStyle w:val="ListParagraph"/>
        <w:numPr>
          <w:ilvl w:val="0"/>
          <w:numId w:val="2"/>
        </w:numPr>
        <w:spacing w:after="40" w:before="40"/>
      </w:pPr>
      <w:r>
        <w:rPr>
          <w:rFonts w:ascii="Arial" w:cs="Arial" w:eastAsia="Arial" w:hAnsi="Arial"/>
          <w:sz w:val="22"/>
          <w:szCs w:val="22"/>
        </w:rPr>
        <w:t xml:space="preserve">pie Practice: a real-time, secure client portal (credentialing dashboard)</w:t>
      </w:r>
    </w:p>
    <w:p>
      <w:pPr>
        <w:pStyle w:val="ListParagraph"/>
        <w:numPr>
          <w:ilvl w:val="0"/>
          <w:numId w:val="2"/>
        </w:numPr>
        <w:spacing w:after="40" w:before="40"/>
      </w:pPr>
      <w:r>
        <w:rPr>
          <w:rFonts w:ascii="Arial" w:cs="Arial" w:eastAsia="Arial" w:hAnsi="Arial"/>
          <w:sz w:val="22"/>
          <w:szCs w:val="22"/>
        </w:rPr>
        <w:t xml:space="preserve">Credentialing Launch Plan: a strategic enrollment plan tailored to the provider's market</w:t>
      </w:r>
    </w:p>
    <w:p>
      <w:pPr>
        <w:pStyle w:val="ListParagraph"/>
        <w:numPr>
          <w:ilvl w:val="0"/>
          <w:numId w:val="2"/>
        </w:numPr>
        <w:spacing w:after="40" w:before="40"/>
      </w:pPr>
      <w:r>
        <w:rPr>
          <w:rFonts w:ascii="Arial" w:cs="Arial" w:eastAsia="Arial" w:hAnsi="Arial"/>
          <w:sz w:val="22"/>
          <w:szCs w:val="22"/>
        </w:rPr>
        <w:t xml:space="preserve">Payor Discovery: pre-enrollment panel-status and fee-schedule research</w:t>
      </w:r>
    </w:p>
    <w:p>
      <w:pPr>
        <w:pStyle w:val="ListParagraph"/>
        <w:numPr>
          <w:ilvl w:val="0"/>
          <w:numId w:val="2"/>
        </w:numPr>
        <w:spacing w:after="40" w:before="40"/>
      </w:pPr>
      <w:r>
        <w:rPr>
          <w:rFonts w:ascii="Arial" w:cs="Arial" w:eastAsia="Arial" w:hAnsi="Arial"/>
          <w:sz w:val="22"/>
          <w:szCs w:val="22"/>
        </w:rPr>
        <w:t xml:space="preserve">Ongoing maintenance: recredentialing, revalidation, license tracking, directory updates</w:t>
      </w:r>
    </w:p>
    <w:p>
      <w:pPr>
        <w:pStyle w:val="Heading2"/>
        <w:spacing w:after="80" w:before="280"/>
      </w:pPr>
      <w:r>
        <w:rPr>
          <w:rFonts w:ascii="Arial" w:cs="Arial" w:eastAsia="Arial" w:hAnsi="Arial"/>
          <w:b/>
          <w:bCs/>
          <w:color w:val="2E86C1"/>
          <w:sz w:val="26"/>
          <w:szCs w:val="26"/>
        </w:rPr>
        <w:t xml:space="preserve">1.4 Target Customers</w:t>
      </w:r>
    </w:p>
    <w:p>
      <w:pPr>
        <w:pStyle w:val="ListParagraph"/>
        <w:numPr>
          <w:ilvl w:val="0"/>
          <w:numId w:val="2"/>
        </w:numPr>
        <w:spacing w:after="40" w:before="40"/>
      </w:pPr>
      <w:r>
        <w:rPr>
          <w:rFonts w:ascii="Arial" w:cs="Arial" w:eastAsia="Arial" w:hAnsi="Arial"/>
          <w:sz w:val="22"/>
          <w:szCs w:val="22"/>
        </w:rPr>
        <w:t xml:space="preserve">Solo providers and startup practices (behavioral health, physical therapy, primary care, eye care, etc.)</w:t>
      </w:r>
    </w:p>
    <w:p>
      <w:pPr>
        <w:pStyle w:val="ListParagraph"/>
        <w:numPr>
          <w:ilvl w:val="0"/>
          <w:numId w:val="2"/>
        </w:numPr>
        <w:spacing w:after="40" w:before="40"/>
      </w:pPr>
      <w:r>
        <w:rPr>
          <w:rFonts w:ascii="Arial" w:cs="Arial" w:eastAsia="Arial" w:hAnsi="Arial"/>
          <w:sz w:val="22"/>
          <w:szCs w:val="22"/>
        </w:rPr>
        <w:t xml:space="preserve">Small-to-mid-size multi-provider groups across multiple states</w:t>
      </w:r>
    </w:p>
    <w:p>
      <w:pPr>
        <w:pStyle w:val="ListParagraph"/>
        <w:numPr>
          <w:ilvl w:val="0"/>
          <w:numId w:val="2"/>
        </w:numPr>
        <w:spacing w:after="40" w:before="40"/>
      </w:pPr>
      <w:r>
        <w:rPr>
          <w:rFonts w:ascii="Arial" w:cs="Arial" w:eastAsia="Arial" w:hAnsi="Arial"/>
          <w:sz w:val="22"/>
          <w:szCs w:val="22"/>
        </w:rPr>
        <w:t xml:space="preserve">Large multi-site health organizations needing credentialing infrastructure</w:t>
      </w:r>
    </w:p>
    <w:p>
      <w:pPr>
        <w:pStyle w:val="ListParagraph"/>
        <w:numPr>
          <w:ilvl w:val="0"/>
          <w:numId w:val="2"/>
        </w:numPr>
        <w:spacing w:after="40" w:before="40"/>
      </w:pPr>
      <w:r>
        <w:rPr>
          <w:rFonts w:ascii="Arial" w:cs="Arial" w:eastAsia="Arial" w:hAnsi="Arial"/>
          <w:sz w:val="22"/>
          <w:szCs w:val="22"/>
        </w:rPr>
        <w:t xml:space="preserve">Home health and hospice agencies (including Texas CHOWs and Medicaid expansions)</w:t>
      </w:r>
    </w:p>
    <w:p>
      <w:pPr>
        <w:pStyle w:val="ListParagraph"/>
        <w:numPr>
          <w:ilvl w:val="0"/>
          <w:numId w:val="2"/>
        </w:numPr>
        <w:spacing w:after="40" w:before="40"/>
      </w:pPr>
      <w:r>
        <w:rPr>
          <w:rFonts w:ascii="Arial" w:cs="Arial" w:eastAsia="Arial" w:hAnsi="Arial"/>
          <w:sz w:val="22"/>
          <w:szCs w:val="22"/>
        </w:rPr>
        <w:t xml:space="preserve">Facilities, clinics, laboratories, urgent care centers, dental and vision practices</w:t>
      </w:r>
    </w:p>
    <w:p>
      <w:pPr>
        <w:pStyle w:val="Heading2"/>
        <w:spacing w:after="80" w:before="280"/>
      </w:pPr>
      <w:r>
        <w:rPr>
          <w:rFonts w:ascii="Arial" w:cs="Arial" w:eastAsia="Arial" w:hAnsi="Arial"/>
          <w:b/>
          <w:bCs/>
          <w:color w:val="2E86C1"/>
          <w:sz w:val="26"/>
          <w:szCs w:val="26"/>
        </w:rPr>
        <w:t xml:space="preserve">1.5 Value Proposition</w:t>
      </w:r>
    </w:p>
    <w:p>
      <w:pPr>
        <w:spacing w:after="60" w:before="60"/>
      </w:pPr>
      <w:r>
        <w:rPr>
          <w:rFonts w:ascii="Arial" w:cs="Arial" w:eastAsia="Arial" w:hAnsi="Arial"/>
          <w:sz w:val="22"/>
          <w:szCs w:val="22"/>
        </w:rPr>
        <w:t xml:space="preserve">pie Health gives healthcare providers a faster, cleaner path from application to in-network billing. It removes the administrative burden of credentialing, prevents revenue-killing delays, and maintains ongoing compliance — so practices can focus on patient care instead of paperwork. The company also provides real-time visibility through its pie Practice portal so clients always know where their enrollments stand.</w:t>
      </w:r>
    </w:p>
    <w:p>
      <w:pPr>
        <w:pStyle w:val="Heading2"/>
        <w:spacing w:after="80" w:before="280"/>
      </w:pPr>
      <w:r>
        <w:rPr>
          <w:rFonts w:ascii="Arial" w:cs="Arial" w:eastAsia="Arial" w:hAnsi="Arial"/>
          <w:b/>
          <w:bCs/>
          <w:color w:val="2E86C1"/>
          <w:sz w:val="26"/>
          <w:szCs w:val="26"/>
        </w:rPr>
        <w:t xml:space="preserve">1.6 Business Model</w:t>
      </w:r>
    </w:p>
    <w:p>
      <w:pPr>
        <w:spacing w:after="60" w:before="60"/>
      </w:pPr>
      <w:r>
        <w:rPr>
          <w:rFonts w:ascii="Arial" w:cs="Arial" w:eastAsia="Arial" w:hAnsi="Arial"/>
          <w:b/>
          <w:bCs/>
          <w:sz w:val="22"/>
          <w:szCs w:val="22"/>
        </w:rPr>
        <w:t xml:space="preserve">How the company makes money: </w:t>
      </w:r>
      <w:r>
        <w:rPr>
          <w:rFonts w:ascii="Arial" w:cs="Arial" w:eastAsia="Arial" w:hAnsi="Arial"/>
          <w:sz w:val="22"/>
          <w:szCs w:val="22"/>
        </w:rPr>
        <w:t xml:space="preserve">pie charges clients for credentialing and enrollment services, structured as ongoing portfolio relationships rather than one-off transactions.</w:t>
      </w:r>
    </w:p>
    <w:p>
      <w:pPr>
        <w:spacing w:after="60" w:before="60"/>
      </w:pPr>
      <w:r>
        <w:rPr>
          <w:rFonts w:ascii="Arial" w:cs="Arial" w:eastAsia="Arial" w:hAnsi="Arial"/>
          <w:b/>
          <w:bCs/>
          <w:sz w:val="22"/>
          <w:szCs w:val="22"/>
        </w:rPr>
        <w:t xml:space="preserve">Pricing model: </w:t>
      </w:r>
      <w:r>
        <w:rPr>
          <w:rFonts w:ascii="Arial" w:cs="Arial" w:eastAsia="Arial" w:hAnsi="Arial"/>
          <w:sz w:val="22"/>
          <w:szCs w:val="22"/>
        </w:rPr>
        <w:t xml:space="preserve">Flat per-provider monthly maintenance fees; pass-through of third-party costs (no markup). Project fees apply to scoped work outside ongoing maintenance (e.g., vendor transitions, new specialty launches).</w:t>
      </w:r>
    </w:p>
    <w:p>
      <w:pPr>
        <w:spacing w:after="60" w:before="60"/>
      </w:pPr>
      <w:r>
        <w:rPr>
          <w:rFonts w:ascii="Arial" w:cs="Arial" w:eastAsia="Arial" w:hAnsi="Arial"/>
          <w:b/>
          <w:bCs/>
          <w:sz w:val="22"/>
          <w:szCs w:val="22"/>
        </w:rPr>
        <w:t xml:space="preserve">Revenue streams: </w:t>
      </w:r>
      <w:r>
        <w:rPr>
          <w:rFonts w:ascii="Arial" w:cs="Arial" w:eastAsia="Arial" w:hAnsi="Arial"/>
          <w:sz w:val="22"/>
          <w:szCs w:val="22"/>
        </w:rPr>
        <w:t xml:space="preserve">Monthly retainer / maintenance contracts; one-time project fees for assessments, payor launches, and onboarding transitions; optional add-on services such as payor discovery research and launch planning.</w:t>
      </w:r>
    </w:p>
    <w:p>
      <w:r>
        <w:br w:type="page"/>
      </w:r>
    </w:p>
    <w:p>
      <w:pPr>
        <w:pStyle w:val="Heading1"/>
        <w:spacing w:after="120" w:before="360"/>
      </w:pPr>
      <w:r>
        <w:rPr>
          <w:rFonts w:ascii="Arial" w:cs="Arial" w:eastAsia="Arial" w:hAnsi="Arial"/>
          <w:b/>
          <w:bCs/>
          <w:color w:val="1B4F72"/>
          <w:sz w:val="32"/>
          <w:szCs w:val="32"/>
        </w:rPr>
        <w:t xml:space="preserve">2. Customer Segments</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2.1 Ideal Customer Profile</w:t>
      </w:r>
    </w:p>
    <w:p>
      <w:pPr>
        <w:spacing w:after="60" w:before="60"/>
      </w:pPr>
      <w:r>
        <w:rPr>
          <w:rFonts w:ascii="Arial" w:cs="Arial" w:eastAsia="Arial" w:hAnsi="Arial"/>
          <w:sz w:val="22"/>
          <w:szCs w:val="22"/>
        </w:rPr>
        <w:t xml:space="preserve">The ideal client is a healthcare practice or organization that already has (or is launching) providers who need to bill insurance. They are either struggling with credentialing in-house — using spreadsheets, scattered email chains, and overloaded staff — or have outgrown a previous vendor. They care about revenue continuity and want transparent, reliable tracking.</w:t>
      </w:r>
    </w:p>
    <w:p>
      <w:pPr>
        <w:pStyle w:val="Heading2"/>
        <w:spacing w:after="80" w:before="280"/>
      </w:pPr>
      <w:r>
        <w:rPr>
          <w:rFonts w:ascii="Arial" w:cs="Arial" w:eastAsia="Arial" w:hAnsi="Arial"/>
          <w:b/>
          <w:bCs/>
          <w:color w:val="2E86C1"/>
          <w:sz w:val="26"/>
          <w:szCs w:val="26"/>
        </w:rPr>
        <w:t xml:space="preserve">2.2 Customer Industries</w:t>
      </w:r>
    </w:p>
    <w:p>
      <w:pPr>
        <w:pStyle w:val="ListParagraph"/>
        <w:numPr>
          <w:ilvl w:val="0"/>
          <w:numId w:val="2"/>
        </w:numPr>
        <w:spacing w:after="40" w:before="40"/>
      </w:pPr>
      <w:r>
        <w:rPr>
          <w:rFonts w:ascii="Arial" w:cs="Arial" w:eastAsia="Arial" w:hAnsi="Arial"/>
          <w:sz w:val="22"/>
          <w:szCs w:val="22"/>
        </w:rPr>
        <w:t xml:space="preserve">Behavioral / mental health (LCSWs, LPCs, LMFTs, psychologists, psychiatrists, PMHNPs)</w:t>
      </w:r>
    </w:p>
    <w:p>
      <w:pPr>
        <w:pStyle w:val="ListParagraph"/>
        <w:numPr>
          <w:ilvl w:val="0"/>
          <w:numId w:val="2"/>
        </w:numPr>
        <w:spacing w:after="40" w:before="40"/>
      </w:pPr>
      <w:r>
        <w:rPr>
          <w:rFonts w:ascii="Arial" w:cs="Arial" w:eastAsia="Arial" w:hAnsi="Arial"/>
          <w:sz w:val="22"/>
          <w:szCs w:val="22"/>
        </w:rPr>
        <w:t xml:space="preserve">Physical therapy and rehabilitation</w:t>
      </w:r>
    </w:p>
    <w:p>
      <w:pPr>
        <w:pStyle w:val="ListParagraph"/>
        <w:numPr>
          <w:ilvl w:val="0"/>
          <w:numId w:val="2"/>
        </w:numPr>
        <w:spacing w:after="40" w:before="40"/>
      </w:pPr>
      <w:r>
        <w:rPr>
          <w:rFonts w:ascii="Arial" w:cs="Arial" w:eastAsia="Arial" w:hAnsi="Arial"/>
          <w:sz w:val="22"/>
          <w:szCs w:val="22"/>
        </w:rPr>
        <w:t xml:space="preserve">Primary care and internal medicine</w:t>
      </w:r>
    </w:p>
    <w:p>
      <w:pPr>
        <w:pStyle w:val="ListParagraph"/>
        <w:numPr>
          <w:ilvl w:val="0"/>
          <w:numId w:val="2"/>
        </w:numPr>
        <w:spacing w:after="40" w:before="40"/>
      </w:pPr>
      <w:r>
        <w:rPr>
          <w:rFonts w:ascii="Arial" w:cs="Arial" w:eastAsia="Arial" w:hAnsi="Arial"/>
          <w:sz w:val="22"/>
          <w:szCs w:val="22"/>
        </w:rPr>
        <w:t xml:space="preserve">Home health and hospice</w:t>
      </w:r>
    </w:p>
    <w:p>
      <w:pPr>
        <w:pStyle w:val="ListParagraph"/>
        <w:numPr>
          <w:ilvl w:val="0"/>
          <w:numId w:val="2"/>
        </w:numPr>
        <w:spacing w:after="40" w:before="40"/>
      </w:pPr>
      <w:r>
        <w:rPr>
          <w:rFonts w:ascii="Arial" w:cs="Arial" w:eastAsia="Arial" w:hAnsi="Arial"/>
          <w:sz w:val="22"/>
          <w:szCs w:val="22"/>
        </w:rPr>
        <w:t xml:space="preserve">Eye care (optometry, ophthalmology)</w:t>
      </w:r>
    </w:p>
    <w:p>
      <w:pPr>
        <w:pStyle w:val="ListParagraph"/>
        <w:numPr>
          <w:ilvl w:val="0"/>
          <w:numId w:val="2"/>
        </w:numPr>
        <w:spacing w:after="40" w:before="40"/>
      </w:pPr>
      <w:r>
        <w:rPr>
          <w:rFonts w:ascii="Arial" w:cs="Arial" w:eastAsia="Arial" w:hAnsi="Arial"/>
          <w:sz w:val="22"/>
          <w:szCs w:val="22"/>
        </w:rPr>
        <w:t xml:space="preserve">Dental and oral surgery</w:t>
      </w:r>
    </w:p>
    <w:p>
      <w:pPr>
        <w:pStyle w:val="ListParagraph"/>
        <w:numPr>
          <w:ilvl w:val="0"/>
          <w:numId w:val="2"/>
        </w:numPr>
        <w:spacing w:after="40" w:before="40"/>
      </w:pPr>
      <w:r>
        <w:rPr>
          <w:rFonts w:ascii="Arial" w:cs="Arial" w:eastAsia="Arial" w:hAnsi="Arial"/>
          <w:sz w:val="22"/>
          <w:szCs w:val="22"/>
        </w:rPr>
        <w:t xml:space="preserve">Radiology, laboratory, chiropractic, urgent care</w:t>
      </w:r>
    </w:p>
    <w:p>
      <w:pPr>
        <w:pStyle w:val="ListParagraph"/>
        <w:numPr>
          <w:ilvl w:val="0"/>
          <w:numId w:val="2"/>
        </w:numPr>
        <w:spacing w:after="40" w:before="40"/>
      </w:pPr>
      <w:r>
        <w:rPr>
          <w:rFonts w:ascii="Arial" w:cs="Arial" w:eastAsia="Arial" w:hAnsi="Arial"/>
          <w:sz w:val="22"/>
          <w:szCs w:val="22"/>
        </w:rPr>
        <w:t xml:space="preserve">Advanced practice providers (NPs, PAs)</w:t>
      </w:r>
    </w:p>
    <w:p>
      <w:pPr>
        <w:pStyle w:val="ListParagraph"/>
        <w:numPr>
          <w:ilvl w:val="0"/>
          <w:numId w:val="2"/>
        </w:numPr>
        <w:spacing w:after="40" w:before="40"/>
      </w:pPr>
      <w:r>
        <w:rPr>
          <w:rFonts w:ascii="Arial" w:cs="Arial" w:eastAsia="Arial" w:hAnsi="Arial"/>
          <w:sz w:val="22"/>
          <w:szCs w:val="22"/>
        </w:rPr>
        <w:t xml:space="preserve">Multi-specialty and hospital-based groups</w:t>
      </w:r>
    </w:p>
    <w:p>
      <w:pPr>
        <w:pStyle w:val="Heading2"/>
        <w:spacing w:after="80" w:before="280"/>
      </w:pPr>
      <w:r>
        <w:rPr>
          <w:rFonts w:ascii="Arial" w:cs="Arial" w:eastAsia="Arial" w:hAnsi="Arial"/>
          <w:b/>
          <w:bCs/>
          <w:color w:val="2E86C1"/>
          <w:sz w:val="26"/>
          <w:szCs w:val="26"/>
        </w:rPr>
        <w:t xml:space="preserve">2.3 Customer Size</w:t>
      </w:r>
    </w:p>
    <w:p>
      <w:pPr>
        <w:pStyle w:val="ListParagraph"/>
        <w:numPr>
          <w:ilvl w:val="0"/>
          <w:numId w:val="2"/>
        </w:numPr>
        <w:spacing w:after="40" w:before="40"/>
      </w:pPr>
      <w:r>
        <w:rPr>
          <w:rFonts w:ascii="Arial" w:cs="Arial" w:eastAsia="Arial" w:hAnsi="Arial"/>
          <w:sz w:val="22"/>
          <w:szCs w:val="22"/>
        </w:rPr>
        <w:t xml:space="preserve">Solo / startup providers: 1 provider, 1-5 payors</w:t>
      </w:r>
    </w:p>
    <w:p>
      <w:pPr>
        <w:pStyle w:val="ListParagraph"/>
        <w:numPr>
          <w:ilvl w:val="0"/>
          <w:numId w:val="2"/>
        </w:numPr>
        <w:spacing w:after="40" w:before="40"/>
      </w:pPr>
      <w:r>
        <w:rPr>
          <w:rFonts w:ascii="Arial" w:cs="Arial" w:eastAsia="Arial" w:hAnsi="Arial"/>
          <w:sz w:val="22"/>
          <w:szCs w:val="22"/>
        </w:rPr>
        <w:t xml:space="preserve">Small practices: 2–10 providers, multiple locations</w:t>
      </w:r>
    </w:p>
    <w:p>
      <w:pPr>
        <w:pStyle w:val="ListParagraph"/>
        <w:numPr>
          <w:ilvl w:val="0"/>
          <w:numId w:val="2"/>
        </w:numPr>
        <w:spacing w:after="40" w:before="40"/>
      </w:pPr>
      <w:r>
        <w:rPr>
          <w:rFonts w:ascii="Arial" w:cs="Arial" w:eastAsia="Arial" w:hAnsi="Arial"/>
          <w:sz w:val="22"/>
          <w:szCs w:val="22"/>
        </w:rPr>
        <w:t xml:space="preserve">Mid-size groups: 10–100 providers, multiple states and tax IDs</w:t>
      </w:r>
    </w:p>
    <w:p>
      <w:pPr>
        <w:pStyle w:val="ListParagraph"/>
        <w:numPr>
          <w:ilvl w:val="0"/>
          <w:numId w:val="2"/>
        </w:numPr>
        <w:spacing w:after="40" w:before="40"/>
      </w:pPr>
      <w:r>
        <w:rPr>
          <w:rFonts w:ascii="Arial" w:cs="Arial" w:eastAsia="Arial" w:hAnsi="Arial"/>
          <w:sz w:val="22"/>
          <w:szCs w:val="22"/>
        </w:rPr>
        <w:t xml:space="preserve">Large organizations: 100+ providers, complex ownership structures, multi-state payor relationships</w:t>
      </w:r>
    </w:p>
    <w:p>
      <w:pPr>
        <w:pStyle w:val="Heading2"/>
        <w:spacing w:after="80" w:before="280"/>
      </w:pPr>
      <w:r>
        <w:rPr>
          <w:rFonts w:ascii="Arial" w:cs="Arial" w:eastAsia="Arial" w:hAnsi="Arial"/>
          <w:b/>
          <w:bCs/>
          <w:color w:val="2E86C1"/>
          <w:sz w:val="26"/>
          <w:szCs w:val="26"/>
        </w:rPr>
        <w:t xml:space="preserve">2.4 Common Customer Problems</w:t>
      </w:r>
    </w:p>
    <w:p>
      <w:pPr>
        <w:pStyle w:val="ListParagraph"/>
        <w:numPr>
          <w:ilvl w:val="0"/>
          <w:numId w:val="2"/>
        </w:numPr>
        <w:spacing w:after="40" w:before="40"/>
      </w:pPr>
      <w:r>
        <w:rPr>
          <w:rFonts w:ascii="Arial" w:cs="Arial" w:eastAsia="Arial" w:hAnsi="Arial"/>
          <w:sz w:val="22"/>
          <w:szCs w:val="22"/>
        </w:rPr>
        <w:t xml:space="preserve">Credentialing managed by overloaded office staff with no dedicated system</w:t>
      </w:r>
    </w:p>
    <w:p>
      <w:pPr>
        <w:pStyle w:val="ListParagraph"/>
        <w:numPr>
          <w:ilvl w:val="0"/>
          <w:numId w:val="2"/>
        </w:numPr>
        <w:spacing w:after="40" w:before="40"/>
      </w:pPr>
      <w:r>
        <w:rPr>
          <w:rFonts w:ascii="Arial" w:cs="Arial" w:eastAsia="Arial" w:hAnsi="Arial"/>
          <w:sz w:val="22"/>
          <w:szCs w:val="22"/>
        </w:rPr>
        <w:t xml:space="preserve">Revenue delayed because new providers are not in-network before start date</w:t>
      </w:r>
    </w:p>
    <w:p>
      <w:pPr>
        <w:pStyle w:val="ListParagraph"/>
        <w:numPr>
          <w:ilvl w:val="0"/>
          <w:numId w:val="2"/>
        </w:numPr>
        <w:spacing w:after="40" w:before="40"/>
      </w:pPr>
      <w:r>
        <w:rPr>
          <w:rFonts w:ascii="Arial" w:cs="Arial" w:eastAsia="Arial" w:hAnsi="Arial"/>
          <w:sz w:val="22"/>
          <w:szCs w:val="22"/>
        </w:rPr>
        <w:t xml:space="preserve">Recredentialing and revalidation deadlines missed, causing network termination</w:t>
      </w:r>
    </w:p>
    <w:p>
      <w:pPr>
        <w:pStyle w:val="ListParagraph"/>
        <w:numPr>
          <w:ilvl w:val="0"/>
          <w:numId w:val="2"/>
        </w:numPr>
        <w:spacing w:after="40" w:before="40"/>
      </w:pPr>
      <w:r>
        <w:rPr>
          <w:rFonts w:ascii="Arial" w:cs="Arial" w:eastAsia="Arial" w:hAnsi="Arial"/>
          <w:sz w:val="22"/>
          <w:szCs w:val="22"/>
        </w:rPr>
        <w:t xml:space="preserve">CAQH profiles lapsed, causing simultaneous denials across multiple payers</w:t>
      </w:r>
    </w:p>
    <w:p>
      <w:pPr>
        <w:pStyle w:val="ListParagraph"/>
        <w:numPr>
          <w:ilvl w:val="0"/>
          <w:numId w:val="2"/>
        </w:numPr>
        <w:spacing w:after="40" w:before="40"/>
      </w:pPr>
      <w:r>
        <w:rPr>
          <w:rFonts w:ascii="Arial" w:cs="Arial" w:eastAsia="Arial" w:hAnsi="Arial"/>
          <w:sz w:val="22"/>
          <w:szCs w:val="22"/>
        </w:rPr>
        <w:t xml:space="preserve">No single source of truth for which providers are enrolled with which payors</w:t>
      </w:r>
    </w:p>
    <w:p>
      <w:pPr>
        <w:pStyle w:val="ListParagraph"/>
        <w:numPr>
          <w:ilvl w:val="0"/>
          <w:numId w:val="2"/>
        </w:numPr>
        <w:spacing w:after="40" w:before="40"/>
      </w:pPr>
      <w:r>
        <w:rPr>
          <w:rFonts w:ascii="Arial" w:cs="Arial" w:eastAsia="Arial" w:hAnsi="Arial"/>
          <w:sz w:val="22"/>
          <w:szCs w:val="22"/>
        </w:rPr>
        <w:t xml:space="preserve">Leaving a delegated platform (e.g., Headway) and needing to rebuild independent panels</w:t>
      </w:r>
    </w:p>
    <w:p>
      <w:pPr>
        <w:pStyle w:val="ListParagraph"/>
        <w:numPr>
          <w:ilvl w:val="0"/>
          <w:numId w:val="2"/>
        </w:numPr>
        <w:spacing w:after="40" w:before="40"/>
      </w:pPr>
      <w:r>
        <w:rPr>
          <w:rFonts w:ascii="Arial" w:cs="Arial" w:eastAsia="Arial" w:hAnsi="Arial"/>
          <w:sz w:val="22"/>
          <w:szCs w:val="22"/>
        </w:rPr>
        <w:t xml:space="preserve">Poor experience with a prior credentialing vendor: lost files, no updates, missed deadlines</w:t>
      </w:r>
    </w:p>
    <w:p>
      <w:pPr>
        <w:pStyle w:val="Heading2"/>
        <w:spacing w:after="80" w:before="280"/>
      </w:pPr>
      <w:r>
        <w:rPr>
          <w:rFonts w:ascii="Arial" w:cs="Arial" w:eastAsia="Arial" w:hAnsi="Arial"/>
          <w:b/>
          <w:bCs/>
          <w:color w:val="2E86C1"/>
          <w:sz w:val="26"/>
          <w:szCs w:val="26"/>
        </w:rPr>
        <w:t xml:space="preserve">2.5 Typical Customer Goals</w:t>
      </w:r>
    </w:p>
    <w:p>
      <w:pPr>
        <w:pStyle w:val="ListParagraph"/>
        <w:numPr>
          <w:ilvl w:val="0"/>
          <w:numId w:val="2"/>
        </w:numPr>
        <w:spacing w:after="40" w:before="40"/>
      </w:pPr>
      <w:r>
        <w:rPr>
          <w:rFonts w:ascii="Arial" w:cs="Arial" w:eastAsia="Arial" w:hAnsi="Arial"/>
          <w:sz w:val="22"/>
          <w:szCs w:val="22"/>
        </w:rPr>
        <w:t xml:space="preserve">Get new providers in-network and billing faster</w:t>
      </w:r>
    </w:p>
    <w:p>
      <w:pPr>
        <w:pStyle w:val="ListParagraph"/>
        <w:numPr>
          <w:ilvl w:val="0"/>
          <w:numId w:val="2"/>
        </w:numPr>
        <w:spacing w:after="40" w:before="40"/>
      </w:pPr>
      <w:r>
        <w:rPr>
          <w:rFonts w:ascii="Arial" w:cs="Arial" w:eastAsia="Arial" w:hAnsi="Arial"/>
          <w:sz w:val="22"/>
          <w:szCs w:val="22"/>
        </w:rPr>
        <w:t xml:space="preserve">Reduce credentialing-related claim denials</w:t>
      </w:r>
    </w:p>
    <w:p>
      <w:pPr>
        <w:pStyle w:val="ListParagraph"/>
        <w:numPr>
          <w:ilvl w:val="0"/>
          <w:numId w:val="2"/>
        </w:numPr>
        <w:spacing w:after="40" w:before="40"/>
      </w:pPr>
      <w:r>
        <w:rPr>
          <w:rFonts w:ascii="Arial" w:cs="Arial" w:eastAsia="Arial" w:hAnsi="Arial"/>
          <w:sz w:val="22"/>
          <w:szCs w:val="22"/>
        </w:rPr>
        <w:t xml:space="preserve">Have real-time visibility into enrollment status without chasing updates</w:t>
      </w:r>
    </w:p>
    <w:p>
      <w:pPr>
        <w:pStyle w:val="ListParagraph"/>
        <w:numPr>
          <w:ilvl w:val="0"/>
          <w:numId w:val="2"/>
        </w:numPr>
        <w:spacing w:after="40" w:before="40"/>
      </w:pPr>
      <w:r>
        <w:rPr>
          <w:rFonts w:ascii="Arial" w:cs="Arial" w:eastAsia="Arial" w:hAnsi="Arial"/>
          <w:sz w:val="22"/>
          <w:szCs w:val="22"/>
        </w:rPr>
        <w:t xml:space="preserve">Maintain ongoing compliance without assigning it to clinical or billing staff</w:t>
      </w:r>
    </w:p>
    <w:p>
      <w:pPr>
        <w:pStyle w:val="ListParagraph"/>
        <w:numPr>
          <w:ilvl w:val="0"/>
          <w:numId w:val="2"/>
        </w:numPr>
        <w:spacing w:after="40" w:before="40"/>
      </w:pPr>
      <w:r>
        <w:rPr>
          <w:rFonts w:ascii="Arial" w:cs="Arial" w:eastAsia="Arial" w:hAnsi="Arial"/>
          <w:sz w:val="22"/>
          <w:szCs w:val="22"/>
        </w:rPr>
        <w:t xml:space="preserve">Scale into new payors or new geographies without internal bandwidth constraints</w:t>
      </w:r>
    </w:p>
    <w:p>
      <w:r>
        <w:br w:type="page"/>
      </w:r>
    </w:p>
    <w:p>
      <w:pPr>
        <w:pStyle w:val="Heading1"/>
        <w:spacing w:after="120" w:before="360"/>
      </w:pPr>
      <w:r>
        <w:rPr>
          <w:rFonts w:ascii="Arial" w:cs="Arial" w:eastAsia="Arial" w:hAnsi="Arial"/>
          <w:b/>
          <w:bCs/>
          <w:color w:val="1B4F72"/>
          <w:sz w:val="32"/>
          <w:szCs w:val="32"/>
        </w:rPr>
        <w:t xml:space="preserve">3. Product / Service Breakdown</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3.1 Core Services</w:t>
      </w:r>
    </w:p>
    <w:p>
      <w:pPr>
        <w:spacing w:after="60" w:before="60"/>
      </w:pPr>
      <w:r>
        <w:rPr>
          <w:rFonts w:ascii="Arial" w:cs="Arial" w:eastAsia="Arial" w:hAnsi="Arial"/>
          <w:b/>
          <w:bCs/>
          <w:sz w:val="22"/>
          <w:szCs w:val="22"/>
        </w:rPr>
        <w:t xml:space="preserve">Individual provider credentialing: </w:t>
      </w:r>
      <w:r>
        <w:rPr>
          <w:rFonts w:ascii="Arial" w:cs="Arial" w:eastAsia="Arial" w:hAnsi="Arial"/>
          <w:sz w:val="22"/>
          <w:szCs w:val="22"/>
        </w:rPr>
        <w:t xml:space="preserve">Applications to commercial payers, Medicare (PECOS), Medicaid (state portals), and MCOs for each clinician.</w:t>
      </w:r>
    </w:p>
    <w:p>
      <w:pPr>
        <w:spacing w:after="60" w:before="60"/>
      </w:pPr>
      <w:r>
        <w:rPr>
          <w:rFonts w:ascii="Arial" w:cs="Arial" w:eastAsia="Arial" w:hAnsi="Arial"/>
          <w:b/>
          <w:bCs/>
          <w:sz w:val="22"/>
          <w:szCs w:val="22"/>
        </w:rPr>
        <w:t xml:space="preserve">Group credentialing and linkage: </w:t>
      </w:r>
      <w:r>
        <w:rPr>
          <w:rFonts w:ascii="Arial" w:cs="Arial" w:eastAsia="Arial" w:hAnsi="Arial"/>
          <w:sz w:val="22"/>
          <w:szCs w:val="22"/>
        </w:rPr>
        <w:t xml:space="preserve">Entity-level enrollment plus correct linking of each provider to the group contract and each service location.</w:t>
      </w:r>
    </w:p>
    <w:p>
      <w:pPr>
        <w:spacing w:after="60" w:before="60"/>
      </w:pPr>
      <w:r>
        <w:rPr>
          <w:rFonts w:ascii="Arial" w:cs="Arial" w:eastAsia="Arial" w:hAnsi="Arial"/>
          <w:b/>
          <w:bCs/>
          <w:sz w:val="22"/>
          <w:szCs w:val="22"/>
        </w:rPr>
        <w:t xml:space="preserve">CAQH management: </w:t>
      </w:r>
      <w:r>
        <w:rPr>
          <w:rFonts w:ascii="Arial" w:cs="Arial" w:eastAsia="Arial" w:hAnsi="Arial"/>
          <w:sz w:val="22"/>
          <w:szCs w:val="22"/>
        </w:rPr>
        <w:t xml:space="preserve">Profile setup, cleanup, and re-attestation every 120 days to prevent profile lapse.</w:t>
      </w:r>
    </w:p>
    <w:p>
      <w:pPr>
        <w:spacing w:after="60" w:before="60"/>
      </w:pPr>
      <w:r>
        <w:rPr>
          <w:rFonts w:ascii="Arial" w:cs="Arial" w:eastAsia="Arial" w:hAnsi="Arial"/>
          <w:b/>
          <w:bCs/>
          <w:sz w:val="22"/>
          <w:szCs w:val="22"/>
        </w:rPr>
        <w:t xml:space="preserve">Ongoing maintenance: </w:t>
      </w:r>
      <w:r>
        <w:rPr>
          <w:rFonts w:ascii="Arial" w:cs="Arial" w:eastAsia="Arial" w:hAnsi="Arial"/>
          <w:sz w:val="22"/>
          <w:szCs w:val="22"/>
        </w:rPr>
        <w:t xml:space="preserve">Active tracking of recredentialing cycles, revalidations, license expirations, malpractice renewals, and directory updates.</w:t>
      </w:r>
    </w:p>
    <w:p>
      <w:pPr>
        <w:spacing w:after="60" w:before="60"/>
      </w:pPr>
      <w:r>
        <w:rPr>
          <w:rFonts w:ascii="Arial" w:cs="Arial" w:eastAsia="Arial" w:hAnsi="Arial"/>
          <w:b/>
          <w:bCs/>
          <w:sz w:val="22"/>
          <w:szCs w:val="22"/>
        </w:rPr>
        <w:t xml:space="preserve">Payor follow-up: </w:t>
      </w:r>
      <w:r>
        <w:rPr>
          <w:rFonts w:ascii="Arial" w:cs="Arial" w:eastAsia="Arial" w:hAnsi="Arial"/>
          <w:sz w:val="22"/>
          <w:szCs w:val="22"/>
        </w:rPr>
        <w:t xml:space="preserve">Regular outreach to payer portals and phone lines to move applications forward and confirm effective dates.</w:t>
      </w:r>
    </w:p>
    <w:p>
      <w:pPr>
        <w:pStyle w:val="Heading2"/>
        <w:spacing w:after="80" w:before="280"/>
      </w:pPr>
      <w:r>
        <w:rPr>
          <w:rFonts w:ascii="Arial" w:cs="Arial" w:eastAsia="Arial" w:hAnsi="Arial"/>
          <w:b/>
          <w:bCs/>
          <w:color w:val="2E86C1"/>
          <w:sz w:val="26"/>
          <w:szCs w:val="26"/>
        </w:rPr>
        <w:t xml:space="preserve">3.2 Optional / Add-On Services</w:t>
      </w:r>
    </w:p>
    <w:p>
      <w:pPr>
        <w:spacing w:after="60" w:before="60"/>
      </w:pPr>
      <w:r>
        <w:rPr>
          <w:rFonts w:ascii="Arial" w:cs="Arial" w:eastAsia="Arial" w:hAnsi="Arial"/>
          <w:b/>
          <w:bCs/>
          <w:sz w:val="22"/>
          <w:szCs w:val="22"/>
        </w:rPr>
        <w:t xml:space="preserve">Credentialing Launch Plan: </w:t>
      </w:r>
      <w:r>
        <w:rPr>
          <w:rFonts w:ascii="Arial" w:cs="Arial" w:eastAsia="Arial" w:hAnsi="Arial"/>
          <w:sz w:val="22"/>
          <w:szCs w:val="22"/>
        </w:rPr>
        <w:t xml:space="preserve">Market research, payor prioritization, timeline projections, and a document checklist tailored to specialty and location.</w:t>
      </w:r>
    </w:p>
    <w:p>
      <w:pPr>
        <w:spacing w:after="60" w:before="60"/>
      </w:pPr>
      <w:r>
        <w:rPr>
          <w:rFonts w:ascii="Arial" w:cs="Arial" w:eastAsia="Arial" w:hAnsi="Arial"/>
          <w:b/>
          <w:bCs/>
          <w:sz w:val="22"/>
          <w:szCs w:val="22"/>
        </w:rPr>
        <w:t xml:space="preserve">Payor Discovery: </w:t>
      </w:r>
      <w:r>
        <w:rPr>
          <w:rFonts w:ascii="Arial" w:cs="Arial" w:eastAsia="Arial" w:hAnsi="Arial"/>
          <w:sz w:val="22"/>
          <w:szCs w:val="22"/>
        </w:rPr>
        <w:t xml:space="preserve">Investigates panel status, fee schedule availability, contracting structure, known delays, and pre-enrollment requirements before any application goes out.</w:t>
      </w:r>
    </w:p>
    <w:p>
      <w:pPr>
        <w:spacing w:after="60" w:before="60"/>
      </w:pPr>
      <w:r>
        <w:rPr>
          <w:rFonts w:ascii="Arial" w:cs="Arial" w:eastAsia="Arial" w:hAnsi="Arial"/>
          <w:b/>
          <w:bCs/>
          <w:sz w:val="22"/>
          <w:szCs w:val="22"/>
        </w:rPr>
        <w:t xml:space="preserve">Vendor transition support: </w:t>
      </w:r>
      <w:r>
        <w:rPr>
          <w:rFonts w:ascii="Arial" w:cs="Arial" w:eastAsia="Arial" w:hAnsi="Arial"/>
          <w:sz w:val="22"/>
          <w:szCs w:val="22"/>
        </w:rPr>
        <w:t xml:space="preserve">Helps practices securely exit a prior credentialing vendor, recover files, and audit gaps.</w:t>
      </w:r>
    </w:p>
    <w:p>
      <w:pPr>
        <w:spacing w:after="60" w:before="60"/>
      </w:pPr>
      <w:r>
        <w:rPr>
          <w:rFonts w:ascii="Arial" w:cs="Arial" w:eastAsia="Arial" w:hAnsi="Arial"/>
          <w:b/>
          <w:bCs/>
          <w:sz w:val="22"/>
          <w:szCs w:val="22"/>
        </w:rPr>
        <w:t xml:space="preserve">Free initial consultation: </w:t>
      </w:r>
      <w:r>
        <w:rPr>
          <w:rFonts w:ascii="Arial" w:cs="Arial" w:eastAsia="Arial" w:hAnsi="Arial"/>
          <w:sz w:val="22"/>
          <w:szCs w:val="22"/>
        </w:rPr>
        <w:t xml:space="preserve">Short discovery call at no charge to assess current situation and recommend a path forward.</w:t>
      </w:r>
    </w:p>
    <w:p>
      <w:pPr>
        <w:pStyle w:val="Heading2"/>
        <w:spacing w:after="80" w:before="280"/>
      </w:pPr>
      <w:r>
        <w:rPr>
          <w:rFonts w:ascii="Arial" w:cs="Arial" w:eastAsia="Arial" w:hAnsi="Arial"/>
          <w:b/>
          <w:bCs/>
          <w:color w:val="2E86C1"/>
          <w:sz w:val="26"/>
          <w:szCs w:val="26"/>
        </w:rPr>
        <w:t xml:space="preserve">3.3 Product Features</w:t>
      </w:r>
    </w:p>
    <w:p>
      <w:pPr>
        <w:spacing w:after="60" w:before="60"/>
      </w:pPr>
      <w:r>
        <w:rPr>
          <w:rFonts w:ascii="Arial" w:cs="Arial" w:eastAsia="Arial" w:hAnsi="Arial"/>
          <w:b/>
          <w:bCs/>
          <w:sz w:val="22"/>
          <w:szCs w:val="22"/>
        </w:rPr>
        <w:t xml:space="preserve">pie Practice (client portal): </w:t>
      </w:r>
      <w:r>
        <w:rPr>
          <w:rFonts w:ascii="Arial" w:cs="Arial" w:eastAsia="Arial" w:hAnsi="Arial"/>
          <w:sz w:val="22"/>
          <w:szCs w:val="22"/>
        </w:rPr>
        <w:t xml:space="preserve">Secure dashboard showing real-time status of all credentialing projects, requests, provider enrollments by payor, group contracts, and meeting summaries. Accessible to the whole client team with no silos.</w:t>
      </w:r>
    </w:p>
    <w:p>
      <w:pPr>
        <w:spacing w:after="60" w:before="60"/>
      </w:pPr>
      <w:r>
        <w:rPr>
          <w:rFonts w:ascii="Arial" w:cs="Arial" w:eastAsia="Arial" w:hAnsi="Arial"/>
          <w:b/>
          <w:bCs/>
          <w:sz w:val="22"/>
          <w:szCs w:val="22"/>
        </w:rPr>
        <w:t xml:space="preserve">Primary source verification (PSV): </w:t>
      </w:r>
      <w:r>
        <w:rPr>
          <w:rFonts w:ascii="Arial" w:cs="Arial" w:eastAsia="Arial" w:hAnsi="Arial"/>
          <w:sz w:val="22"/>
          <w:szCs w:val="22"/>
        </w:rPr>
        <w:t xml:space="preserve">pie verifies provider credentials directly from issuing sources, aligning with NCQA standards.</w:t>
      </w:r>
    </w:p>
    <w:p>
      <w:pPr>
        <w:spacing w:after="60" w:before="60"/>
      </w:pPr>
      <w:r>
        <w:rPr>
          <w:rFonts w:ascii="Arial" w:cs="Arial" w:eastAsia="Arial" w:hAnsi="Arial"/>
          <w:b/>
          <w:bCs/>
          <w:sz w:val="22"/>
          <w:szCs w:val="22"/>
        </w:rPr>
        <w:t xml:space="preserve">Payor knowledge base: </w:t>
      </w:r>
      <w:r>
        <w:rPr>
          <w:rFonts w:ascii="Arial" w:cs="Arial" w:eastAsia="Arial" w:hAnsi="Arial"/>
          <w:sz w:val="22"/>
          <w:szCs w:val="22"/>
        </w:rPr>
        <w:t xml:space="preserve">Internal crowd-sourced database of payor contacts, turnaround times, instructions, and quirks — used to prevent common errors and speed up follow-up.</w:t>
      </w:r>
    </w:p>
    <w:p>
      <w:pPr>
        <w:spacing w:after="60" w:before="60"/>
      </w:pPr>
      <w:r>
        <w:rPr>
          <w:rFonts w:ascii="Arial" w:cs="Arial" w:eastAsia="Arial" w:hAnsi="Arial"/>
          <w:b/>
          <w:bCs/>
          <w:sz w:val="22"/>
          <w:szCs w:val="22"/>
        </w:rPr>
        <w:t xml:space="preserve">Expirable tracking: </w:t>
      </w:r>
      <w:r>
        <w:rPr>
          <w:rFonts w:ascii="Arial" w:cs="Arial" w:eastAsia="Arial" w:hAnsi="Arial"/>
          <w:sz w:val="22"/>
          <w:szCs w:val="22"/>
        </w:rPr>
        <w:t xml:space="preserve">Automated tracking of license expirations, malpractice policy dates, CAQH re-attestation windows, and recredentialing cycles.</w:t>
      </w:r>
    </w:p>
    <w:p>
      <w:pPr>
        <w:pStyle w:val="Heading2"/>
        <w:spacing w:after="80" w:before="280"/>
      </w:pPr>
      <w:r>
        <w:rPr>
          <w:rFonts w:ascii="Arial" w:cs="Arial" w:eastAsia="Arial" w:hAnsi="Arial"/>
          <w:b/>
          <w:bCs/>
          <w:color w:val="2E86C1"/>
          <w:sz w:val="26"/>
          <w:szCs w:val="26"/>
        </w:rPr>
        <w:t xml:space="preserve">3.4 Deliverables Clients Receive</w:t>
      </w:r>
    </w:p>
    <w:p>
      <w:pPr>
        <w:pStyle w:val="ListParagraph"/>
        <w:numPr>
          <w:ilvl w:val="0"/>
          <w:numId w:val="2"/>
        </w:numPr>
        <w:spacing w:after="40" w:before="40"/>
      </w:pPr>
      <w:r>
        <w:rPr>
          <w:rFonts w:ascii="Arial" w:cs="Arial" w:eastAsia="Arial" w:hAnsi="Arial"/>
          <w:sz w:val="22"/>
          <w:szCs w:val="22"/>
        </w:rPr>
        <w:t xml:space="preserve">Submitted applications with confirmation and tracking</w:t>
      </w:r>
    </w:p>
    <w:p>
      <w:pPr>
        <w:pStyle w:val="ListParagraph"/>
        <w:numPr>
          <w:ilvl w:val="0"/>
          <w:numId w:val="2"/>
        </w:numPr>
        <w:spacing w:after="40" w:before="40"/>
      </w:pPr>
      <w:r>
        <w:rPr>
          <w:rFonts w:ascii="Arial" w:cs="Arial" w:eastAsia="Arial" w:hAnsi="Arial"/>
          <w:sz w:val="22"/>
          <w:szCs w:val="22"/>
        </w:rPr>
        <w:t xml:space="preserve">Real-time enrollment status visible in the pie Practice portal</w:t>
      </w:r>
    </w:p>
    <w:p>
      <w:pPr>
        <w:pStyle w:val="ListParagraph"/>
        <w:numPr>
          <w:ilvl w:val="0"/>
          <w:numId w:val="2"/>
        </w:numPr>
        <w:spacing w:after="40" w:before="40"/>
      </w:pPr>
      <w:r>
        <w:rPr>
          <w:rFonts w:ascii="Arial" w:cs="Arial" w:eastAsia="Arial" w:hAnsi="Arial"/>
          <w:sz w:val="22"/>
          <w:szCs w:val="22"/>
        </w:rPr>
        <w:t xml:space="preserve">Effective date confirmation and directory activation verification</w:t>
      </w:r>
    </w:p>
    <w:p>
      <w:pPr>
        <w:pStyle w:val="ListParagraph"/>
        <w:numPr>
          <w:ilvl w:val="0"/>
          <w:numId w:val="2"/>
        </w:numPr>
        <w:spacing w:after="40" w:before="40"/>
      </w:pPr>
      <w:r>
        <w:rPr>
          <w:rFonts w:ascii="Arial" w:cs="Arial" w:eastAsia="Arial" w:hAnsi="Arial"/>
          <w:sz w:val="22"/>
          <w:szCs w:val="22"/>
        </w:rPr>
        <w:t xml:space="preserve">Twice-monthly credentialing status reports</w:t>
      </w:r>
    </w:p>
    <w:p>
      <w:pPr>
        <w:pStyle w:val="ListParagraph"/>
        <w:numPr>
          <w:ilvl w:val="0"/>
          <w:numId w:val="2"/>
        </w:numPr>
        <w:spacing w:after="40" w:before="40"/>
      </w:pPr>
      <w:r>
        <w:rPr>
          <w:rFonts w:ascii="Arial" w:cs="Arial" w:eastAsia="Arial" w:hAnsi="Arial"/>
          <w:sz w:val="22"/>
          <w:szCs w:val="22"/>
        </w:rPr>
        <w:t xml:space="preserve">Monthly standing meeting (notes, transcript, recording stored in portal)</w:t>
      </w:r>
    </w:p>
    <w:p>
      <w:pPr>
        <w:pStyle w:val="ListParagraph"/>
        <w:numPr>
          <w:ilvl w:val="0"/>
          <w:numId w:val="2"/>
        </w:numPr>
        <w:spacing w:after="40" w:before="40"/>
      </w:pPr>
      <w:r>
        <w:rPr>
          <w:rFonts w:ascii="Arial" w:cs="Arial" w:eastAsia="Arial" w:hAnsi="Arial"/>
          <w:sz w:val="22"/>
          <w:szCs w:val="22"/>
        </w:rPr>
        <w:t xml:space="preserve">Recredentialing and expirable reminders before deadlines</w:t>
      </w:r>
    </w:p>
    <w:p>
      <w:pPr>
        <w:pStyle w:val="Heading2"/>
        <w:spacing w:after="80" w:before="280"/>
      </w:pPr>
      <w:r>
        <w:rPr>
          <w:rFonts w:ascii="Arial" w:cs="Arial" w:eastAsia="Arial" w:hAnsi="Arial"/>
          <w:b/>
          <w:bCs/>
          <w:color w:val="2E86C1"/>
          <w:sz w:val="26"/>
          <w:szCs w:val="26"/>
        </w:rPr>
        <w:t xml:space="preserve">3.5 What Makes the Service Different</w:t>
      </w:r>
    </w:p>
    <w:p>
      <w:pPr>
        <w:pStyle w:val="ListParagraph"/>
        <w:numPr>
          <w:ilvl w:val="0"/>
          <w:numId w:val="2"/>
        </w:numPr>
        <w:spacing w:after="40" w:before="40"/>
      </w:pPr>
      <w:r>
        <w:rPr>
          <w:rFonts w:ascii="Arial" w:cs="Arial" w:eastAsia="Arial" w:hAnsi="Arial"/>
          <w:sz w:val="22"/>
          <w:szCs w:val="22"/>
        </w:rPr>
        <w:t xml:space="preserve">U.S.-based team with dedicated credentialing specialists per client</w:t>
      </w:r>
    </w:p>
    <w:p>
      <w:pPr>
        <w:pStyle w:val="ListParagraph"/>
        <w:numPr>
          <w:ilvl w:val="0"/>
          <w:numId w:val="2"/>
        </w:numPr>
        <w:spacing w:after="40" w:before="40"/>
      </w:pPr>
      <w:r>
        <w:rPr>
          <w:rFonts w:ascii="Arial" w:cs="Arial" w:eastAsia="Arial" w:hAnsi="Arial"/>
          <w:sz w:val="22"/>
          <w:szCs w:val="22"/>
        </w:rPr>
        <w:t xml:space="preserve">Transparent, real-time portal — no black-box status updates</w:t>
      </w:r>
    </w:p>
    <w:p>
      <w:pPr>
        <w:pStyle w:val="ListParagraph"/>
        <w:numPr>
          <w:ilvl w:val="0"/>
          <w:numId w:val="2"/>
        </w:numPr>
        <w:spacing w:after="40" w:before="40"/>
      </w:pPr>
      <w:r>
        <w:rPr>
          <w:rFonts w:ascii="Arial" w:cs="Arial" w:eastAsia="Arial" w:hAnsi="Arial"/>
          <w:sz w:val="22"/>
          <w:szCs w:val="22"/>
        </w:rPr>
        <w:t xml:space="preserve">Flat per-provider fees with no markup on third-party costs</w:t>
      </w:r>
    </w:p>
    <w:p>
      <w:pPr>
        <w:pStyle w:val="ListParagraph"/>
        <w:numPr>
          <w:ilvl w:val="0"/>
          <w:numId w:val="2"/>
        </w:numPr>
        <w:spacing w:after="40" w:before="40"/>
      </w:pPr>
      <w:r>
        <w:rPr>
          <w:rFonts w:ascii="Arial" w:cs="Arial" w:eastAsia="Arial" w:hAnsi="Arial"/>
          <w:sz w:val="22"/>
          <w:szCs w:val="22"/>
        </w:rPr>
        <w:t xml:space="preserve">NCQA standards alignment and accreditation preparation in progress</w:t>
      </w:r>
    </w:p>
    <w:p>
      <w:pPr>
        <w:pStyle w:val="ListParagraph"/>
        <w:numPr>
          <w:ilvl w:val="0"/>
          <w:numId w:val="2"/>
        </w:numPr>
        <w:spacing w:after="40" w:before="40"/>
      </w:pPr>
      <w:r>
        <w:rPr>
          <w:rFonts w:ascii="Arial" w:cs="Arial" w:eastAsia="Arial" w:hAnsi="Arial"/>
          <w:sz w:val="22"/>
          <w:szCs w:val="22"/>
        </w:rPr>
        <w:t xml:space="preserve">Combines service delivery with technology to prevent errors, not just track them</w:t>
      </w:r>
    </w:p>
    <w:p>
      <w:pPr>
        <w:pStyle w:val="ListParagraph"/>
        <w:numPr>
          <w:ilvl w:val="0"/>
          <w:numId w:val="2"/>
        </w:numPr>
        <w:spacing w:after="40" w:before="40"/>
      </w:pPr>
      <w:r>
        <w:rPr>
          <w:rFonts w:ascii="Arial" w:cs="Arial" w:eastAsia="Arial" w:hAnsi="Arial"/>
          <w:sz w:val="22"/>
          <w:szCs w:val="22"/>
        </w:rPr>
        <w:t xml:space="preserve">Honest about timelines — tells clients what is realistic, not just what they want to hear</w:t>
      </w:r>
    </w:p>
    <w:p>
      <w:r>
        <w:br w:type="page"/>
      </w:r>
    </w:p>
    <w:p>
      <w:pPr>
        <w:pStyle w:val="Heading1"/>
        <w:spacing w:after="120" w:before="360"/>
      </w:pPr>
      <w:r>
        <w:rPr>
          <w:rFonts w:ascii="Arial" w:cs="Arial" w:eastAsia="Arial" w:hAnsi="Arial"/>
          <w:b/>
          <w:bCs/>
          <w:color w:val="1B4F72"/>
          <w:sz w:val="32"/>
          <w:szCs w:val="32"/>
        </w:rPr>
        <w:t xml:space="preserve">4. Customer Journey</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4.1 Lead Generation</w:t>
      </w:r>
    </w:p>
    <w:p>
      <w:pPr>
        <w:spacing w:after="60" w:before="60"/>
      </w:pPr>
      <w:r>
        <w:rPr>
          <w:rFonts w:ascii="Arial" w:cs="Arial" w:eastAsia="Arial" w:hAnsi="Arial"/>
          <w:sz w:val="22"/>
          <w:szCs w:val="22"/>
        </w:rPr>
        <w:t xml:space="preserve">pie Health generates leads through:</w:t>
      </w:r>
    </w:p>
    <w:p>
      <w:pPr>
        <w:pStyle w:val="ListParagraph"/>
        <w:numPr>
          <w:ilvl w:val="0"/>
          <w:numId w:val="2"/>
        </w:numPr>
        <w:spacing w:after="40" w:before="40"/>
      </w:pPr>
      <w:r>
        <w:rPr>
          <w:rFonts w:ascii="Arial" w:cs="Arial" w:eastAsia="Arial" w:hAnsi="Arial"/>
          <w:sz w:val="22"/>
          <w:szCs w:val="22"/>
        </w:rPr>
        <w:t xml:space="preserve">Organic search (SEO content on piehealthusa.com — 80+ detailed articles on credentialing topics, state guides, payor guides)</w:t>
      </w:r>
    </w:p>
    <w:p>
      <w:pPr>
        <w:pStyle w:val="ListParagraph"/>
        <w:numPr>
          <w:ilvl w:val="0"/>
          <w:numId w:val="2"/>
        </w:numPr>
        <w:spacing w:after="40" w:before="40"/>
      </w:pPr>
      <w:r>
        <w:rPr>
          <w:rFonts w:ascii="Arial" w:cs="Arial" w:eastAsia="Arial" w:hAnsi="Arial"/>
          <w:sz w:val="22"/>
          <w:szCs w:val="22"/>
        </w:rPr>
        <w:t xml:space="preserve">LinkedIn company page and founder personal brand posts</w:t>
      </w:r>
    </w:p>
    <w:p>
      <w:pPr>
        <w:pStyle w:val="ListParagraph"/>
        <w:numPr>
          <w:ilvl w:val="0"/>
          <w:numId w:val="2"/>
        </w:numPr>
        <w:spacing w:after="40" w:before="40"/>
      </w:pPr>
      <w:r>
        <w:rPr>
          <w:rFonts w:ascii="Arial" w:cs="Arial" w:eastAsia="Arial" w:hAnsi="Arial"/>
          <w:sz w:val="22"/>
          <w:szCs w:val="22"/>
        </w:rPr>
        <w:t xml:space="preserve">Word-of-mouth and referrals from existing clients, billing companies, and practice management consultants</w:t>
      </w:r>
    </w:p>
    <w:p>
      <w:pPr>
        <w:pStyle w:val="ListParagraph"/>
        <w:numPr>
          <w:ilvl w:val="0"/>
          <w:numId w:val="2"/>
        </w:numPr>
        <w:spacing w:after="40" w:before="40"/>
      </w:pPr>
      <w:r>
        <w:rPr>
          <w:rFonts w:ascii="Arial" w:cs="Arial" w:eastAsia="Arial" w:hAnsi="Arial"/>
          <w:sz w:val="22"/>
          <w:szCs w:val="22"/>
        </w:rPr>
        <w:t xml:space="preserve">Free consultation funnel (book a call via website)</w:t>
      </w:r>
    </w:p>
    <w:p>
      <w:pPr>
        <w:pStyle w:val="ListParagraph"/>
        <w:numPr>
          <w:ilvl w:val="0"/>
          <w:numId w:val="2"/>
        </w:numPr>
        <w:spacing w:after="40" w:before="40"/>
      </w:pPr>
      <w:r>
        <w:rPr>
          <w:rFonts w:ascii="Arial" w:cs="Arial" w:eastAsia="Arial" w:hAnsi="Arial"/>
          <w:sz w:val="22"/>
          <w:szCs w:val="22"/>
        </w:rPr>
        <w:t xml:space="preserve">Educational blog content targeting practice owners, office managers, and credentialing staff</w:t>
      </w:r>
    </w:p>
    <w:p>
      <w:pPr>
        <w:pStyle w:val="Heading2"/>
        <w:spacing w:after="80" w:before="280"/>
      </w:pPr>
      <w:r>
        <w:rPr>
          <w:rFonts w:ascii="Arial" w:cs="Arial" w:eastAsia="Arial" w:hAnsi="Arial"/>
          <w:b/>
          <w:bCs/>
          <w:color w:val="2E86C1"/>
          <w:sz w:val="26"/>
          <w:szCs w:val="26"/>
        </w:rPr>
        <w:t xml:space="preserve">4.2 Lead Qualification</w:t>
      </w:r>
    </w:p>
    <w:p>
      <w:pPr>
        <w:spacing w:after="60" w:before="60"/>
      </w:pPr>
      <w:r>
        <w:rPr>
          <w:rFonts w:ascii="Arial" w:cs="Arial" w:eastAsia="Arial" w:hAnsi="Arial"/>
          <w:sz w:val="22"/>
          <w:szCs w:val="22"/>
        </w:rPr>
        <w:t xml:space="preserve">Qualification happens during the free initial consultation. pie assesses:</w:t>
      </w:r>
    </w:p>
    <w:p>
      <w:pPr>
        <w:pStyle w:val="ListParagraph"/>
        <w:numPr>
          <w:ilvl w:val="0"/>
          <w:numId w:val="2"/>
        </w:numPr>
        <w:spacing w:after="40" w:before="40"/>
      </w:pPr>
      <w:r>
        <w:rPr>
          <w:rFonts w:ascii="Arial" w:cs="Arial" w:eastAsia="Arial" w:hAnsi="Arial"/>
          <w:sz w:val="22"/>
          <w:szCs w:val="22"/>
        </w:rPr>
        <w:t xml:space="preserve">Type and size of practice (solo vs. group vs. facility)</w:t>
      </w:r>
    </w:p>
    <w:p>
      <w:pPr>
        <w:pStyle w:val="ListParagraph"/>
        <w:numPr>
          <w:ilvl w:val="0"/>
          <w:numId w:val="2"/>
        </w:numPr>
        <w:spacing w:after="40" w:before="40"/>
      </w:pPr>
      <w:r>
        <w:rPr>
          <w:rFonts w:ascii="Arial" w:cs="Arial" w:eastAsia="Arial" w:hAnsi="Arial"/>
          <w:sz w:val="22"/>
          <w:szCs w:val="22"/>
        </w:rPr>
        <w:t xml:space="preserve">Current credentialing situation (new launch, transition, maintenance)</w:t>
      </w:r>
    </w:p>
    <w:p>
      <w:pPr>
        <w:pStyle w:val="ListParagraph"/>
        <w:numPr>
          <w:ilvl w:val="0"/>
          <w:numId w:val="2"/>
        </w:numPr>
        <w:spacing w:after="40" w:before="40"/>
      </w:pPr>
      <w:r>
        <w:rPr>
          <w:rFonts w:ascii="Arial" w:cs="Arial" w:eastAsia="Arial" w:hAnsi="Arial"/>
          <w:sz w:val="22"/>
          <w:szCs w:val="22"/>
        </w:rPr>
        <w:t xml:space="preserve">States and payors involved</w:t>
      </w:r>
    </w:p>
    <w:p>
      <w:pPr>
        <w:pStyle w:val="ListParagraph"/>
        <w:numPr>
          <w:ilvl w:val="0"/>
          <w:numId w:val="2"/>
        </w:numPr>
        <w:spacing w:after="40" w:before="40"/>
      </w:pPr>
      <w:r>
        <w:rPr>
          <w:rFonts w:ascii="Arial" w:cs="Arial" w:eastAsia="Arial" w:hAnsi="Arial"/>
          <w:sz w:val="22"/>
          <w:szCs w:val="22"/>
        </w:rPr>
        <w:t xml:space="preserve">Timeline and revenue urgency</w:t>
      </w:r>
    </w:p>
    <w:p>
      <w:pPr>
        <w:pStyle w:val="ListParagraph"/>
        <w:numPr>
          <w:ilvl w:val="0"/>
          <w:numId w:val="2"/>
        </w:numPr>
        <w:spacing w:after="40" w:before="40"/>
      </w:pPr>
      <w:r>
        <w:rPr>
          <w:rFonts w:ascii="Arial" w:cs="Arial" w:eastAsia="Arial" w:hAnsi="Arial"/>
          <w:sz w:val="22"/>
          <w:szCs w:val="22"/>
        </w:rPr>
        <w:t xml:space="preserve">Fit with pie's service model</w:t>
      </w:r>
    </w:p>
    <w:p>
      <w:pPr>
        <w:spacing w:after="60" w:before="60"/>
      </w:pPr>
      <w:r>
        <w:rPr>
          <w:rFonts w:ascii="Arial" w:cs="Arial" w:eastAsia="Arial" w:hAnsi="Arial"/>
          <w:sz w:val="22"/>
          <w:szCs w:val="22"/>
        </w:rPr>
        <w:t xml:space="preserve">pie is transparent: if credentialing is not the right next step, they say so. This approach is used as a trust-building tactic.</w:t>
      </w:r>
    </w:p>
    <w:p>
      <w:pPr>
        <w:pStyle w:val="Heading2"/>
        <w:spacing w:after="80" w:before="280"/>
      </w:pPr>
      <w:r>
        <w:rPr>
          <w:rFonts w:ascii="Arial" w:cs="Arial" w:eastAsia="Arial" w:hAnsi="Arial"/>
          <w:b/>
          <w:bCs/>
          <w:color w:val="2E86C1"/>
          <w:sz w:val="26"/>
          <w:szCs w:val="26"/>
        </w:rPr>
        <w:t xml:space="preserve">4.3 Sales Process</w:t>
      </w:r>
    </w:p>
    <w:p>
      <w:pPr>
        <w:pStyle w:val="ListParagraph"/>
        <w:numPr>
          <w:ilvl w:val="0"/>
          <w:numId w:val="2"/>
        </w:numPr>
        <w:spacing w:after="40" w:before="40"/>
      </w:pPr>
      <w:r>
        <w:rPr>
          <w:rFonts w:ascii="Arial" w:cs="Arial" w:eastAsia="Arial" w:hAnsi="Arial"/>
          <w:sz w:val="22"/>
          <w:szCs w:val="22"/>
        </w:rPr>
        <w:t xml:space="preserve">Step 1: Prospect books a free consultation via website or direct outreach</w:t>
      </w:r>
    </w:p>
    <w:p>
      <w:pPr>
        <w:pStyle w:val="ListParagraph"/>
        <w:numPr>
          <w:ilvl w:val="0"/>
          <w:numId w:val="2"/>
        </w:numPr>
        <w:spacing w:after="40" w:before="40"/>
      </w:pPr>
      <w:r>
        <w:rPr>
          <w:rFonts w:ascii="Arial" w:cs="Arial" w:eastAsia="Arial" w:hAnsi="Arial"/>
          <w:sz w:val="22"/>
          <w:szCs w:val="22"/>
        </w:rPr>
        <w:t xml:space="preserve">Step 2: Short discovery video call — current state, goals, payor mix, timeline</w:t>
      </w:r>
    </w:p>
    <w:p>
      <w:pPr>
        <w:pStyle w:val="ListParagraph"/>
        <w:numPr>
          <w:ilvl w:val="0"/>
          <w:numId w:val="2"/>
        </w:numPr>
        <w:spacing w:after="40" w:before="40"/>
      </w:pPr>
      <w:r>
        <w:rPr>
          <w:rFonts w:ascii="Arial" w:cs="Arial" w:eastAsia="Arial" w:hAnsi="Arial"/>
          <w:sz w:val="22"/>
          <w:szCs w:val="22"/>
        </w:rPr>
        <w:t xml:space="preserve">Step 3: pie proposes a service scope and pricing (Launch Plan, maintenance, or project)</w:t>
      </w:r>
    </w:p>
    <w:p>
      <w:pPr>
        <w:pStyle w:val="ListParagraph"/>
        <w:numPr>
          <w:ilvl w:val="0"/>
          <w:numId w:val="2"/>
        </w:numPr>
        <w:spacing w:after="40" w:before="40"/>
      </w:pPr>
      <w:r>
        <w:rPr>
          <w:rFonts w:ascii="Arial" w:cs="Arial" w:eastAsia="Arial" w:hAnsi="Arial"/>
          <w:sz w:val="22"/>
          <w:szCs w:val="22"/>
        </w:rPr>
        <w:t xml:space="preserve">Step 4: Client reviews and signs a service agreement</w:t>
      </w:r>
    </w:p>
    <w:p>
      <w:pPr>
        <w:pStyle w:val="ListParagraph"/>
        <w:numPr>
          <w:ilvl w:val="0"/>
          <w:numId w:val="2"/>
        </w:numPr>
        <w:spacing w:after="40" w:before="40"/>
      </w:pPr>
      <w:r>
        <w:rPr>
          <w:rFonts w:ascii="Arial" w:cs="Arial" w:eastAsia="Arial" w:hAnsi="Arial"/>
          <w:sz w:val="22"/>
          <w:szCs w:val="22"/>
        </w:rPr>
        <w:t xml:space="preserve">Step 5: Onboarding begins</w:t>
      </w:r>
    </w:p>
    <w:p>
      <w:pPr>
        <w:pStyle w:val="Heading2"/>
        <w:spacing w:after="80" w:before="280"/>
      </w:pPr>
      <w:r>
        <w:rPr>
          <w:rFonts w:ascii="Arial" w:cs="Arial" w:eastAsia="Arial" w:hAnsi="Arial"/>
          <w:b/>
          <w:bCs/>
          <w:color w:val="2E86C1"/>
          <w:sz w:val="26"/>
          <w:szCs w:val="26"/>
        </w:rPr>
        <w:t xml:space="preserve">4.4 Onboarding Process</w:t>
      </w:r>
    </w:p>
    <w:p>
      <w:pPr>
        <w:spacing w:after="60" w:before="60"/>
      </w:pPr>
      <w:r>
        <w:rPr>
          <w:rFonts w:ascii="Arial" w:cs="Arial" w:eastAsia="Arial" w:hAnsi="Arial"/>
          <w:sz w:val="22"/>
          <w:szCs w:val="22"/>
        </w:rPr>
        <w:t xml:space="preserve">pie calls this Phase 0 / Step 1: Digital Onboarding and Credentialing Assessment.</w:t>
      </w:r>
    </w:p>
    <w:p>
      <w:pPr>
        <w:pStyle w:val="ListParagraph"/>
        <w:numPr>
          <w:ilvl w:val="0"/>
          <w:numId w:val="2"/>
        </w:numPr>
        <w:spacing w:after="40" w:before="40"/>
      </w:pPr>
      <w:r>
        <w:rPr>
          <w:rFonts w:ascii="Arial" w:cs="Arial" w:eastAsia="Arial" w:hAnsi="Arial"/>
          <w:sz w:val="22"/>
          <w:szCs w:val="22"/>
        </w:rPr>
        <w:t xml:space="preserve">Option A — Full-service onboarding: pie drives data collection from the client</w:t>
      </w:r>
    </w:p>
    <w:p>
      <w:pPr>
        <w:pStyle w:val="ListParagraph"/>
        <w:numPr>
          <w:ilvl w:val="0"/>
          <w:numId w:val="2"/>
        </w:numPr>
        <w:spacing w:after="40" w:before="40"/>
      </w:pPr>
      <w:r>
        <w:rPr>
          <w:rFonts w:ascii="Arial" w:cs="Arial" w:eastAsia="Arial" w:hAnsi="Arial"/>
          <w:sz w:val="22"/>
          <w:szCs w:val="22"/>
        </w:rPr>
        <w:t xml:space="preserve">Option B — Self-service onboarding: client completes digital intake forms independently</w:t>
      </w:r>
    </w:p>
    <w:p>
      <w:pPr>
        <w:spacing w:after="60" w:before="60"/>
      </w:pPr>
      <w:r>
        <w:rPr>
          <w:rFonts w:ascii="Arial" w:cs="Arial" w:eastAsia="Arial" w:hAnsi="Arial"/>
          <w:sz w:val="22"/>
          <w:szCs w:val="22"/>
        </w:rPr>
        <w:t xml:space="preserve">During onboarding pie:</w:t>
      </w:r>
    </w:p>
    <w:p>
      <w:pPr>
        <w:pStyle w:val="ListParagraph"/>
        <w:numPr>
          <w:ilvl w:val="0"/>
          <w:numId w:val="2"/>
        </w:numPr>
        <w:spacing w:after="40" w:before="40"/>
      </w:pPr>
      <w:r>
        <w:rPr>
          <w:rFonts w:ascii="Arial" w:cs="Arial" w:eastAsia="Arial" w:hAnsi="Arial"/>
          <w:sz w:val="22"/>
          <w:szCs w:val="22"/>
        </w:rPr>
        <w:t xml:space="preserve">Collects provider rosters, existing contracts, participation letters, and prior vendor records</w:t>
      </w:r>
    </w:p>
    <w:p>
      <w:pPr>
        <w:pStyle w:val="ListParagraph"/>
        <w:numPr>
          <w:ilvl w:val="0"/>
          <w:numId w:val="2"/>
        </w:numPr>
        <w:spacing w:after="40" w:before="40"/>
      </w:pPr>
      <w:r>
        <w:rPr>
          <w:rFonts w:ascii="Arial" w:cs="Arial" w:eastAsia="Arial" w:hAnsi="Arial"/>
          <w:sz w:val="22"/>
          <w:szCs w:val="22"/>
        </w:rPr>
        <w:t xml:space="preserve">Verifies current enrollments and effective dates directly with payors</w:t>
      </w:r>
    </w:p>
    <w:p>
      <w:pPr>
        <w:pStyle w:val="ListParagraph"/>
        <w:numPr>
          <w:ilvl w:val="0"/>
          <w:numId w:val="2"/>
        </w:numPr>
        <w:spacing w:after="40" w:before="40"/>
      </w:pPr>
      <w:r>
        <w:rPr>
          <w:rFonts w:ascii="Arial" w:cs="Arial" w:eastAsia="Arial" w:hAnsi="Arial"/>
          <w:sz w:val="22"/>
          <w:szCs w:val="22"/>
        </w:rPr>
        <w:t xml:space="preserve">Documents recredentialing, revalidation, and renewal timelines</w:t>
      </w:r>
    </w:p>
    <w:p>
      <w:pPr>
        <w:pStyle w:val="ListParagraph"/>
        <w:numPr>
          <w:ilvl w:val="0"/>
          <w:numId w:val="2"/>
        </w:numPr>
        <w:spacing w:after="40" w:before="40"/>
      </w:pPr>
      <w:r>
        <w:rPr>
          <w:rFonts w:ascii="Arial" w:cs="Arial" w:eastAsia="Arial" w:hAnsi="Arial"/>
          <w:sz w:val="22"/>
          <w:szCs w:val="22"/>
        </w:rPr>
        <w:t xml:space="preserve">Maps what is active, pending, unclear, or has gaps</w:t>
      </w:r>
    </w:p>
    <w:p>
      <w:pPr>
        <w:pStyle w:val="ListParagraph"/>
        <w:numPr>
          <w:ilvl w:val="0"/>
          <w:numId w:val="2"/>
        </w:numPr>
        <w:spacing w:after="40" w:before="40"/>
      </w:pPr>
      <w:r>
        <w:rPr>
          <w:rFonts w:ascii="Arial" w:cs="Arial" w:eastAsia="Arial" w:hAnsi="Arial"/>
          <w:sz w:val="22"/>
          <w:szCs w:val="22"/>
        </w:rPr>
        <w:t xml:space="preserve">Creates and validates provider profiles in the pie Practice portal</w:t>
      </w:r>
    </w:p>
    <w:p>
      <w:pPr>
        <w:pStyle w:val="ListParagraph"/>
        <w:numPr>
          <w:ilvl w:val="0"/>
          <w:numId w:val="2"/>
        </w:numPr>
        <w:spacing w:after="40" w:before="40"/>
      </w:pPr>
      <w:r>
        <w:rPr>
          <w:rFonts w:ascii="Arial" w:cs="Arial" w:eastAsia="Arial" w:hAnsi="Arial"/>
          <w:sz w:val="22"/>
          <w:szCs w:val="22"/>
        </w:rPr>
        <w:t xml:space="preserve">Identifies errors in payor records (wrong tax IDs, NPIs, addresses, group affiliations) and queues corrections</w:t>
      </w:r>
    </w:p>
    <w:p>
      <w:pPr>
        <w:pStyle w:val="Heading2"/>
        <w:spacing w:after="80" w:before="280"/>
      </w:pPr>
      <w:r>
        <w:rPr>
          <w:rFonts w:ascii="Arial" w:cs="Arial" w:eastAsia="Arial" w:hAnsi="Arial"/>
          <w:b/>
          <w:bCs/>
          <w:color w:val="2E86C1"/>
          <w:sz w:val="26"/>
          <w:szCs w:val="26"/>
        </w:rPr>
        <w:t xml:space="preserve">4.5 Service Delivery</w:t>
      </w:r>
    </w:p>
    <w:p>
      <w:pPr>
        <w:spacing w:after="60" w:before="60"/>
      </w:pPr>
      <w:r>
        <w:rPr>
          <w:rFonts w:ascii="Arial" w:cs="Arial" w:eastAsia="Arial" w:hAnsi="Arial"/>
          <w:sz w:val="22"/>
          <w:szCs w:val="22"/>
        </w:rPr>
        <w:t xml:space="preserve">After onboarding, pie operates as an extension of the client's operations team:</w:t>
      </w:r>
    </w:p>
    <w:p>
      <w:pPr>
        <w:pStyle w:val="ListParagraph"/>
        <w:numPr>
          <w:ilvl w:val="0"/>
          <w:numId w:val="2"/>
        </w:numPr>
        <w:spacing w:after="40" w:before="40"/>
      </w:pPr>
      <w:r>
        <w:rPr>
          <w:rFonts w:ascii="Arial" w:cs="Arial" w:eastAsia="Arial" w:hAnsi="Arial"/>
          <w:sz w:val="22"/>
          <w:szCs w:val="22"/>
        </w:rPr>
        <w:t xml:space="preserve">Prepares and submits applications for all identified enrollments</w:t>
      </w:r>
    </w:p>
    <w:p>
      <w:pPr>
        <w:pStyle w:val="ListParagraph"/>
        <w:numPr>
          <w:ilvl w:val="0"/>
          <w:numId w:val="2"/>
        </w:numPr>
        <w:spacing w:after="40" w:before="40"/>
      </w:pPr>
      <w:r>
        <w:rPr>
          <w:rFonts w:ascii="Arial" w:cs="Arial" w:eastAsia="Arial" w:hAnsi="Arial"/>
          <w:sz w:val="22"/>
          <w:szCs w:val="22"/>
        </w:rPr>
        <w:t xml:space="preserve">Updates CAQH and other shared data sources</w:t>
      </w:r>
    </w:p>
    <w:p>
      <w:pPr>
        <w:pStyle w:val="ListParagraph"/>
        <w:numPr>
          <w:ilvl w:val="0"/>
          <w:numId w:val="2"/>
        </w:numPr>
        <w:spacing w:after="40" w:before="40"/>
      </w:pPr>
      <w:r>
        <w:rPr>
          <w:rFonts w:ascii="Arial" w:cs="Arial" w:eastAsia="Arial" w:hAnsi="Arial"/>
          <w:sz w:val="22"/>
          <w:szCs w:val="22"/>
        </w:rPr>
        <w:t xml:space="preserve">Initiates new applications and contracting based on agreed payor mix</w:t>
      </w:r>
    </w:p>
    <w:p>
      <w:pPr>
        <w:pStyle w:val="ListParagraph"/>
        <w:numPr>
          <w:ilvl w:val="0"/>
          <w:numId w:val="2"/>
        </w:numPr>
        <w:spacing w:after="40" w:before="40"/>
      </w:pPr>
      <w:r>
        <w:rPr>
          <w:rFonts w:ascii="Arial" w:cs="Arial" w:eastAsia="Arial" w:hAnsi="Arial"/>
          <w:sz w:val="22"/>
          <w:szCs w:val="22"/>
        </w:rPr>
        <w:t xml:space="preserve">Conducts regular follow-up with payer portals and phone lines</w:t>
      </w:r>
    </w:p>
    <w:p>
      <w:pPr>
        <w:pStyle w:val="ListParagraph"/>
        <w:numPr>
          <w:ilvl w:val="0"/>
          <w:numId w:val="2"/>
        </w:numPr>
        <w:spacing w:after="40" w:before="40"/>
      </w:pPr>
      <w:r>
        <w:rPr>
          <w:rFonts w:ascii="Arial" w:cs="Arial" w:eastAsia="Arial" w:hAnsi="Arial"/>
          <w:sz w:val="22"/>
          <w:szCs w:val="22"/>
        </w:rPr>
        <w:t xml:space="preserve">Confirms effective dates and directory activation</w:t>
      </w:r>
    </w:p>
    <w:p>
      <w:pPr>
        <w:pStyle w:val="ListParagraph"/>
        <w:numPr>
          <w:ilvl w:val="0"/>
          <w:numId w:val="2"/>
        </w:numPr>
        <w:spacing w:after="40" w:before="40"/>
      </w:pPr>
      <w:r>
        <w:rPr>
          <w:rFonts w:ascii="Arial" w:cs="Arial" w:eastAsia="Arial" w:hAnsi="Arial"/>
          <w:sz w:val="22"/>
          <w:szCs w:val="22"/>
        </w:rPr>
        <w:t xml:space="preserve">Manages all recredentialing, revalidation, and expirable cycles on an ongoing basis</w:t>
      </w:r>
    </w:p>
    <w:p>
      <w:pPr>
        <w:pStyle w:val="Heading2"/>
        <w:spacing w:after="80" w:before="280"/>
      </w:pPr>
      <w:r>
        <w:rPr>
          <w:rFonts w:ascii="Arial" w:cs="Arial" w:eastAsia="Arial" w:hAnsi="Arial"/>
          <w:b/>
          <w:bCs/>
          <w:color w:val="2E86C1"/>
          <w:sz w:val="26"/>
          <w:szCs w:val="26"/>
        </w:rPr>
        <w:t xml:space="preserve">4.6 Client Communication</w:t>
      </w:r>
    </w:p>
    <w:p>
      <w:pPr>
        <w:pStyle w:val="ListParagraph"/>
        <w:numPr>
          <w:ilvl w:val="0"/>
          <w:numId w:val="2"/>
        </w:numPr>
        <w:spacing w:after="40" w:before="40"/>
      </w:pPr>
      <w:r>
        <w:rPr>
          <w:rFonts w:ascii="Arial" w:cs="Arial" w:eastAsia="Arial" w:hAnsi="Arial"/>
          <w:sz w:val="22"/>
          <w:szCs w:val="22"/>
        </w:rPr>
        <w:t xml:space="preserve">pie Practice portal: real-time source of truth; both teams see the same data</w:t>
      </w:r>
    </w:p>
    <w:p>
      <w:pPr>
        <w:pStyle w:val="ListParagraph"/>
        <w:numPr>
          <w:ilvl w:val="0"/>
          <w:numId w:val="2"/>
        </w:numPr>
        <w:spacing w:after="40" w:before="40"/>
      </w:pPr>
      <w:r>
        <w:rPr>
          <w:rFonts w:ascii="Arial" w:cs="Arial" w:eastAsia="Arial" w:hAnsi="Arial"/>
          <w:sz w:val="22"/>
          <w:szCs w:val="22"/>
        </w:rPr>
        <w:t xml:space="preserve">Twice-monthly credentialing reports (status, recent activity, upcoming items)</w:t>
      </w:r>
    </w:p>
    <w:p>
      <w:pPr>
        <w:pStyle w:val="ListParagraph"/>
        <w:numPr>
          <w:ilvl w:val="0"/>
          <w:numId w:val="2"/>
        </w:numPr>
        <w:spacing w:after="40" w:before="40"/>
      </w:pPr>
      <w:r>
        <w:rPr>
          <w:rFonts w:ascii="Arial" w:cs="Arial" w:eastAsia="Arial" w:hAnsi="Arial"/>
          <w:sz w:val="22"/>
          <w:szCs w:val="22"/>
        </w:rPr>
        <w:t xml:space="preserve">Monthly standing meeting (recorded, stored in portal)</w:t>
      </w:r>
    </w:p>
    <w:p>
      <w:pPr>
        <w:pStyle w:val="ListParagraph"/>
        <w:numPr>
          <w:ilvl w:val="0"/>
          <w:numId w:val="2"/>
        </w:numPr>
        <w:spacing w:after="40" w:before="40"/>
      </w:pPr>
      <w:r>
        <w:rPr>
          <w:rFonts w:ascii="Arial" w:cs="Arial" w:eastAsia="Arial" w:hAnsi="Arial"/>
          <w:sz w:val="22"/>
          <w:szCs w:val="22"/>
        </w:rPr>
        <w:t xml:space="preserve">Ad-hoc contact by email or phone for urgent issues</w:t>
      </w:r>
    </w:p>
    <w:p>
      <w:pPr>
        <w:pStyle w:val="ListParagraph"/>
        <w:numPr>
          <w:ilvl w:val="0"/>
          <w:numId w:val="2"/>
        </w:numPr>
        <w:spacing w:after="40" w:before="40"/>
      </w:pPr>
      <w:r>
        <w:rPr>
          <w:rFonts w:ascii="Arial" w:cs="Arial" w:eastAsia="Arial" w:hAnsi="Arial"/>
          <w:sz w:val="22"/>
          <w:szCs w:val="22"/>
        </w:rPr>
        <w:t xml:space="preserve">LinkedIn posts keep clients and prospects informed of regulatory changes</w:t>
      </w:r>
    </w:p>
    <w:p>
      <w:pPr>
        <w:pStyle w:val="Heading2"/>
        <w:spacing w:after="80" w:before="280"/>
      </w:pPr>
      <w:r>
        <w:rPr>
          <w:rFonts w:ascii="Arial" w:cs="Arial" w:eastAsia="Arial" w:hAnsi="Arial"/>
          <w:b/>
          <w:bCs/>
          <w:color w:val="2E86C1"/>
          <w:sz w:val="26"/>
          <w:szCs w:val="26"/>
        </w:rPr>
        <w:t xml:space="preserve">4.7 Retention and Upselling</w:t>
      </w:r>
    </w:p>
    <w:p>
      <w:pPr>
        <w:spacing w:after="60" w:before="60"/>
      </w:pPr>
      <w:r>
        <w:rPr>
          <w:rFonts w:ascii="Arial" w:cs="Arial" w:eastAsia="Arial" w:hAnsi="Arial"/>
          <w:sz w:val="22"/>
          <w:szCs w:val="22"/>
        </w:rPr>
        <w:t xml:space="preserve">Retention is built into the service model — ongoing maintenance creates a recurring relationship. Upsell opportunities include:</w:t>
      </w:r>
    </w:p>
    <w:p>
      <w:pPr>
        <w:pStyle w:val="ListParagraph"/>
        <w:numPr>
          <w:ilvl w:val="0"/>
          <w:numId w:val="2"/>
        </w:numPr>
        <w:spacing w:after="40" w:before="40"/>
      </w:pPr>
      <w:r>
        <w:rPr>
          <w:rFonts w:ascii="Arial" w:cs="Arial" w:eastAsia="Arial" w:hAnsi="Arial"/>
          <w:sz w:val="22"/>
          <w:szCs w:val="22"/>
        </w:rPr>
        <w:t xml:space="preserve">Expanding to new payors or new states</w:t>
      </w:r>
    </w:p>
    <w:p>
      <w:pPr>
        <w:pStyle w:val="ListParagraph"/>
        <w:numPr>
          <w:ilvl w:val="0"/>
          <w:numId w:val="2"/>
        </w:numPr>
        <w:spacing w:after="40" w:before="40"/>
      </w:pPr>
      <w:r>
        <w:rPr>
          <w:rFonts w:ascii="Arial" w:cs="Arial" w:eastAsia="Arial" w:hAnsi="Arial"/>
          <w:sz w:val="22"/>
          <w:szCs w:val="22"/>
        </w:rPr>
        <w:t xml:space="preserve">Adding new providers or new locations</w:t>
      </w:r>
    </w:p>
    <w:p>
      <w:pPr>
        <w:pStyle w:val="ListParagraph"/>
        <w:numPr>
          <w:ilvl w:val="0"/>
          <w:numId w:val="2"/>
        </w:numPr>
        <w:spacing w:after="40" w:before="40"/>
      </w:pPr>
      <w:r>
        <w:rPr>
          <w:rFonts w:ascii="Arial" w:cs="Arial" w:eastAsia="Arial" w:hAnsi="Arial"/>
          <w:sz w:val="22"/>
          <w:szCs w:val="22"/>
        </w:rPr>
        <w:t xml:space="preserve">Upgrading from launch plan to full maintenance portfolio</w:t>
      </w:r>
    </w:p>
    <w:p>
      <w:pPr>
        <w:pStyle w:val="ListParagraph"/>
        <w:numPr>
          <w:ilvl w:val="0"/>
          <w:numId w:val="2"/>
        </w:numPr>
        <w:spacing w:after="40" w:before="40"/>
      </w:pPr>
      <w:r>
        <w:rPr>
          <w:rFonts w:ascii="Arial" w:cs="Arial" w:eastAsia="Arial" w:hAnsi="Arial"/>
          <w:sz w:val="22"/>
          <w:szCs w:val="22"/>
        </w:rPr>
        <w:t xml:space="preserve">Adding payor discovery research for market expansion</w:t>
      </w:r>
    </w:p>
    <w:p>
      <w:pPr>
        <w:pStyle w:val="ListParagraph"/>
        <w:numPr>
          <w:ilvl w:val="0"/>
          <w:numId w:val="2"/>
        </w:numPr>
        <w:spacing w:after="40" w:before="40"/>
      </w:pPr>
      <w:r>
        <w:rPr>
          <w:rFonts w:ascii="Arial" w:cs="Arial" w:eastAsia="Arial" w:hAnsi="Arial"/>
          <w:sz w:val="22"/>
          <w:szCs w:val="22"/>
        </w:rPr>
        <w:t xml:space="preserve">Vendor transition support when a client switches from a competitor</w:t>
      </w:r>
    </w:p>
    <w:p>
      <w:r>
        <w:br w:type="page"/>
      </w:r>
    </w:p>
    <w:p>
      <w:pPr>
        <w:pStyle w:val="Heading1"/>
        <w:spacing w:after="120" w:before="360"/>
      </w:pPr>
      <w:r>
        <w:rPr>
          <w:rFonts w:ascii="Arial" w:cs="Arial" w:eastAsia="Arial" w:hAnsi="Arial"/>
          <w:b/>
          <w:bCs/>
          <w:color w:val="1B4F72"/>
          <w:sz w:val="32"/>
          <w:szCs w:val="32"/>
        </w:rPr>
        <w:t xml:space="preserve">5. Daily Business Operations</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5.1 Daily Activities</w:t>
      </w:r>
    </w:p>
    <w:p>
      <w:pPr>
        <w:pStyle w:val="ListParagraph"/>
        <w:numPr>
          <w:ilvl w:val="0"/>
          <w:numId w:val="2"/>
        </w:numPr>
        <w:spacing w:after="40" w:before="40"/>
      </w:pPr>
      <w:r>
        <w:rPr>
          <w:rFonts w:ascii="Arial" w:cs="Arial" w:eastAsia="Arial" w:hAnsi="Arial"/>
          <w:sz w:val="22"/>
          <w:szCs w:val="22"/>
        </w:rPr>
        <w:t xml:space="preserve">Credentialing specialists log into payer portals and phone lines to follow up on pending applications</w:t>
      </w:r>
    </w:p>
    <w:p>
      <w:pPr>
        <w:pStyle w:val="ListParagraph"/>
        <w:numPr>
          <w:ilvl w:val="0"/>
          <w:numId w:val="2"/>
        </w:numPr>
        <w:spacing w:after="40" w:before="40"/>
      </w:pPr>
      <w:r>
        <w:rPr>
          <w:rFonts w:ascii="Arial" w:cs="Arial" w:eastAsia="Arial" w:hAnsi="Arial"/>
          <w:sz w:val="22"/>
          <w:szCs w:val="22"/>
        </w:rPr>
        <w:t xml:space="preserve">Check for payer requests, additional document requests (ADRs), and status changes</w:t>
      </w:r>
    </w:p>
    <w:p>
      <w:pPr>
        <w:pStyle w:val="ListParagraph"/>
        <w:numPr>
          <w:ilvl w:val="0"/>
          <w:numId w:val="2"/>
        </w:numPr>
        <w:spacing w:after="40" w:before="40"/>
      </w:pPr>
      <w:r>
        <w:rPr>
          <w:rFonts w:ascii="Arial" w:cs="Arial" w:eastAsia="Arial" w:hAnsi="Arial"/>
          <w:sz w:val="22"/>
          <w:szCs w:val="22"/>
        </w:rPr>
        <w:t xml:space="preserve">Update enrollment statuses in the pie Practice portal in real time</w:t>
      </w:r>
    </w:p>
    <w:p>
      <w:pPr>
        <w:pStyle w:val="ListParagraph"/>
        <w:numPr>
          <w:ilvl w:val="0"/>
          <w:numId w:val="2"/>
        </w:numPr>
        <w:spacing w:after="40" w:before="40"/>
      </w:pPr>
      <w:r>
        <w:rPr>
          <w:rFonts w:ascii="Arial" w:cs="Arial" w:eastAsia="Arial" w:hAnsi="Arial"/>
          <w:sz w:val="22"/>
          <w:szCs w:val="22"/>
        </w:rPr>
        <w:t xml:space="preserve">Process new provider onboarding data from client intake forms</w:t>
      </w:r>
    </w:p>
    <w:p>
      <w:pPr>
        <w:pStyle w:val="ListParagraph"/>
        <w:numPr>
          <w:ilvl w:val="0"/>
          <w:numId w:val="2"/>
        </w:numPr>
        <w:spacing w:after="40" w:before="40"/>
      </w:pPr>
      <w:r>
        <w:rPr>
          <w:rFonts w:ascii="Arial" w:cs="Arial" w:eastAsia="Arial" w:hAnsi="Arial"/>
          <w:sz w:val="22"/>
          <w:szCs w:val="22"/>
        </w:rPr>
        <w:t xml:space="preserve">Respond to client questions via email or phone</w:t>
      </w:r>
    </w:p>
    <w:p>
      <w:pPr>
        <w:pStyle w:val="ListParagraph"/>
        <w:numPr>
          <w:ilvl w:val="0"/>
          <w:numId w:val="2"/>
        </w:numPr>
        <w:spacing w:after="40" w:before="40"/>
      </w:pPr>
      <w:r>
        <w:rPr>
          <w:rFonts w:ascii="Arial" w:cs="Arial" w:eastAsia="Arial" w:hAnsi="Arial"/>
          <w:sz w:val="22"/>
          <w:szCs w:val="22"/>
        </w:rPr>
        <w:t xml:space="preserve">Update CAQH profiles and grant payer access as needed</w:t>
      </w:r>
    </w:p>
    <w:p>
      <w:pPr>
        <w:pStyle w:val="ListParagraph"/>
        <w:numPr>
          <w:ilvl w:val="0"/>
          <w:numId w:val="2"/>
        </w:numPr>
        <w:spacing w:after="40" w:before="40"/>
      </w:pPr>
      <w:r>
        <w:rPr>
          <w:rFonts w:ascii="Arial" w:cs="Arial" w:eastAsia="Arial" w:hAnsi="Arial"/>
          <w:sz w:val="22"/>
          <w:szCs w:val="22"/>
        </w:rPr>
        <w:t xml:space="preserve">Flag expiring licenses, malpractice policies, or CAQH attestations due within 30 days</w:t>
      </w:r>
    </w:p>
    <w:p>
      <w:pPr>
        <w:pStyle w:val="Heading2"/>
        <w:spacing w:after="80" w:before="280"/>
      </w:pPr>
      <w:r>
        <w:rPr>
          <w:rFonts w:ascii="Arial" w:cs="Arial" w:eastAsia="Arial" w:hAnsi="Arial"/>
          <w:b/>
          <w:bCs/>
          <w:color w:val="2E86C1"/>
          <w:sz w:val="26"/>
          <w:szCs w:val="26"/>
        </w:rPr>
        <w:t xml:space="preserve">5.2 Weekly Activities</w:t>
      </w:r>
    </w:p>
    <w:p>
      <w:pPr>
        <w:pStyle w:val="ListParagraph"/>
        <w:numPr>
          <w:ilvl w:val="0"/>
          <w:numId w:val="2"/>
        </w:numPr>
        <w:spacing w:after="40" w:before="40"/>
      </w:pPr>
      <w:r>
        <w:rPr>
          <w:rFonts w:ascii="Arial" w:cs="Arial" w:eastAsia="Arial" w:hAnsi="Arial"/>
          <w:sz w:val="22"/>
          <w:szCs w:val="22"/>
        </w:rPr>
        <w:t xml:space="preserve">Review all open applications for any applications approaching 120-day or 180-day staleness windows (UHC/Optum rule)</w:t>
      </w:r>
    </w:p>
    <w:p>
      <w:pPr>
        <w:pStyle w:val="ListParagraph"/>
        <w:numPr>
          <w:ilvl w:val="0"/>
          <w:numId w:val="2"/>
        </w:numPr>
        <w:spacing w:after="40" w:before="40"/>
      </w:pPr>
      <w:r>
        <w:rPr>
          <w:rFonts w:ascii="Arial" w:cs="Arial" w:eastAsia="Arial" w:hAnsi="Arial"/>
          <w:sz w:val="22"/>
          <w:szCs w:val="22"/>
        </w:rPr>
        <w:t xml:space="preserve">Send proactive client updates for any material status changes</w:t>
      </w:r>
    </w:p>
    <w:p>
      <w:pPr>
        <w:pStyle w:val="ListParagraph"/>
        <w:numPr>
          <w:ilvl w:val="0"/>
          <w:numId w:val="2"/>
        </w:numPr>
        <w:spacing w:after="40" w:before="40"/>
      </w:pPr>
      <w:r>
        <w:rPr>
          <w:rFonts w:ascii="Arial" w:cs="Arial" w:eastAsia="Arial" w:hAnsi="Arial"/>
          <w:sz w:val="22"/>
          <w:szCs w:val="22"/>
        </w:rPr>
        <w:t xml:space="preserve">Conduct internal team check-ins to review workload, bottlenecks, and escalations</w:t>
      </w:r>
    </w:p>
    <w:p>
      <w:pPr>
        <w:pStyle w:val="ListParagraph"/>
        <w:numPr>
          <w:ilvl w:val="0"/>
          <w:numId w:val="2"/>
        </w:numPr>
        <w:spacing w:after="40" w:before="40"/>
      </w:pPr>
      <w:r>
        <w:rPr>
          <w:rFonts w:ascii="Arial" w:cs="Arial" w:eastAsia="Arial" w:hAnsi="Arial"/>
          <w:sz w:val="22"/>
          <w:szCs w:val="22"/>
        </w:rPr>
        <w:t xml:space="preserve">Follow up with payors that have not responded within expected processing windows</w:t>
      </w:r>
    </w:p>
    <w:p>
      <w:pPr>
        <w:pStyle w:val="ListParagraph"/>
        <w:numPr>
          <w:ilvl w:val="0"/>
          <w:numId w:val="2"/>
        </w:numPr>
        <w:spacing w:after="40" w:before="40"/>
      </w:pPr>
      <w:r>
        <w:rPr>
          <w:rFonts w:ascii="Arial" w:cs="Arial" w:eastAsia="Arial" w:hAnsi="Arial"/>
          <w:sz w:val="22"/>
          <w:szCs w:val="22"/>
        </w:rPr>
        <w:t xml:space="preserve">Verify effective dates and directory listings for recently approved providers</w:t>
      </w:r>
    </w:p>
    <w:p>
      <w:pPr>
        <w:pStyle w:val="Heading2"/>
        <w:spacing w:after="80" w:before="280"/>
      </w:pPr>
      <w:r>
        <w:rPr>
          <w:rFonts w:ascii="Arial" w:cs="Arial" w:eastAsia="Arial" w:hAnsi="Arial"/>
          <w:b/>
          <w:bCs/>
          <w:color w:val="2E86C1"/>
          <w:sz w:val="26"/>
          <w:szCs w:val="26"/>
        </w:rPr>
        <w:t xml:space="preserve">5.3 Monthly Activities</w:t>
      </w:r>
    </w:p>
    <w:p>
      <w:pPr>
        <w:pStyle w:val="ListParagraph"/>
        <w:numPr>
          <w:ilvl w:val="0"/>
          <w:numId w:val="2"/>
        </w:numPr>
        <w:spacing w:after="40" w:before="40"/>
      </w:pPr>
      <w:r>
        <w:rPr>
          <w:rFonts w:ascii="Arial" w:cs="Arial" w:eastAsia="Arial" w:hAnsi="Arial"/>
          <w:sz w:val="22"/>
          <w:szCs w:val="22"/>
        </w:rPr>
        <w:t xml:space="preserve">Publish twice-monthly credentialing status reports for each client</w:t>
      </w:r>
    </w:p>
    <w:p>
      <w:pPr>
        <w:pStyle w:val="ListParagraph"/>
        <w:numPr>
          <w:ilvl w:val="0"/>
          <w:numId w:val="2"/>
        </w:numPr>
        <w:spacing w:after="40" w:before="40"/>
      </w:pPr>
      <w:r>
        <w:rPr>
          <w:rFonts w:ascii="Arial" w:cs="Arial" w:eastAsia="Arial" w:hAnsi="Arial"/>
          <w:sz w:val="22"/>
          <w:szCs w:val="22"/>
        </w:rPr>
        <w:t xml:space="preserve">Hold monthly standing meetings with clients (recorded and stored in portal)</w:t>
      </w:r>
    </w:p>
    <w:p>
      <w:pPr>
        <w:pStyle w:val="ListParagraph"/>
        <w:numPr>
          <w:ilvl w:val="0"/>
          <w:numId w:val="2"/>
        </w:numPr>
        <w:spacing w:after="40" w:before="40"/>
      </w:pPr>
      <w:r>
        <w:rPr>
          <w:rFonts w:ascii="Arial" w:cs="Arial" w:eastAsia="Arial" w:hAnsi="Arial"/>
          <w:sz w:val="22"/>
          <w:szCs w:val="22"/>
        </w:rPr>
        <w:t xml:space="preserve">Run CAQH re-attestation cycle for all providers approaching 90-day internal reminder window</w:t>
      </w:r>
    </w:p>
    <w:p>
      <w:pPr>
        <w:pStyle w:val="ListParagraph"/>
        <w:numPr>
          <w:ilvl w:val="0"/>
          <w:numId w:val="2"/>
        </w:numPr>
        <w:spacing w:after="40" w:before="40"/>
      </w:pPr>
      <w:r>
        <w:rPr>
          <w:rFonts w:ascii="Arial" w:cs="Arial" w:eastAsia="Arial" w:hAnsi="Arial"/>
          <w:sz w:val="22"/>
          <w:szCs w:val="22"/>
        </w:rPr>
        <w:t xml:space="preserve">Audit provider directory listings across key payors for active clients</w:t>
      </w:r>
    </w:p>
    <w:p>
      <w:pPr>
        <w:pStyle w:val="ListParagraph"/>
        <w:numPr>
          <w:ilvl w:val="0"/>
          <w:numId w:val="2"/>
        </w:numPr>
        <w:spacing w:after="40" w:before="40"/>
      </w:pPr>
      <w:r>
        <w:rPr>
          <w:rFonts w:ascii="Arial" w:cs="Arial" w:eastAsia="Arial" w:hAnsi="Arial"/>
          <w:sz w:val="22"/>
          <w:szCs w:val="22"/>
        </w:rPr>
        <w:t xml:space="preserve">Review recredentialing and revalidation calendars for next 90 days</w:t>
      </w:r>
    </w:p>
    <w:p>
      <w:pPr>
        <w:pStyle w:val="ListParagraph"/>
        <w:numPr>
          <w:ilvl w:val="0"/>
          <w:numId w:val="2"/>
        </w:numPr>
        <w:spacing w:after="40" w:before="40"/>
      </w:pPr>
      <w:r>
        <w:rPr>
          <w:rFonts w:ascii="Arial" w:cs="Arial" w:eastAsia="Arial" w:hAnsi="Arial"/>
          <w:sz w:val="22"/>
          <w:szCs w:val="22"/>
        </w:rPr>
        <w:t xml:space="preserve">Publish blog content or LinkedIn posts on credentialing regulatory updates</w:t>
      </w:r>
    </w:p>
    <w:p>
      <w:pPr>
        <w:pStyle w:val="ListParagraph"/>
        <w:numPr>
          <w:ilvl w:val="0"/>
          <w:numId w:val="2"/>
        </w:numPr>
        <w:spacing w:after="40" w:before="40"/>
      </w:pPr>
      <w:r>
        <w:rPr>
          <w:rFonts w:ascii="Arial" w:cs="Arial" w:eastAsia="Arial" w:hAnsi="Arial"/>
          <w:sz w:val="22"/>
          <w:szCs w:val="22"/>
        </w:rPr>
        <w:t xml:space="preserve">Track team capacity and assign new applications or client requests</w:t>
      </w:r>
    </w:p>
    <w:p>
      <w:pPr>
        <w:pStyle w:val="Heading2"/>
        <w:spacing w:after="80" w:before="280"/>
      </w:pPr>
      <w:r>
        <w:rPr>
          <w:rFonts w:ascii="Arial" w:cs="Arial" w:eastAsia="Arial" w:hAnsi="Arial"/>
          <w:b/>
          <w:bCs/>
          <w:color w:val="2E86C1"/>
          <w:sz w:val="26"/>
          <w:szCs w:val="26"/>
        </w:rPr>
        <w:t xml:space="preserve">5.4 Key Operational Workflows</w:t>
      </w:r>
    </w:p>
    <w:p>
      <w:pPr>
        <w:spacing w:after="60" w:before="60"/>
      </w:pPr>
      <w:r>
        <w:rPr>
          <w:rFonts w:ascii="Arial" w:cs="Arial" w:eastAsia="Arial" w:hAnsi="Arial"/>
          <w:b/>
          <w:bCs/>
          <w:sz w:val="22"/>
          <w:szCs w:val="22"/>
        </w:rPr>
        <w:t xml:space="preserve">New provider credentialing: </w:t>
      </w:r>
      <w:r>
        <w:rPr>
          <w:rFonts w:ascii="Arial" w:cs="Arial" w:eastAsia="Arial" w:hAnsi="Arial"/>
          <w:sz w:val="22"/>
          <w:szCs w:val="22"/>
        </w:rPr>
        <w:t xml:space="preserve">Intake &gt; document verification &gt; CAQH update &gt; application preparation &gt; submission &gt; follow-up cadence &gt; effective date confirmation &gt; directory verification &gt; portal update.</w:t>
      </w:r>
    </w:p>
    <w:p>
      <w:pPr>
        <w:spacing w:after="60" w:before="60"/>
      </w:pPr>
      <w:r>
        <w:rPr>
          <w:rFonts w:ascii="Arial" w:cs="Arial" w:eastAsia="Arial" w:hAnsi="Arial"/>
          <w:b/>
          <w:bCs/>
          <w:sz w:val="22"/>
          <w:szCs w:val="22"/>
        </w:rPr>
        <w:t xml:space="preserve">Recredentialing: </w:t>
      </w:r>
      <w:r>
        <w:rPr>
          <w:rFonts w:ascii="Arial" w:cs="Arial" w:eastAsia="Arial" w:hAnsi="Arial"/>
          <w:sz w:val="22"/>
          <w:szCs w:val="22"/>
        </w:rPr>
        <w:t xml:space="preserve">Calendar alert triggers 90+ days before deadline &gt; collect updated documents &gt; submit to payer &gt; track approval &gt; update portal.</w:t>
      </w:r>
    </w:p>
    <w:p>
      <w:pPr>
        <w:spacing w:after="60" w:before="60"/>
      </w:pPr>
      <w:r>
        <w:rPr>
          <w:rFonts w:ascii="Arial" w:cs="Arial" w:eastAsia="Arial" w:hAnsi="Arial"/>
          <w:b/>
          <w:bCs/>
          <w:sz w:val="22"/>
          <w:szCs w:val="22"/>
        </w:rPr>
        <w:t xml:space="preserve">CAQH maintenance: </w:t>
      </w:r>
      <w:r>
        <w:rPr>
          <w:rFonts w:ascii="Arial" w:cs="Arial" w:eastAsia="Arial" w:hAnsi="Arial"/>
          <w:sz w:val="22"/>
          <w:szCs w:val="22"/>
        </w:rPr>
        <w:t xml:space="preserve">Internal 90-day reminder (not 120) &gt; log in &gt; review all sections &gt; re-attest &gt; confirm payer access granted for all active payers.</w:t>
      </w:r>
    </w:p>
    <w:p>
      <w:pPr>
        <w:spacing w:after="60" w:before="60"/>
      </w:pPr>
      <w:r>
        <w:rPr>
          <w:rFonts w:ascii="Arial" w:cs="Arial" w:eastAsia="Arial" w:hAnsi="Arial"/>
          <w:b/>
          <w:bCs/>
          <w:sz w:val="22"/>
          <w:szCs w:val="22"/>
        </w:rPr>
        <w:t xml:space="preserve">Vendor transition: </w:t>
      </w:r>
      <w:r>
        <w:rPr>
          <w:rFonts w:ascii="Arial" w:cs="Arial" w:eastAsia="Arial" w:hAnsi="Arial"/>
          <w:sz w:val="22"/>
          <w:szCs w:val="22"/>
        </w:rPr>
        <w:t xml:space="preserve">Intake prior vendor records &gt; audit for gaps &gt; queue missing applications &gt; correct known errors &gt; transfer portal data &gt; confirm ownership of all open items.</w:t>
      </w:r>
    </w:p>
    <w:p>
      <w:pPr>
        <w:spacing w:after="60" w:before="60"/>
      </w:pPr>
      <w:r>
        <w:rPr>
          <w:rFonts w:ascii="Arial" w:cs="Arial" w:eastAsia="Arial" w:hAnsi="Arial"/>
          <w:b/>
          <w:bCs/>
          <w:sz w:val="22"/>
          <w:szCs w:val="22"/>
        </w:rPr>
        <w:t xml:space="preserve">Directory audit: </w:t>
      </w:r>
      <w:r>
        <w:rPr>
          <w:rFonts w:ascii="Arial" w:cs="Arial" w:eastAsia="Arial" w:hAnsi="Arial"/>
          <w:sz w:val="22"/>
          <w:szCs w:val="22"/>
        </w:rPr>
        <w:t xml:space="preserve">Compare active enrollments in portal against public payer directory listings &gt; flag discrepancies &gt; submit corrections &gt; confirm resolution.</w:t>
      </w:r>
    </w:p>
    <w:p>
      <w:r>
        <w:br w:type="page"/>
      </w:r>
    </w:p>
    <w:p>
      <w:pPr>
        <w:pStyle w:val="Heading1"/>
        <w:spacing w:after="120" w:before="360"/>
      </w:pPr>
      <w:r>
        <w:rPr>
          <w:rFonts w:ascii="Arial" w:cs="Arial" w:eastAsia="Arial" w:hAnsi="Arial"/>
          <w:b/>
          <w:bCs/>
          <w:color w:val="1B4F72"/>
          <w:sz w:val="32"/>
          <w:szCs w:val="32"/>
        </w:rPr>
        <w:t xml:space="preserve">6. Team Structure</w:t>
      </w:r>
    </w:p>
    <w:p>
      <w:pPr>
        <w:pBdr>
          <w:bottom w:val="single" w:color="2E86C1" w:sz="4" w:space="1"/>
        </w:pBdr>
        <w:spacing w:after="120" w:before="120"/>
      </w:pPr>
    </w:p>
    <w:p>
      <w:pPr>
        <w:spacing w:after="60" w:before="60"/>
      </w:pPr>
      <w:r>
        <w:rPr>
          <w:rFonts w:ascii="Arial" w:cs="Arial" w:eastAsia="Arial" w:hAnsi="Arial"/>
          <w:sz w:val="22"/>
          <w:szCs w:val="22"/>
        </w:rPr>
        <w:t xml:space="preserve">pie Health has approximately 7 employees (per LinkedIn). The team is U.S.-based and fully remote.</w:t>
      </w:r>
    </w:p>
    <w:p>
      <w:pPr>
        <w:pStyle w:val="Heading2"/>
        <w:spacing w:after="80" w:before="280"/>
      </w:pPr>
      <w:r>
        <w:rPr>
          <w:rFonts w:ascii="Arial" w:cs="Arial" w:eastAsia="Arial" w:hAnsi="Arial"/>
          <w:b/>
          <w:bCs/>
          <w:color w:val="2E86C1"/>
          <w:sz w:val="26"/>
          <w:szCs w:val="26"/>
        </w:rPr>
        <w:t xml:space="preserve">6.1 Leadership Roles</w:t>
      </w:r>
    </w:p>
    <w:p>
      <w:pPr>
        <w:spacing w:after="60" w:before="60"/>
      </w:pPr>
      <w:r>
        <w:rPr>
          <w:rFonts w:ascii="Arial" w:cs="Arial" w:eastAsia="Arial" w:hAnsi="Arial"/>
          <w:b/>
          <w:bCs/>
          <w:sz w:val="22"/>
          <w:szCs w:val="22"/>
        </w:rPr>
        <w:t xml:space="preserve">Robb Duke — Founder &amp; CEO: </w:t>
      </w:r>
      <w:r>
        <w:rPr>
          <w:rFonts w:ascii="Arial" w:cs="Arial" w:eastAsia="Arial" w:hAnsi="Arial"/>
          <w:sz w:val="22"/>
          <w:szCs w:val="22"/>
        </w:rPr>
        <w:t xml:space="preserve">Overall company direction, product design, operations, and client relationships. Also serves as Head of Innovation at Propel HR. Background: healthcare credentialing SaaS (CredentialGenie, Intiva Health), IT consulting.</w:t>
      </w:r>
    </w:p>
    <w:p>
      <w:pPr>
        <w:spacing w:after="60" w:before="60"/>
      </w:pPr>
      <w:r>
        <w:rPr>
          <w:rFonts w:ascii="Arial" w:cs="Arial" w:eastAsia="Arial" w:hAnsi="Arial"/>
          <w:b/>
          <w:bCs/>
          <w:sz w:val="22"/>
          <w:szCs w:val="22"/>
        </w:rPr>
        <w:t xml:space="preserve">Suzie Duke: </w:t>
      </w:r>
      <w:r>
        <w:rPr>
          <w:rFonts w:ascii="Arial" w:cs="Arial" w:eastAsia="Arial" w:hAnsi="Arial"/>
          <w:sz w:val="22"/>
          <w:szCs w:val="22"/>
        </w:rPr>
        <w:t xml:space="preserve">Core team member; role not publicly specified but involved in operations.</w:t>
      </w:r>
    </w:p>
    <w:p>
      <w:pPr>
        <w:pStyle w:val="Heading2"/>
        <w:spacing w:after="80" w:before="280"/>
      </w:pPr>
      <w:r>
        <w:rPr>
          <w:rFonts w:ascii="Arial" w:cs="Arial" w:eastAsia="Arial" w:hAnsi="Arial"/>
          <w:b/>
          <w:bCs/>
          <w:color w:val="2E86C1"/>
          <w:sz w:val="26"/>
          <w:szCs w:val="26"/>
        </w:rPr>
        <w:t xml:space="preserve">6.2 Sales Team</w:t>
      </w:r>
    </w:p>
    <w:p>
      <w:pPr>
        <w:spacing w:after="60" w:before="60"/>
      </w:pPr>
      <w:r>
        <w:rPr>
          <w:rFonts w:ascii="Arial" w:cs="Arial" w:eastAsia="Arial" w:hAnsi="Arial"/>
          <w:sz w:val="22"/>
          <w:szCs w:val="22"/>
        </w:rPr>
        <w:t xml:space="preserve">No dedicated sales team identified. Sales is handled through inbound content marketing, founder-led outreach, and the free consultation funnel. Robb Duke serves as the primary sales lead.</w:t>
      </w:r>
    </w:p>
    <w:p>
      <w:pPr>
        <w:spacing w:after="60" w:before="60"/>
      </w:pPr>
      <w:r>
        <w:rPr>
          <w:rFonts w:ascii="Arial" w:cs="Arial" w:eastAsia="Arial" w:hAnsi="Arial"/>
          <w:b/>
          <w:bCs/>
          <w:sz w:val="22"/>
          <w:szCs w:val="22"/>
        </w:rPr>
        <w:t xml:space="preserve">Key outputs: </w:t>
      </w:r>
      <w:r>
        <w:rPr>
          <w:rFonts w:ascii="Arial" w:cs="Arial" w:eastAsia="Arial" w:hAnsi="Arial"/>
          <w:sz w:val="22"/>
          <w:szCs w:val="22"/>
        </w:rPr>
        <w:t xml:space="preserve">Qualified consultations, signed service agreements.</w:t>
      </w:r>
    </w:p>
    <w:p>
      <w:pPr>
        <w:spacing w:after="60" w:before="60"/>
      </w:pPr>
      <w:r>
        <w:rPr>
          <w:rFonts w:ascii="Arial" w:cs="Arial" w:eastAsia="Arial" w:hAnsi="Arial"/>
          <w:b/>
          <w:bCs/>
          <w:sz w:val="22"/>
          <w:szCs w:val="22"/>
        </w:rPr>
        <w:t xml:space="preserve">Tools used: </w:t>
      </w:r>
      <w:r>
        <w:rPr>
          <w:rFonts w:ascii="Arial" w:cs="Arial" w:eastAsia="Arial" w:hAnsi="Arial"/>
          <w:sz w:val="22"/>
          <w:szCs w:val="22"/>
        </w:rPr>
        <w:t xml:space="preserve">LinkedIn, website contact forms, video call platform (likely Zoom or Calendly).</w:t>
      </w:r>
    </w:p>
    <w:p>
      <w:pPr>
        <w:pStyle w:val="Heading2"/>
        <w:spacing w:after="80" w:before="280"/>
      </w:pPr>
      <w:r>
        <w:rPr>
          <w:rFonts w:ascii="Arial" w:cs="Arial" w:eastAsia="Arial" w:hAnsi="Arial"/>
          <w:b/>
          <w:bCs/>
          <w:color w:val="2E86C1"/>
          <w:sz w:val="26"/>
          <w:szCs w:val="26"/>
        </w:rPr>
        <w:t xml:space="preserve">6.3 Marketing Team</w:t>
      </w:r>
    </w:p>
    <w:p>
      <w:pPr>
        <w:spacing w:after="60" w:before="60"/>
      </w:pPr>
      <w:r>
        <w:rPr>
          <w:rFonts w:ascii="Arial" w:cs="Arial" w:eastAsia="Arial" w:hAnsi="Arial"/>
          <w:sz w:val="22"/>
          <w:szCs w:val="22"/>
        </w:rPr>
        <w:t xml:space="preserve">No dedicated marketing team identified. Content marketing is driven by the founding team through the blog and LinkedIn.</w:t>
      </w:r>
    </w:p>
    <w:p>
      <w:pPr>
        <w:spacing w:after="60" w:before="60"/>
      </w:pPr>
      <w:r>
        <w:rPr>
          <w:rFonts w:ascii="Arial" w:cs="Arial" w:eastAsia="Arial" w:hAnsi="Arial"/>
          <w:b/>
          <w:bCs/>
          <w:sz w:val="22"/>
          <w:szCs w:val="22"/>
        </w:rPr>
        <w:t xml:space="preserve">Key outputs: </w:t>
      </w:r>
      <w:r>
        <w:rPr>
          <w:rFonts w:ascii="Arial" w:cs="Arial" w:eastAsia="Arial" w:hAnsi="Arial"/>
          <w:sz w:val="22"/>
          <w:szCs w:val="22"/>
        </w:rPr>
        <w:t xml:space="preserve">Blog posts, LinkedIn company and personal posts, SEO-optimized content, regulatory update communications.</w:t>
      </w:r>
    </w:p>
    <w:p>
      <w:pPr>
        <w:pStyle w:val="Heading2"/>
        <w:spacing w:after="80" w:before="280"/>
      </w:pPr>
      <w:r>
        <w:rPr>
          <w:rFonts w:ascii="Arial" w:cs="Arial" w:eastAsia="Arial" w:hAnsi="Arial"/>
          <w:b/>
          <w:bCs/>
          <w:color w:val="2E86C1"/>
          <w:sz w:val="26"/>
          <w:szCs w:val="26"/>
        </w:rPr>
        <w:t xml:space="preserve">6.4 Operations Team</w:t>
      </w:r>
    </w:p>
    <w:p>
      <w:pPr>
        <w:spacing w:after="60" w:before="60"/>
      </w:pPr>
      <w:r>
        <w:rPr>
          <w:rFonts w:ascii="Arial" w:cs="Arial" w:eastAsia="Arial" w:hAnsi="Arial"/>
          <w:b/>
          <w:bCs/>
          <w:sz w:val="22"/>
          <w:szCs w:val="22"/>
        </w:rPr>
        <w:t xml:space="preserve">Jennifer J. — Director of Credentialing: </w:t>
      </w:r>
      <w:r>
        <w:rPr>
          <w:rFonts w:ascii="Arial" w:cs="Arial" w:eastAsia="Arial" w:hAnsi="Arial"/>
          <w:sz w:val="22"/>
          <w:szCs w:val="22"/>
        </w:rPr>
        <w:t xml:space="preserve">Leads credentialing operations. 27+ years of experience across all 50 states. Background includes CredentialGenie and QGenda. Responsible for delivery, team leadership, process improvement, and turnaround times.</w:t>
      </w:r>
    </w:p>
    <w:p>
      <w:pPr>
        <w:spacing w:after="60" w:before="60"/>
      </w:pPr>
      <w:r>
        <w:rPr>
          <w:rFonts w:ascii="Arial" w:cs="Arial" w:eastAsia="Arial" w:hAnsi="Arial"/>
          <w:b/>
          <w:bCs/>
          <w:sz w:val="22"/>
          <w:szCs w:val="22"/>
        </w:rPr>
        <w:t xml:space="preserve">Shelli Donaldson, PESC; Lacy Steer, PESC: </w:t>
      </w:r>
      <w:r>
        <w:rPr>
          <w:rFonts w:ascii="Arial" w:cs="Arial" w:eastAsia="Arial" w:hAnsi="Arial"/>
          <w:sz w:val="22"/>
          <w:szCs w:val="22"/>
        </w:rPr>
        <w:t xml:space="preserve">Credentialing specialists (PESC = Provider Enrollment Specialist Certification). Handle daily application work, payer follow-up, CAQH management, and client portal updates.</w:t>
      </w:r>
    </w:p>
    <w:p>
      <w:pPr>
        <w:spacing w:after="60" w:before="60"/>
      </w:pPr>
      <w:r>
        <w:rPr>
          <w:rFonts w:ascii="Arial" w:cs="Arial" w:eastAsia="Arial" w:hAnsi="Arial"/>
          <w:b/>
          <w:bCs/>
          <w:sz w:val="22"/>
          <w:szCs w:val="22"/>
        </w:rPr>
        <w:t xml:space="preserve">Key outputs: </w:t>
      </w:r>
      <w:r>
        <w:rPr>
          <w:rFonts w:ascii="Arial" w:cs="Arial" w:eastAsia="Arial" w:hAnsi="Arial"/>
          <w:sz w:val="22"/>
          <w:szCs w:val="22"/>
        </w:rPr>
        <w:t xml:space="preserve">Submitted applications, status updates, confirmed effective dates, directory verifications.</w:t>
      </w:r>
    </w:p>
    <w:p>
      <w:pPr>
        <w:spacing w:after="60" w:before="60"/>
      </w:pPr>
      <w:r>
        <w:rPr>
          <w:rFonts w:ascii="Arial" w:cs="Arial" w:eastAsia="Arial" w:hAnsi="Arial"/>
          <w:b/>
          <w:bCs/>
          <w:sz w:val="22"/>
          <w:szCs w:val="22"/>
        </w:rPr>
        <w:t xml:space="preserve">Tools used: </w:t>
      </w:r>
      <w:r>
        <w:rPr>
          <w:rFonts w:ascii="Arial" w:cs="Arial" w:eastAsia="Arial" w:hAnsi="Arial"/>
          <w:sz w:val="22"/>
          <w:szCs w:val="22"/>
        </w:rPr>
        <w:t xml:space="preserve">CAQH ProView, PECOS, Availity, state Medicaid portals (TMHP PEMS, FLMMIS, PROMISe, CHAMPS, etc.), pie Practice portal.</w:t>
      </w:r>
    </w:p>
    <w:p>
      <w:pPr>
        <w:pStyle w:val="Heading2"/>
        <w:spacing w:after="80" w:before="280"/>
      </w:pPr>
      <w:r>
        <w:rPr>
          <w:rFonts w:ascii="Arial" w:cs="Arial" w:eastAsia="Arial" w:hAnsi="Arial"/>
          <w:b/>
          <w:bCs/>
          <w:color w:val="2E86C1"/>
          <w:sz w:val="26"/>
          <w:szCs w:val="26"/>
        </w:rPr>
        <w:t xml:space="preserve">6.5 Technical Team</w:t>
      </w:r>
    </w:p>
    <w:p>
      <w:pPr>
        <w:spacing w:after="60" w:before="60"/>
      </w:pPr>
      <w:r>
        <w:rPr>
          <w:rFonts w:ascii="Arial" w:cs="Arial" w:eastAsia="Arial" w:hAnsi="Arial"/>
          <w:sz w:val="22"/>
          <w:szCs w:val="22"/>
        </w:rPr>
        <w:t xml:space="preserve">Technology development is led by Robb Duke (product direction) with external developers. pie is building its credentialing platform with a proprietary payor knowledge base and provider data management system. Job postings (e.g., Healthie Enterprise configuration) indicate use of third-party platforms augmented with custom integrations and automation.</w:t>
      </w:r>
    </w:p>
    <w:p>
      <w:pPr>
        <w:spacing w:after="60" w:before="60"/>
      </w:pPr>
      <w:r>
        <w:rPr>
          <w:rFonts w:ascii="Arial" w:cs="Arial" w:eastAsia="Arial" w:hAnsi="Arial"/>
          <w:b/>
          <w:bCs/>
          <w:sz w:val="22"/>
          <w:szCs w:val="22"/>
        </w:rPr>
        <w:t xml:space="preserve">Key outputs: </w:t>
      </w:r>
      <w:r>
        <w:rPr>
          <w:rFonts w:ascii="Arial" w:cs="Arial" w:eastAsia="Arial" w:hAnsi="Arial"/>
          <w:sz w:val="22"/>
          <w:szCs w:val="22"/>
        </w:rPr>
        <w:t xml:space="preserve">pie Practice portal, internal payor knowledge base, workflow automation tools.</w:t>
      </w:r>
    </w:p>
    <w:p>
      <w:pPr>
        <w:pStyle w:val="Heading2"/>
        <w:spacing w:after="80" w:before="280"/>
      </w:pPr>
      <w:r>
        <w:rPr>
          <w:rFonts w:ascii="Arial" w:cs="Arial" w:eastAsia="Arial" w:hAnsi="Arial"/>
          <w:b/>
          <w:bCs/>
          <w:color w:val="2E86C1"/>
          <w:sz w:val="26"/>
          <w:szCs w:val="26"/>
        </w:rPr>
        <w:t xml:space="preserve">6.6 Support Team</w:t>
      </w:r>
    </w:p>
    <w:p>
      <w:pPr>
        <w:spacing w:after="60" w:before="60"/>
      </w:pPr>
      <w:r>
        <w:rPr>
          <w:rFonts w:ascii="Arial" w:cs="Arial" w:eastAsia="Arial" w:hAnsi="Arial"/>
          <w:sz w:val="22"/>
          <w:szCs w:val="22"/>
        </w:rPr>
        <w:t xml:space="preserve">Client support is provided by the credentialing operations team directly. There is a Help Center on the website (piehealthusa.com/resources) with FAQs and walkthroughs. No separate dedicated support tier identified — all support flows through the assigned credentialing specialist and the monthly/bi-monthly meeting cadence.</w:t>
      </w:r>
    </w:p>
    <w:p>
      <w:r>
        <w:br w:type="page"/>
      </w:r>
    </w:p>
    <w:p>
      <w:pPr>
        <w:pStyle w:val="Heading1"/>
        <w:spacing w:after="120" w:before="360"/>
      </w:pPr>
      <w:r>
        <w:rPr>
          <w:rFonts w:ascii="Arial" w:cs="Arial" w:eastAsia="Arial" w:hAnsi="Arial"/>
          <w:b/>
          <w:bCs/>
          <w:color w:val="1B4F72"/>
          <w:sz w:val="32"/>
          <w:szCs w:val="32"/>
        </w:rPr>
        <w:t xml:space="preserve">7. Tools and Technology</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7.1 CRM Systems</w:t>
      </w:r>
    </w:p>
    <w:p>
      <w:pPr>
        <w:spacing w:after="60" w:before="60"/>
      </w:pPr>
      <w:r>
        <w:rPr>
          <w:rFonts w:ascii="Arial" w:cs="Arial" w:eastAsia="Arial" w:hAnsi="Arial"/>
          <w:sz w:val="22"/>
          <w:szCs w:val="22"/>
        </w:rPr>
        <w:t xml:space="preserve">Not publicly disclosed. Likely a combination of internal tools built on pie Practice and a general CRM (possibly Airtable, HubSpot, or Noloco-style no-code platform based on founder's technology interests). Robb Duke has referenced evaluating tools like Attio.</w:t>
      </w:r>
    </w:p>
    <w:p>
      <w:pPr>
        <w:pStyle w:val="Heading2"/>
        <w:spacing w:after="80" w:before="280"/>
      </w:pPr>
      <w:r>
        <w:rPr>
          <w:rFonts w:ascii="Arial" w:cs="Arial" w:eastAsia="Arial" w:hAnsi="Arial"/>
          <w:b/>
          <w:bCs/>
          <w:color w:val="2E86C1"/>
          <w:sz w:val="26"/>
          <w:szCs w:val="26"/>
        </w:rPr>
        <w:t xml:space="preserve">7.2 Marketing Tools</w:t>
      </w:r>
    </w:p>
    <w:p>
      <w:pPr>
        <w:spacing w:after="60" w:before="60"/>
      </w:pPr>
      <w:r>
        <w:rPr>
          <w:rFonts w:ascii="Arial" w:cs="Arial" w:eastAsia="Arial" w:hAnsi="Arial"/>
          <w:sz w:val="22"/>
          <w:szCs w:val="22"/>
        </w:rPr>
        <w:t xml:space="preserve">LinkedIn (company page + founder personal brand), piehealthusa.com (WordPress or similar CMS), SEO blog publishing, and email/newsletter communications. No paid advertising platform mentioned.</w:t>
      </w:r>
    </w:p>
    <w:p>
      <w:pPr>
        <w:pStyle w:val="Heading2"/>
        <w:spacing w:after="80" w:before="280"/>
      </w:pPr>
      <w:r>
        <w:rPr>
          <w:rFonts w:ascii="Arial" w:cs="Arial" w:eastAsia="Arial" w:hAnsi="Arial"/>
          <w:b/>
          <w:bCs/>
          <w:color w:val="2E86C1"/>
          <w:sz w:val="26"/>
          <w:szCs w:val="26"/>
        </w:rPr>
        <w:t xml:space="preserve">7.3 Communication Tools</w:t>
      </w:r>
    </w:p>
    <w:p>
      <w:pPr>
        <w:pStyle w:val="ListParagraph"/>
        <w:numPr>
          <w:ilvl w:val="0"/>
          <w:numId w:val="2"/>
        </w:numPr>
        <w:spacing w:after="40" w:before="40"/>
      </w:pPr>
      <w:r>
        <w:rPr>
          <w:rFonts w:ascii="Arial" w:cs="Arial" w:eastAsia="Arial" w:hAnsi="Arial"/>
          <w:sz w:val="22"/>
          <w:szCs w:val="22"/>
        </w:rPr>
        <w:t xml:space="preserve">Client communication: email, phone (800-799-3859), video calls (likely Zoom)</w:t>
      </w:r>
    </w:p>
    <w:p>
      <w:pPr>
        <w:pStyle w:val="ListParagraph"/>
        <w:numPr>
          <w:ilvl w:val="0"/>
          <w:numId w:val="2"/>
        </w:numPr>
        <w:spacing w:after="40" w:before="40"/>
      </w:pPr>
      <w:r>
        <w:rPr>
          <w:rFonts w:ascii="Arial" w:cs="Arial" w:eastAsia="Arial" w:hAnsi="Arial"/>
          <w:sz w:val="22"/>
          <w:szCs w:val="22"/>
        </w:rPr>
        <w:t xml:space="preserve">Internal: likely Slack or similar async tool</w:t>
      </w:r>
    </w:p>
    <w:p>
      <w:pPr>
        <w:pStyle w:val="ListParagraph"/>
        <w:numPr>
          <w:ilvl w:val="0"/>
          <w:numId w:val="2"/>
        </w:numPr>
        <w:spacing w:after="40" w:before="40"/>
      </w:pPr>
      <w:r>
        <w:rPr>
          <w:rFonts w:ascii="Arial" w:cs="Arial" w:eastAsia="Arial" w:hAnsi="Arial"/>
          <w:sz w:val="22"/>
          <w:szCs w:val="22"/>
        </w:rPr>
        <w:t xml:space="preserve">Portal meeting recordings stored in pie Practice</w:t>
      </w:r>
    </w:p>
    <w:p>
      <w:pPr>
        <w:pStyle w:val="Heading2"/>
        <w:spacing w:after="80" w:before="280"/>
      </w:pPr>
      <w:r>
        <w:rPr>
          <w:rFonts w:ascii="Arial" w:cs="Arial" w:eastAsia="Arial" w:hAnsi="Arial"/>
          <w:b/>
          <w:bCs/>
          <w:color w:val="2E86C1"/>
          <w:sz w:val="26"/>
          <w:szCs w:val="26"/>
        </w:rPr>
        <w:t xml:space="preserve">7.4 Project Management Tools</w:t>
      </w:r>
    </w:p>
    <w:p>
      <w:pPr>
        <w:spacing w:after="60" w:before="60"/>
      </w:pPr>
      <w:r>
        <w:rPr>
          <w:rFonts w:ascii="Arial" w:cs="Arial" w:eastAsia="Arial" w:hAnsi="Arial"/>
          <w:sz w:val="22"/>
          <w:szCs w:val="22"/>
        </w:rPr>
        <w:t xml:space="preserve">pie Practice (proprietary portal) is the primary project management layer for credentialing work. It tracks: projects, requests, statuses, meeting notes, provider enrollments, payor connections, and group contracts. Internal workflow tooling not publicly disclosed.</w:t>
      </w:r>
    </w:p>
    <w:p>
      <w:pPr>
        <w:pStyle w:val="Heading2"/>
        <w:spacing w:after="80" w:before="280"/>
      </w:pPr>
      <w:r>
        <w:rPr>
          <w:rFonts w:ascii="Arial" w:cs="Arial" w:eastAsia="Arial" w:hAnsi="Arial"/>
          <w:b/>
          <w:bCs/>
          <w:color w:val="2E86C1"/>
          <w:sz w:val="26"/>
          <w:szCs w:val="26"/>
        </w:rPr>
        <w:t xml:space="preserve">7.5 Internal Automation Systems</w:t>
      </w:r>
    </w:p>
    <w:p>
      <w:pPr>
        <w:spacing w:after="60" w:before="60"/>
      </w:pPr>
      <w:r>
        <w:rPr>
          <w:rFonts w:ascii="Arial" w:cs="Arial" w:eastAsia="Arial" w:hAnsi="Arial"/>
          <w:sz w:val="22"/>
          <w:szCs w:val="22"/>
        </w:rPr>
        <w:t xml:space="preserve">pie is actively building automation infrastructure. The job posting (May 2026) references connecting backend data to automation engines such as Assured, MedTrainer, or Andros for routing profiles to payer enrollment systems. Healthie Enterprise is being evaluated as an enterprise health platform for multi-location workflow configuration. Automated portal notifications (60/30/15-day expiration alerts) are being developed.</w:t>
      </w:r>
    </w:p>
    <w:p>
      <w:pPr>
        <w:pStyle w:val="Heading2"/>
        <w:spacing w:after="80" w:before="280"/>
      </w:pPr>
      <w:r>
        <w:rPr>
          <w:rFonts w:ascii="Arial" w:cs="Arial" w:eastAsia="Arial" w:hAnsi="Arial"/>
          <w:b/>
          <w:bCs/>
          <w:color w:val="2E86C1"/>
          <w:sz w:val="26"/>
          <w:szCs w:val="26"/>
        </w:rPr>
        <w:t xml:space="preserve">7.6 Data Systems</w:t>
      </w:r>
    </w:p>
    <w:p>
      <w:pPr>
        <w:pStyle w:val="ListParagraph"/>
        <w:numPr>
          <w:ilvl w:val="0"/>
          <w:numId w:val="2"/>
        </w:numPr>
        <w:spacing w:after="40" w:before="40"/>
      </w:pPr>
      <w:r>
        <w:rPr>
          <w:rFonts w:ascii="Arial" w:cs="Arial" w:eastAsia="Arial" w:hAnsi="Arial"/>
          <w:sz w:val="22"/>
          <w:szCs w:val="22"/>
        </w:rPr>
        <w:t xml:space="preserve">CAQH ProView: central provider data source used by most commercial payers</w:t>
      </w:r>
    </w:p>
    <w:p>
      <w:pPr>
        <w:pStyle w:val="ListParagraph"/>
        <w:numPr>
          <w:ilvl w:val="0"/>
          <w:numId w:val="2"/>
        </w:numPr>
        <w:spacing w:after="40" w:before="40"/>
      </w:pPr>
      <w:r>
        <w:rPr>
          <w:rFonts w:ascii="Arial" w:cs="Arial" w:eastAsia="Arial" w:hAnsi="Arial"/>
          <w:sz w:val="22"/>
          <w:szCs w:val="22"/>
        </w:rPr>
        <w:t xml:space="preserve">PECOS: Medicare enrollment data</w:t>
      </w:r>
    </w:p>
    <w:p>
      <w:pPr>
        <w:pStyle w:val="ListParagraph"/>
        <w:numPr>
          <w:ilvl w:val="0"/>
          <w:numId w:val="2"/>
        </w:numPr>
        <w:spacing w:after="40" w:before="40"/>
      </w:pPr>
      <w:r>
        <w:rPr>
          <w:rFonts w:ascii="Arial" w:cs="Arial" w:eastAsia="Arial" w:hAnsi="Arial"/>
          <w:sz w:val="22"/>
          <w:szCs w:val="22"/>
        </w:rPr>
        <w:t xml:space="preserve">NPPES: NPI registry management</w:t>
      </w:r>
    </w:p>
    <w:p>
      <w:pPr>
        <w:pStyle w:val="ListParagraph"/>
        <w:numPr>
          <w:ilvl w:val="0"/>
          <w:numId w:val="2"/>
        </w:numPr>
        <w:spacing w:after="40" w:before="40"/>
      </w:pPr>
      <w:r>
        <w:rPr>
          <w:rFonts w:ascii="Arial" w:cs="Arial" w:eastAsia="Arial" w:hAnsi="Arial"/>
          <w:sz w:val="22"/>
          <w:szCs w:val="22"/>
        </w:rPr>
        <w:t xml:space="preserve">TMHP PEMS (Texas Medicaid)</w:t>
      </w:r>
    </w:p>
    <w:p>
      <w:pPr>
        <w:pStyle w:val="ListParagraph"/>
        <w:numPr>
          <w:ilvl w:val="0"/>
          <w:numId w:val="2"/>
        </w:numPr>
        <w:spacing w:after="40" w:before="40"/>
      </w:pPr>
      <w:r>
        <w:rPr>
          <w:rFonts w:ascii="Arial" w:cs="Arial" w:eastAsia="Arial" w:hAnsi="Arial"/>
          <w:sz w:val="22"/>
          <w:szCs w:val="22"/>
        </w:rPr>
        <w:t xml:space="preserve">Availity: multi-payer portal widely used for commercial submissions and status checks</w:t>
      </w:r>
    </w:p>
    <w:p>
      <w:pPr>
        <w:pStyle w:val="ListParagraph"/>
        <w:numPr>
          <w:ilvl w:val="0"/>
          <w:numId w:val="2"/>
        </w:numPr>
        <w:spacing w:after="40" w:before="40"/>
      </w:pPr>
      <w:r>
        <w:rPr>
          <w:rFonts w:ascii="Arial" w:cs="Arial" w:eastAsia="Arial" w:hAnsi="Arial"/>
          <w:sz w:val="22"/>
          <w:szCs w:val="22"/>
        </w:rPr>
        <w:t xml:space="preserve">State-specific Medicaid portals: FLMMIS (FL), PROMISe (PA), CHAMPS (MI), IMPACT (IL), MPATH (MT), SCDHHS (SC), eMedNY (NY), PAVE (CA), NJMMIS (NJ)</w:t>
      </w:r>
    </w:p>
    <w:p>
      <w:pPr>
        <w:pStyle w:val="ListParagraph"/>
        <w:numPr>
          <w:ilvl w:val="0"/>
          <w:numId w:val="2"/>
        </w:numPr>
        <w:spacing w:after="40" w:before="40"/>
      </w:pPr>
      <w:r>
        <w:rPr>
          <w:rFonts w:ascii="Arial" w:cs="Arial" w:eastAsia="Arial" w:hAnsi="Arial"/>
          <w:sz w:val="22"/>
          <w:szCs w:val="22"/>
        </w:rPr>
        <w:t xml:space="preserve">Pie Practice: proprietary portal for client-facing data and project tracking</w:t>
      </w:r>
    </w:p>
    <w:p>
      <w:pPr>
        <w:pStyle w:val="ListParagraph"/>
        <w:numPr>
          <w:ilvl w:val="0"/>
          <w:numId w:val="2"/>
        </w:numPr>
        <w:spacing w:after="40" w:before="40"/>
      </w:pPr>
      <w:r>
        <w:rPr>
          <w:rFonts w:ascii="Arial" w:cs="Arial" w:eastAsia="Arial" w:hAnsi="Arial"/>
          <w:sz w:val="22"/>
          <w:szCs w:val="22"/>
        </w:rPr>
        <w:t xml:space="preserve">Internal payor knowledge base: crowd-sourced database of payor contacts, timelines, requirements, quirks</w:t>
      </w:r>
    </w:p>
    <w:p>
      <w:r>
        <w:br w:type="page"/>
      </w:r>
    </w:p>
    <w:p>
      <w:pPr>
        <w:pStyle w:val="Heading1"/>
        <w:spacing w:after="120" w:before="360"/>
      </w:pPr>
      <w:r>
        <w:rPr>
          <w:rFonts w:ascii="Arial" w:cs="Arial" w:eastAsia="Arial" w:hAnsi="Arial"/>
          <w:b/>
          <w:bCs/>
          <w:color w:val="1B4F72"/>
          <w:sz w:val="32"/>
          <w:szCs w:val="32"/>
        </w:rPr>
        <w:t xml:space="preserve">8. Sales System (For BDRs)</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8.1 Lead Sources</w:t>
      </w:r>
    </w:p>
    <w:p>
      <w:pPr>
        <w:pStyle w:val="ListParagraph"/>
        <w:numPr>
          <w:ilvl w:val="0"/>
          <w:numId w:val="2"/>
        </w:numPr>
        <w:spacing w:after="40" w:before="40"/>
      </w:pPr>
      <w:r>
        <w:rPr>
          <w:rFonts w:ascii="Arial" w:cs="Arial" w:eastAsia="Arial" w:hAnsi="Arial"/>
          <w:sz w:val="22"/>
          <w:szCs w:val="22"/>
        </w:rPr>
        <w:t xml:space="preserve">Inbound organic search (piehealthusa.com ranks for credentialing keywords nationwide)</w:t>
      </w:r>
    </w:p>
    <w:p>
      <w:pPr>
        <w:pStyle w:val="ListParagraph"/>
        <w:numPr>
          <w:ilvl w:val="0"/>
          <w:numId w:val="2"/>
        </w:numPr>
        <w:spacing w:after="40" w:before="40"/>
      </w:pPr>
      <w:r>
        <w:rPr>
          <w:rFonts w:ascii="Arial" w:cs="Arial" w:eastAsia="Arial" w:hAnsi="Arial"/>
          <w:sz w:val="22"/>
          <w:szCs w:val="22"/>
        </w:rPr>
        <w:t xml:space="preserve">LinkedIn — company posts and Robb Duke personal posts drive engagement</w:t>
      </w:r>
    </w:p>
    <w:p>
      <w:pPr>
        <w:pStyle w:val="ListParagraph"/>
        <w:numPr>
          <w:ilvl w:val="0"/>
          <w:numId w:val="2"/>
        </w:numPr>
        <w:spacing w:after="40" w:before="40"/>
      </w:pPr>
      <w:r>
        <w:rPr>
          <w:rFonts w:ascii="Arial" w:cs="Arial" w:eastAsia="Arial" w:hAnsi="Arial"/>
          <w:sz w:val="22"/>
          <w:szCs w:val="22"/>
        </w:rPr>
        <w:t xml:space="preserve">Referrals from billing companies, practice management consultants, EHR vendors</w:t>
      </w:r>
    </w:p>
    <w:p>
      <w:pPr>
        <w:pStyle w:val="ListParagraph"/>
        <w:numPr>
          <w:ilvl w:val="0"/>
          <w:numId w:val="2"/>
        </w:numPr>
        <w:spacing w:after="40" w:before="40"/>
      </w:pPr>
      <w:r>
        <w:rPr>
          <w:rFonts w:ascii="Arial" w:cs="Arial" w:eastAsia="Arial" w:hAnsi="Arial"/>
          <w:sz w:val="22"/>
          <w:szCs w:val="22"/>
        </w:rPr>
        <w:t xml:space="preserve">Word-of-mouth from existing clients</w:t>
      </w:r>
    </w:p>
    <w:p>
      <w:pPr>
        <w:pStyle w:val="ListParagraph"/>
        <w:numPr>
          <w:ilvl w:val="0"/>
          <w:numId w:val="2"/>
        </w:numPr>
        <w:spacing w:after="40" w:before="40"/>
      </w:pPr>
      <w:r>
        <w:rPr>
          <w:rFonts w:ascii="Arial" w:cs="Arial" w:eastAsia="Arial" w:hAnsi="Arial"/>
          <w:sz w:val="22"/>
          <w:szCs w:val="22"/>
        </w:rPr>
        <w:t xml:space="preserve">Industry events and practitioner communities (behavioral health, home health, etc.)</w:t>
      </w:r>
    </w:p>
    <w:p>
      <w:pPr>
        <w:pStyle w:val="Heading2"/>
        <w:spacing w:after="80" w:before="280"/>
      </w:pPr>
      <w:r>
        <w:rPr>
          <w:rFonts w:ascii="Arial" w:cs="Arial" w:eastAsia="Arial" w:hAnsi="Arial"/>
          <w:b/>
          <w:bCs/>
          <w:color w:val="2E86C1"/>
          <w:sz w:val="26"/>
          <w:szCs w:val="26"/>
        </w:rPr>
        <w:t xml:space="preserve">8.2 Prospecting Methods</w:t>
      </w:r>
    </w:p>
    <w:p>
      <w:pPr>
        <w:spacing w:after="60" w:before="60"/>
      </w:pPr>
      <w:r>
        <w:rPr>
          <w:rFonts w:ascii="Arial" w:cs="Arial" w:eastAsia="Arial" w:hAnsi="Arial"/>
          <w:sz w:val="22"/>
          <w:szCs w:val="22"/>
        </w:rPr>
        <w:t xml:space="preserve">pie does not appear to run outbound cold prospecting at scale. The sales model is primarily inbound-driven through content marketing and the free consultation CTA. BDRs partnering with pie should target:</w:t>
      </w:r>
    </w:p>
    <w:p>
      <w:pPr>
        <w:pStyle w:val="ListParagraph"/>
        <w:numPr>
          <w:ilvl w:val="0"/>
          <w:numId w:val="2"/>
        </w:numPr>
        <w:spacing w:after="40" w:before="40"/>
      </w:pPr>
      <w:r>
        <w:rPr>
          <w:rFonts w:ascii="Arial" w:cs="Arial" w:eastAsia="Arial" w:hAnsi="Arial"/>
          <w:sz w:val="22"/>
          <w:szCs w:val="22"/>
        </w:rPr>
        <w:t xml:space="preserve">Practice owners and administrators managing 2-50 providers</w:t>
      </w:r>
    </w:p>
    <w:p>
      <w:pPr>
        <w:pStyle w:val="ListParagraph"/>
        <w:numPr>
          <w:ilvl w:val="0"/>
          <w:numId w:val="2"/>
        </w:numPr>
        <w:spacing w:after="40" w:before="40"/>
      </w:pPr>
      <w:r>
        <w:rPr>
          <w:rFonts w:ascii="Arial" w:cs="Arial" w:eastAsia="Arial" w:hAnsi="Arial"/>
          <w:sz w:val="22"/>
          <w:szCs w:val="22"/>
        </w:rPr>
        <w:t xml:space="preserve">Office managers dealing with credentialing for the first time or after a bad vendor experience</w:t>
      </w:r>
    </w:p>
    <w:p>
      <w:pPr>
        <w:pStyle w:val="ListParagraph"/>
        <w:numPr>
          <w:ilvl w:val="0"/>
          <w:numId w:val="2"/>
        </w:numPr>
        <w:spacing w:after="40" w:before="40"/>
      </w:pPr>
      <w:r>
        <w:rPr>
          <w:rFonts w:ascii="Arial" w:cs="Arial" w:eastAsia="Arial" w:hAnsi="Arial"/>
          <w:sz w:val="22"/>
          <w:szCs w:val="22"/>
        </w:rPr>
        <w:t xml:space="preserve">Billing companies whose clients need credentialing support</w:t>
      </w:r>
    </w:p>
    <w:p>
      <w:pPr>
        <w:pStyle w:val="ListParagraph"/>
        <w:numPr>
          <w:ilvl w:val="0"/>
          <w:numId w:val="2"/>
        </w:numPr>
        <w:spacing w:after="40" w:before="40"/>
      </w:pPr>
      <w:r>
        <w:rPr>
          <w:rFonts w:ascii="Arial" w:cs="Arial" w:eastAsia="Arial" w:hAnsi="Arial"/>
          <w:sz w:val="22"/>
          <w:szCs w:val="22"/>
        </w:rPr>
        <w:t xml:space="preserve">Healthcare consultants and attorneys who advise practices on operations</w:t>
      </w:r>
    </w:p>
    <w:p>
      <w:pPr>
        <w:pStyle w:val="ListParagraph"/>
        <w:numPr>
          <w:ilvl w:val="0"/>
          <w:numId w:val="2"/>
        </w:numPr>
        <w:spacing w:after="40" w:before="40"/>
      </w:pPr>
      <w:r>
        <w:rPr>
          <w:rFonts w:ascii="Arial" w:cs="Arial" w:eastAsia="Arial" w:hAnsi="Arial"/>
          <w:sz w:val="22"/>
          <w:szCs w:val="22"/>
        </w:rPr>
        <w:t xml:space="preserve">Home health and hospice agencies in Texas navigating CMS enrollment changes</w:t>
      </w:r>
    </w:p>
    <w:p>
      <w:pPr>
        <w:pStyle w:val="Heading2"/>
        <w:spacing w:after="80" w:before="280"/>
      </w:pPr>
      <w:r>
        <w:rPr>
          <w:rFonts w:ascii="Arial" w:cs="Arial" w:eastAsia="Arial" w:hAnsi="Arial"/>
          <w:b/>
          <w:bCs/>
          <w:color w:val="2E86C1"/>
          <w:sz w:val="26"/>
          <w:szCs w:val="26"/>
        </w:rPr>
        <w:t xml:space="preserve">8.3 Outreach Channels</w:t>
      </w:r>
    </w:p>
    <w:p>
      <w:pPr>
        <w:pStyle w:val="ListParagraph"/>
        <w:numPr>
          <w:ilvl w:val="0"/>
          <w:numId w:val="2"/>
        </w:numPr>
        <w:spacing w:after="40" w:before="40"/>
      </w:pPr>
      <w:r>
        <w:rPr>
          <w:rFonts w:ascii="Arial" w:cs="Arial" w:eastAsia="Arial" w:hAnsi="Arial"/>
          <w:sz w:val="22"/>
          <w:szCs w:val="22"/>
        </w:rPr>
        <w:t xml:space="preserve">LinkedIn direct messages and content engagement</w:t>
      </w:r>
    </w:p>
    <w:p>
      <w:pPr>
        <w:pStyle w:val="ListParagraph"/>
        <w:numPr>
          <w:ilvl w:val="0"/>
          <w:numId w:val="2"/>
        </w:numPr>
        <w:spacing w:after="40" w:before="40"/>
      </w:pPr>
      <w:r>
        <w:rPr>
          <w:rFonts w:ascii="Arial" w:cs="Arial" w:eastAsia="Arial" w:hAnsi="Arial"/>
          <w:sz w:val="22"/>
          <w:szCs w:val="22"/>
        </w:rPr>
        <w:t xml:space="preserve">Email (to practice owners, billing departments, or operations managers)</w:t>
      </w:r>
    </w:p>
    <w:p>
      <w:pPr>
        <w:pStyle w:val="ListParagraph"/>
        <w:numPr>
          <w:ilvl w:val="0"/>
          <w:numId w:val="2"/>
        </w:numPr>
        <w:spacing w:after="40" w:before="40"/>
      </w:pPr>
      <w:r>
        <w:rPr>
          <w:rFonts w:ascii="Arial" w:cs="Arial" w:eastAsia="Arial" w:hAnsi="Arial"/>
          <w:sz w:val="22"/>
          <w:szCs w:val="22"/>
        </w:rPr>
        <w:t xml:space="preserve">Phone (800-799-3859)</w:t>
      </w:r>
    </w:p>
    <w:p>
      <w:pPr>
        <w:pStyle w:val="ListParagraph"/>
        <w:numPr>
          <w:ilvl w:val="0"/>
          <w:numId w:val="2"/>
        </w:numPr>
        <w:spacing w:after="40" w:before="40"/>
      </w:pPr>
      <w:r>
        <w:rPr>
          <w:rFonts w:ascii="Arial" w:cs="Arial" w:eastAsia="Arial" w:hAnsi="Arial"/>
          <w:sz w:val="22"/>
          <w:szCs w:val="22"/>
        </w:rPr>
        <w:t xml:space="preserve">Website contact form and consultation booking page</w:t>
      </w:r>
    </w:p>
    <w:p>
      <w:pPr>
        <w:pStyle w:val="Heading2"/>
        <w:spacing w:after="80" w:before="280"/>
      </w:pPr>
      <w:r>
        <w:rPr>
          <w:rFonts w:ascii="Arial" w:cs="Arial" w:eastAsia="Arial" w:hAnsi="Arial"/>
          <w:b/>
          <w:bCs/>
          <w:color w:val="2E86C1"/>
          <w:sz w:val="26"/>
          <w:szCs w:val="26"/>
        </w:rPr>
        <w:t xml:space="preserve">8.4 Sales Messaging</w:t>
      </w:r>
    </w:p>
    <w:p>
      <w:pPr>
        <w:spacing w:after="60" w:before="60"/>
      </w:pPr>
      <w:r>
        <w:rPr>
          <w:rFonts w:ascii="Arial" w:cs="Arial" w:eastAsia="Arial" w:hAnsi="Arial"/>
          <w:sz w:val="22"/>
          <w:szCs w:val="22"/>
        </w:rPr>
        <w:t xml:space="preserve">Effective messaging angles for pie Health:</w:t>
      </w:r>
    </w:p>
    <w:p>
      <w:pPr>
        <w:pStyle w:val="ListParagraph"/>
        <w:numPr>
          <w:ilvl w:val="0"/>
          <w:numId w:val="2"/>
        </w:numPr>
        <w:spacing w:after="40" w:before="40"/>
      </w:pPr>
      <w:r>
        <w:rPr>
          <w:rFonts w:ascii="Arial" w:cs="Arial" w:eastAsia="Arial" w:hAnsi="Arial"/>
          <w:sz w:val="22"/>
          <w:szCs w:val="22"/>
        </w:rPr>
        <w:t xml:space="preserve">Pain: credentialing delays cost practices $9,000+ per provider per month in lost revenue</w:t>
      </w:r>
    </w:p>
    <w:p>
      <w:pPr>
        <w:pStyle w:val="ListParagraph"/>
        <w:numPr>
          <w:ilvl w:val="0"/>
          <w:numId w:val="2"/>
        </w:numPr>
        <w:spacing w:after="40" w:before="40"/>
      </w:pPr>
      <w:r>
        <w:rPr>
          <w:rFonts w:ascii="Arial" w:cs="Arial" w:eastAsia="Arial" w:hAnsi="Arial"/>
          <w:sz w:val="22"/>
          <w:szCs w:val="22"/>
        </w:rPr>
        <w:t xml:space="preserve">Fear: CAQH ownership changed in January 2026 — payers are now enforcing profiles more strictly</w:t>
      </w:r>
    </w:p>
    <w:p>
      <w:pPr>
        <w:pStyle w:val="ListParagraph"/>
        <w:numPr>
          <w:ilvl w:val="0"/>
          <w:numId w:val="2"/>
        </w:numPr>
        <w:spacing w:after="40" w:before="40"/>
      </w:pPr>
      <w:r>
        <w:rPr>
          <w:rFonts w:ascii="Arial" w:cs="Arial" w:eastAsia="Arial" w:hAnsi="Arial"/>
          <w:sz w:val="22"/>
          <w:szCs w:val="22"/>
        </w:rPr>
        <w:t xml:space="preserve">Urgency: starting credentialing in January means billing in April, not February</w:t>
      </w:r>
    </w:p>
    <w:p>
      <w:pPr>
        <w:pStyle w:val="ListParagraph"/>
        <w:numPr>
          <w:ilvl w:val="0"/>
          <w:numId w:val="2"/>
        </w:numPr>
        <w:spacing w:after="40" w:before="40"/>
      </w:pPr>
      <w:r>
        <w:rPr>
          <w:rFonts w:ascii="Arial" w:cs="Arial" w:eastAsia="Arial" w:hAnsi="Arial"/>
          <w:sz w:val="22"/>
          <w:szCs w:val="22"/>
        </w:rPr>
        <w:t xml:space="preserve">Trust: U.S.-based team, real-time portal, no surprises on fees, NCQA standards alignment</w:t>
      </w:r>
    </w:p>
    <w:p>
      <w:pPr>
        <w:pStyle w:val="ListParagraph"/>
        <w:numPr>
          <w:ilvl w:val="0"/>
          <w:numId w:val="2"/>
        </w:numPr>
        <w:spacing w:after="40" w:before="40"/>
      </w:pPr>
      <w:r>
        <w:rPr>
          <w:rFonts w:ascii="Arial" w:cs="Arial" w:eastAsia="Arial" w:hAnsi="Arial"/>
          <w:sz w:val="22"/>
          <w:szCs w:val="22"/>
        </w:rPr>
        <w:t xml:space="preserve">Social proof: managing 100+ practices nationwide; client testimonials on website</w:t>
      </w:r>
    </w:p>
    <w:p>
      <w:pPr>
        <w:pStyle w:val="ListParagraph"/>
        <w:numPr>
          <w:ilvl w:val="0"/>
          <w:numId w:val="2"/>
        </w:numPr>
        <w:spacing w:after="40" w:before="40"/>
      </w:pPr>
      <w:r>
        <w:rPr>
          <w:rFonts w:ascii="Arial" w:cs="Arial" w:eastAsia="Arial" w:hAnsi="Arial"/>
          <w:sz w:val="22"/>
          <w:szCs w:val="22"/>
        </w:rPr>
        <w:t xml:space="preserve">Simplicity: one partner handles all payors, all states, all renewals — not just one application</w:t>
      </w:r>
    </w:p>
    <w:p>
      <w:pPr>
        <w:pStyle w:val="Heading2"/>
        <w:spacing w:after="80" w:before="280"/>
      </w:pPr>
      <w:r>
        <w:rPr>
          <w:rFonts w:ascii="Arial" w:cs="Arial" w:eastAsia="Arial" w:hAnsi="Arial"/>
          <w:b/>
          <w:bCs/>
          <w:color w:val="2E86C1"/>
          <w:sz w:val="26"/>
          <w:szCs w:val="26"/>
        </w:rPr>
        <w:t xml:space="preserve">8.5 Sales Pipeline Stages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 Awareness</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Prospect reads a blog post or sees LinkedIn content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Retarget or follow up via LinkedIn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Interest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 visits free consultation page or contacts pie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booking and send prep info</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3. Consultation</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Free discovery video call held</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Assess fit; propose service scope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Proposal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 sends service agreement and pricing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up within 3-5 business days</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5. Closed-Won</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Client signs agreement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Trigger onboarding workflow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Onboarding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collection and credentialing assessment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to active delivery</w:t>
            </w:r>
          </w:p>
        </w:tc>
      </w:tr>
    </w:tbl>
    <w:p>
      <w:pPr>
        <w:spacing w:before="80"/>
      </w:pPr>
    </w:p>
    <w:p>
      <w:pPr>
        <w:pStyle w:val="Heading2"/>
        <w:spacing w:after="80" w:before="280"/>
      </w:pPr>
      <w:r>
        <w:rPr>
          <w:rFonts w:ascii="Arial" w:cs="Arial" w:eastAsia="Arial" w:hAnsi="Arial"/>
          <w:b/>
          <w:bCs/>
          <w:color w:val="2E86C1"/>
          <w:sz w:val="26"/>
          <w:szCs w:val="26"/>
        </w:rPr>
        <w:t xml:space="preserve">8.6 Demo Process</w:t>
      </w:r>
    </w:p>
    <w:p>
      <w:pPr>
        <w:spacing w:after="60" w:before="60"/>
      </w:pPr>
      <w:r>
        <w:rPr>
          <w:rFonts w:ascii="Arial" w:cs="Arial" w:eastAsia="Arial" w:hAnsi="Arial"/>
          <w:sz w:val="22"/>
          <w:szCs w:val="22"/>
        </w:rPr>
        <w:t xml:space="preserve">pie does not run a product demo in the traditional SaaS sense. Instead, the free consultation serves as the discovery and trust-building mechanism. The pie Practice portal can be shown during or after the consultation as a differentiator.</w:t>
      </w:r>
    </w:p>
    <w:p>
      <w:pPr>
        <w:pStyle w:val="Heading2"/>
        <w:spacing w:after="80" w:before="280"/>
      </w:pPr>
      <w:r>
        <w:rPr>
          <w:rFonts w:ascii="Arial" w:cs="Arial" w:eastAsia="Arial" w:hAnsi="Arial"/>
          <w:b/>
          <w:bCs/>
          <w:color w:val="2E86C1"/>
          <w:sz w:val="26"/>
          <w:szCs w:val="26"/>
        </w:rPr>
        <w:t xml:space="preserve">8.7 Closing Process</w:t>
      </w:r>
    </w:p>
    <w:p>
      <w:pPr>
        <w:spacing w:after="60" w:before="60"/>
      </w:pPr>
      <w:r>
        <w:rPr>
          <w:rFonts w:ascii="Arial" w:cs="Arial" w:eastAsia="Arial" w:hAnsi="Arial"/>
          <w:sz w:val="22"/>
          <w:szCs w:val="22"/>
        </w:rPr>
        <w:t xml:space="preserve">After the consultation, pie proposes a clear scope of work. Pricing is transparent (flat per-provider fees). Third-party costs are passed through without markup. Agreements are straightforward. Closing friction is low because the free consultation pre-qualifies interest and builds trust.</w:t>
      </w:r>
    </w:p>
    <w:p>
      <w:r>
        <w:br w:type="page"/>
      </w:r>
    </w:p>
    <w:p>
      <w:pPr>
        <w:pStyle w:val="Heading1"/>
        <w:spacing w:after="120" w:before="360"/>
      </w:pPr>
      <w:r>
        <w:rPr>
          <w:rFonts w:ascii="Arial" w:cs="Arial" w:eastAsia="Arial" w:hAnsi="Arial"/>
          <w:b/>
          <w:bCs/>
          <w:color w:val="1B4F72"/>
          <w:sz w:val="32"/>
          <w:szCs w:val="32"/>
        </w:rPr>
        <w:t xml:space="preserve">9. Marketing System</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9.1 Marketing Channels</w:t>
      </w:r>
    </w:p>
    <w:p>
      <w:pPr>
        <w:pStyle w:val="ListParagraph"/>
        <w:numPr>
          <w:ilvl w:val="0"/>
          <w:numId w:val="2"/>
        </w:numPr>
        <w:spacing w:after="40" w:before="40"/>
      </w:pPr>
      <w:r>
        <w:rPr>
          <w:rFonts w:ascii="Arial" w:cs="Arial" w:eastAsia="Arial" w:hAnsi="Arial"/>
          <w:sz w:val="22"/>
          <w:szCs w:val="22"/>
        </w:rPr>
        <w:t xml:space="preserve">SEO blog (primary): 80+ detailed articles targeting credentialing, enrollment, and payer-specific keywords</w:t>
      </w:r>
    </w:p>
    <w:p>
      <w:pPr>
        <w:pStyle w:val="ListParagraph"/>
        <w:numPr>
          <w:ilvl w:val="0"/>
          <w:numId w:val="2"/>
        </w:numPr>
        <w:spacing w:after="40" w:before="40"/>
      </w:pPr>
      <w:r>
        <w:rPr>
          <w:rFonts w:ascii="Arial" w:cs="Arial" w:eastAsia="Arial" w:hAnsi="Arial"/>
          <w:sz w:val="22"/>
          <w:szCs w:val="22"/>
        </w:rPr>
        <w:t xml:space="preserve">LinkedIn: company page (333 followers) and Robb Duke's personal profile (500+ connections)</w:t>
      </w:r>
    </w:p>
    <w:p>
      <w:pPr>
        <w:pStyle w:val="ListParagraph"/>
        <w:numPr>
          <w:ilvl w:val="0"/>
          <w:numId w:val="2"/>
        </w:numPr>
        <w:spacing w:after="40" w:before="40"/>
      </w:pPr>
      <w:r>
        <w:rPr>
          <w:rFonts w:ascii="Arial" w:cs="Arial" w:eastAsia="Arial" w:hAnsi="Arial"/>
          <w:sz w:val="22"/>
          <w:szCs w:val="22"/>
        </w:rPr>
        <w:t xml:space="preserve">Free consultation CTA: multiple placement across the website</w:t>
      </w:r>
    </w:p>
    <w:p>
      <w:pPr>
        <w:pStyle w:val="ListParagraph"/>
        <w:numPr>
          <w:ilvl w:val="0"/>
          <w:numId w:val="2"/>
        </w:numPr>
        <w:spacing w:after="40" w:before="40"/>
      </w:pPr>
      <w:r>
        <w:rPr>
          <w:rFonts w:ascii="Arial" w:cs="Arial" w:eastAsia="Arial" w:hAnsi="Arial"/>
          <w:sz w:val="22"/>
          <w:szCs w:val="22"/>
        </w:rPr>
        <w:t xml:space="preserve">Website service pages: one per specialty and per state — designed to rank for local credentialing searches</w:t>
      </w:r>
    </w:p>
    <w:p>
      <w:pPr>
        <w:pStyle w:val="Heading2"/>
        <w:spacing w:after="80" w:before="280"/>
      </w:pPr>
      <w:r>
        <w:rPr>
          <w:rFonts w:ascii="Arial" w:cs="Arial" w:eastAsia="Arial" w:hAnsi="Arial"/>
          <w:b/>
          <w:bCs/>
          <w:color w:val="2E86C1"/>
          <w:sz w:val="26"/>
          <w:szCs w:val="26"/>
        </w:rPr>
        <w:t xml:space="preserve">9.2 Content Strategy</w:t>
      </w:r>
    </w:p>
    <w:p>
      <w:pPr>
        <w:spacing w:after="60" w:before="60"/>
      </w:pPr>
      <w:r>
        <w:rPr>
          <w:rFonts w:ascii="Arial" w:cs="Arial" w:eastAsia="Arial" w:hAnsi="Arial"/>
          <w:sz w:val="22"/>
          <w:szCs w:val="22"/>
        </w:rPr>
        <w:t xml:space="preserve">pie publishes in-depth, operationally detailed content that practitioners actually need. Topics include:</w:t>
      </w:r>
    </w:p>
    <w:p>
      <w:pPr>
        <w:pStyle w:val="ListParagraph"/>
        <w:numPr>
          <w:ilvl w:val="0"/>
          <w:numId w:val="2"/>
        </w:numPr>
        <w:spacing w:after="40" w:before="40"/>
      </w:pPr>
      <w:r>
        <w:rPr>
          <w:rFonts w:ascii="Arial" w:cs="Arial" w:eastAsia="Arial" w:hAnsi="Arial"/>
          <w:sz w:val="22"/>
          <w:szCs w:val="22"/>
        </w:rPr>
        <w:t xml:space="preserve">How credentialing works (step-by-step, jargon-free)</w:t>
      </w:r>
    </w:p>
    <w:p>
      <w:pPr>
        <w:pStyle w:val="ListParagraph"/>
        <w:numPr>
          <w:ilvl w:val="0"/>
          <w:numId w:val="2"/>
        </w:numPr>
        <w:spacing w:after="40" w:before="40"/>
      </w:pPr>
      <w:r>
        <w:rPr>
          <w:rFonts w:ascii="Arial" w:cs="Arial" w:eastAsia="Arial" w:hAnsi="Arial"/>
          <w:sz w:val="22"/>
          <w:szCs w:val="22"/>
        </w:rPr>
        <w:t xml:space="preserve">State-specific credentialing guides (Texas, NY, FL, CA, PA, NJ, MI, IL, MT, SC)</w:t>
      </w:r>
    </w:p>
    <w:p>
      <w:pPr>
        <w:pStyle w:val="ListParagraph"/>
        <w:numPr>
          <w:ilvl w:val="0"/>
          <w:numId w:val="2"/>
        </w:numPr>
        <w:spacing w:after="40" w:before="40"/>
      </w:pPr>
      <w:r>
        <w:rPr>
          <w:rFonts w:ascii="Arial" w:cs="Arial" w:eastAsia="Arial" w:hAnsi="Arial"/>
          <w:sz w:val="22"/>
          <w:szCs w:val="22"/>
        </w:rPr>
        <w:t xml:space="preserve">Payer-specific guides (Aetna, EmblemHealth, CAQH, Medicare PECOS, TRICARE)</w:t>
      </w:r>
    </w:p>
    <w:p>
      <w:pPr>
        <w:pStyle w:val="ListParagraph"/>
        <w:numPr>
          <w:ilvl w:val="0"/>
          <w:numId w:val="2"/>
        </w:numPr>
        <w:spacing w:after="40" w:before="40"/>
      </w:pPr>
      <w:r>
        <w:rPr>
          <w:rFonts w:ascii="Arial" w:cs="Arial" w:eastAsia="Arial" w:hAnsi="Arial"/>
          <w:sz w:val="22"/>
          <w:szCs w:val="22"/>
        </w:rPr>
        <w:t xml:space="preserve">Cost-of-delay calculators and revenue risk analyses</w:t>
      </w:r>
    </w:p>
    <w:p>
      <w:pPr>
        <w:pStyle w:val="ListParagraph"/>
        <w:numPr>
          <w:ilvl w:val="0"/>
          <w:numId w:val="2"/>
        </w:numPr>
        <w:spacing w:after="40" w:before="40"/>
      </w:pPr>
      <w:r>
        <w:rPr>
          <w:rFonts w:ascii="Arial" w:cs="Arial" w:eastAsia="Arial" w:hAnsi="Arial"/>
          <w:sz w:val="22"/>
          <w:szCs w:val="22"/>
        </w:rPr>
        <w:t xml:space="preserve">Regulatory updates (CAQH ownership change, CMS prior auth rules, No Surprises Act, Star Ratings)</w:t>
      </w:r>
    </w:p>
    <w:p>
      <w:pPr>
        <w:pStyle w:val="ListParagraph"/>
        <w:numPr>
          <w:ilvl w:val="0"/>
          <w:numId w:val="2"/>
        </w:numPr>
        <w:spacing w:after="40" w:before="40"/>
      </w:pPr>
      <w:r>
        <w:rPr>
          <w:rFonts w:ascii="Arial" w:cs="Arial" w:eastAsia="Arial" w:hAnsi="Arial"/>
          <w:sz w:val="22"/>
          <w:szCs w:val="22"/>
        </w:rPr>
        <w:t xml:space="preserve">Comparison articles (Headway vs. independent credentialing, DIY vs. outsourcing)</w:t>
      </w:r>
    </w:p>
    <w:p>
      <w:pPr>
        <w:spacing w:after="60" w:before="60"/>
      </w:pPr>
      <w:r>
        <w:rPr>
          <w:rFonts w:ascii="Arial" w:cs="Arial" w:eastAsia="Arial" w:hAnsi="Arial"/>
          <w:sz w:val="22"/>
          <w:szCs w:val="22"/>
        </w:rPr>
        <w:t xml:space="preserve">Content is written for practice owners, office managers, billing staff, and credentialing professionals — not general audiences.</w:t>
      </w:r>
    </w:p>
    <w:p>
      <w:pPr>
        <w:pStyle w:val="Heading2"/>
        <w:spacing w:after="80" w:before="280"/>
      </w:pPr>
      <w:r>
        <w:rPr>
          <w:rFonts w:ascii="Arial" w:cs="Arial" w:eastAsia="Arial" w:hAnsi="Arial"/>
          <w:b/>
          <w:bCs/>
          <w:color w:val="2E86C1"/>
          <w:sz w:val="26"/>
          <w:szCs w:val="26"/>
        </w:rPr>
        <w:t xml:space="preserve">9.3 Advertising Strategy</w:t>
      </w:r>
    </w:p>
    <w:p>
      <w:pPr>
        <w:spacing w:after="60" w:before="60"/>
      </w:pPr>
      <w:r>
        <w:rPr>
          <w:rFonts w:ascii="Arial" w:cs="Arial" w:eastAsia="Arial" w:hAnsi="Arial"/>
          <w:sz w:val="22"/>
          <w:szCs w:val="22"/>
        </w:rPr>
        <w:t xml:space="preserve">No paid advertising channels are publicly visible. pie competes on organic search and thought leadership, not paid media.</w:t>
      </w:r>
    </w:p>
    <w:p>
      <w:pPr>
        <w:pStyle w:val="Heading2"/>
        <w:spacing w:after="80" w:before="280"/>
      </w:pPr>
      <w:r>
        <w:rPr>
          <w:rFonts w:ascii="Arial" w:cs="Arial" w:eastAsia="Arial" w:hAnsi="Arial"/>
          <w:b/>
          <w:bCs/>
          <w:color w:val="2E86C1"/>
          <w:sz w:val="26"/>
          <w:szCs w:val="26"/>
        </w:rPr>
        <w:t xml:space="preserve">9.4 SEO Strategy</w:t>
      </w:r>
    </w:p>
    <w:p>
      <w:pPr>
        <w:spacing w:after="60" w:before="60"/>
      </w:pPr>
      <w:r>
        <w:rPr>
          <w:rFonts w:ascii="Arial" w:cs="Arial" w:eastAsia="Arial" w:hAnsi="Arial"/>
          <w:sz w:val="22"/>
          <w:szCs w:val="22"/>
        </w:rPr>
        <w:t xml:space="preserve">The website is structured to rank for high-intent queries such as 'credentialing services [state]', '[specialty] credentialing', 'how long does credentialing take', and 'CAQH profile guide'. Each specialty and each state has a dedicated service page. The blog compounds authority over time with topic clusters.</w:t>
      </w:r>
    </w:p>
    <w:p>
      <w:pPr>
        <w:pStyle w:val="Heading2"/>
        <w:spacing w:after="80" w:before="280"/>
      </w:pPr>
      <w:r>
        <w:rPr>
          <w:rFonts w:ascii="Arial" w:cs="Arial" w:eastAsia="Arial" w:hAnsi="Arial"/>
          <w:b/>
          <w:bCs/>
          <w:color w:val="2E86C1"/>
          <w:sz w:val="26"/>
          <w:szCs w:val="26"/>
        </w:rPr>
        <w:t xml:space="preserve">9.5 Social Media Strategy</w:t>
      </w:r>
    </w:p>
    <w:p>
      <w:pPr>
        <w:spacing w:after="60" w:before="60"/>
      </w:pPr>
      <w:r>
        <w:rPr>
          <w:rFonts w:ascii="Arial" w:cs="Arial" w:eastAsia="Arial" w:hAnsi="Arial"/>
          <w:sz w:val="22"/>
          <w:szCs w:val="22"/>
        </w:rPr>
        <w:t xml:space="preserve">LinkedIn is the only active social channel. pie posts a mix of educational content (regulatory updates, credentialing tips), operational commentary (payer phone system issues, real-world scenarios), and brand-building posts (team announcements, company culture). Robb Duke's personal posts add thought leadership on systems thinking, product design, and business operations — reinforcing trust for healthcare decision-makers researching pie as a vendor.</w:t>
      </w:r>
    </w:p>
    <w:p>
      <w:r>
        <w:br w:type="page"/>
      </w:r>
    </w:p>
    <w:p>
      <w:pPr>
        <w:pStyle w:val="Heading1"/>
        <w:spacing w:after="120" w:before="360"/>
      </w:pPr>
      <w:r>
        <w:rPr>
          <w:rFonts w:ascii="Arial" w:cs="Arial" w:eastAsia="Arial" w:hAnsi="Arial"/>
          <w:b/>
          <w:bCs/>
          <w:color w:val="1B4F72"/>
          <w:sz w:val="32"/>
          <w:szCs w:val="32"/>
        </w:rPr>
        <w:t xml:space="preserve">10. Delivery System</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10.1 Project Kickoff</w:t>
      </w:r>
    </w:p>
    <w:p>
      <w:pPr>
        <w:spacing w:after="60" w:before="60"/>
      </w:pPr>
      <w:r>
        <w:rPr>
          <w:rFonts w:ascii="Arial" w:cs="Arial" w:eastAsia="Arial" w:hAnsi="Arial"/>
          <w:sz w:val="22"/>
          <w:szCs w:val="22"/>
        </w:rPr>
        <w:t xml:space="preserve">After contract signing, pie initiates the Credentialing Assessment and Setup phase:</w:t>
      </w:r>
    </w:p>
    <w:p>
      <w:pPr>
        <w:pStyle w:val="ListParagraph"/>
        <w:numPr>
          <w:ilvl w:val="0"/>
          <w:numId w:val="2"/>
        </w:numPr>
        <w:spacing w:after="40" w:before="40"/>
      </w:pPr>
      <w:r>
        <w:rPr>
          <w:rFonts w:ascii="Arial" w:cs="Arial" w:eastAsia="Arial" w:hAnsi="Arial"/>
          <w:sz w:val="22"/>
          <w:szCs w:val="22"/>
        </w:rPr>
        <w:t xml:space="preserve">Full-service or self-service digital onboarding chosen by the client</w:t>
      </w:r>
    </w:p>
    <w:p>
      <w:pPr>
        <w:pStyle w:val="ListParagraph"/>
        <w:numPr>
          <w:ilvl w:val="0"/>
          <w:numId w:val="2"/>
        </w:numPr>
        <w:spacing w:after="40" w:before="40"/>
      </w:pPr>
      <w:r>
        <w:rPr>
          <w:rFonts w:ascii="Arial" w:cs="Arial" w:eastAsia="Arial" w:hAnsi="Arial"/>
          <w:sz w:val="22"/>
          <w:szCs w:val="22"/>
        </w:rPr>
        <w:t xml:space="preserve">pie collects all provider and entity documents</w:t>
      </w:r>
    </w:p>
    <w:p>
      <w:pPr>
        <w:pStyle w:val="ListParagraph"/>
        <w:numPr>
          <w:ilvl w:val="0"/>
          <w:numId w:val="2"/>
        </w:numPr>
        <w:spacing w:after="40" w:before="40"/>
      </w:pPr>
      <w:r>
        <w:rPr>
          <w:rFonts w:ascii="Arial" w:cs="Arial" w:eastAsia="Arial" w:hAnsi="Arial"/>
          <w:sz w:val="22"/>
          <w:szCs w:val="22"/>
        </w:rPr>
        <w:t xml:space="preserve">Enrollments are audited: what is active, pending, unclear, or has gaps</w:t>
      </w:r>
    </w:p>
    <w:p>
      <w:pPr>
        <w:pStyle w:val="ListParagraph"/>
        <w:numPr>
          <w:ilvl w:val="0"/>
          <w:numId w:val="2"/>
        </w:numPr>
        <w:spacing w:after="40" w:before="40"/>
      </w:pPr>
      <w:r>
        <w:rPr>
          <w:rFonts w:ascii="Arial" w:cs="Arial" w:eastAsia="Arial" w:hAnsi="Arial"/>
          <w:sz w:val="22"/>
          <w:szCs w:val="22"/>
        </w:rPr>
        <w:t xml:space="preserve">All data is loaded into the pie Practice portal as the verified baseline</w:t>
      </w:r>
    </w:p>
    <w:p>
      <w:pPr>
        <w:pStyle w:val="ListParagraph"/>
        <w:numPr>
          <w:ilvl w:val="0"/>
          <w:numId w:val="2"/>
        </w:numPr>
        <w:spacing w:after="40" w:before="40"/>
      </w:pPr>
      <w:r>
        <w:rPr>
          <w:rFonts w:ascii="Arial" w:cs="Arial" w:eastAsia="Arial" w:hAnsi="Arial"/>
          <w:sz w:val="22"/>
          <w:szCs w:val="22"/>
        </w:rPr>
        <w:t xml:space="preserve">New or missing applications are queued for immediate submission</w:t>
      </w:r>
    </w:p>
    <w:p>
      <w:pPr>
        <w:pStyle w:val="Heading2"/>
        <w:spacing w:after="80" w:before="280"/>
      </w:pPr>
      <w:r>
        <w:rPr>
          <w:rFonts w:ascii="Arial" w:cs="Arial" w:eastAsia="Arial" w:hAnsi="Arial"/>
          <w:b/>
          <w:bCs/>
          <w:color w:val="2E86C1"/>
          <w:sz w:val="26"/>
          <w:szCs w:val="26"/>
        </w:rPr>
        <w:t xml:space="preserve">10.2 Task Allocation</w:t>
      </w:r>
    </w:p>
    <w:p>
      <w:pPr>
        <w:spacing w:after="60" w:before="60"/>
      </w:pPr>
      <w:r>
        <w:rPr>
          <w:rFonts w:ascii="Arial" w:cs="Arial" w:eastAsia="Arial" w:hAnsi="Arial"/>
          <w:sz w:val="22"/>
          <w:szCs w:val="22"/>
        </w:rPr>
        <w:t xml:space="preserve">Work is assigned to the credentialing operations team based on specialist capacity and client relationship. Jennifer J. (Director of Credentialing) oversees workflow allocation. Each client has a named contact within the pie team.</w:t>
      </w:r>
    </w:p>
    <w:p>
      <w:pPr>
        <w:pStyle w:val="Heading2"/>
        <w:spacing w:after="80" w:before="280"/>
      </w:pPr>
      <w:r>
        <w:rPr>
          <w:rFonts w:ascii="Arial" w:cs="Arial" w:eastAsia="Arial" w:hAnsi="Arial"/>
          <w:b/>
          <w:bCs/>
          <w:color w:val="2E86C1"/>
          <w:sz w:val="26"/>
          <w:szCs w:val="26"/>
        </w:rPr>
        <w:t xml:space="preserve">10.3 Work Execution</w:t>
      </w:r>
    </w:p>
    <w:p>
      <w:pPr>
        <w:pStyle w:val="ListParagraph"/>
        <w:numPr>
          <w:ilvl w:val="0"/>
          <w:numId w:val="2"/>
        </w:numPr>
        <w:spacing w:after="40" w:before="40"/>
      </w:pPr>
      <w:r>
        <w:rPr>
          <w:rFonts w:ascii="Arial" w:cs="Arial" w:eastAsia="Arial" w:hAnsi="Arial"/>
          <w:sz w:val="22"/>
          <w:szCs w:val="22"/>
        </w:rPr>
        <w:t xml:space="preserve">Specialists prepare and submit applications to each payer through the appropriate portal or paper process</w:t>
      </w:r>
    </w:p>
    <w:p>
      <w:pPr>
        <w:pStyle w:val="ListParagraph"/>
        <w:numPr>
          <w:ilvl w:val="0"/>
          <w:numId w:val="2"/>
        </w:numPr>
        <w:spacing w:after="40" w:before="40"/>
      </w:pPr>
      <w:r>
        <w:rPr>
          <w:rFonts w:ascii="Arial" w:cs="Arial" w:eastAsia="Arial" w:hAnsi="Arial"/>
          <w:sz w:val="22"/>
          <w:szCs w:val="22"/>
        </w:rPr>
        <w:t xml:space="preserve">CAQH is updated and attested; payer access is granted for all relevant plans</w:t>
      </w:r>
    </w:p>
    <w:p>
      <w:pPr>
        <w:pStyle w:val="ListParagraph"/>
        <w:numPr>
          <w:ilvl w:val="0"/>
          <w:numId w:val="2"/>
        </w:numPr>
        <w:spacing w:after="40" w:before="40"/>
      </w:pPr>
      <w:r>
        <w:rPr>
          <w:rFonts w:ascii="Arial" w:cs="Arial" w:eastAsia="Arial" w:hAnsi="Arial"/>
          <w:sz w:val="22"/>
          <w:szCs w:val="22"/>
        </w:rPr>
        <w:t xml:space="preserve">Payer portals are checked regularly for requests, status changes, and approvals</w:t>
      </w:r>
    </w:p>
    <w:p>
      <w:pPr>
        <w:pStyle w:val="ListParagraph"/>
        <w:numPr>
          <w:ilvl w:val="0"/>
          <w:numId w:val="2"/>
        </w:numPr>
        <w:spacing w:after="40" w:before="40"/>
      </w:pPr>
      <w:r>
        <w:rPr>
          <w:rFonts w:ascii="Arial" w:cs="Arial" w:eastAsia="Arial" w:hAnsi="Arial"/>
          <w:sz w:val="22"/>
          <w:szCs w:val="22"/>
        </w:rPr>
        <w:t xml:space="preserve">Phone follow-up is conducted for stalled or complex applications</w:t>
      </w:r>
    </w:p>
    <w:p>
      <w:pPr>
        <w:pStyle w:val="ListParagraph"/>
        <w:numPr>
          <w:ilvl w:val="0"/>
          <w:numId w:val="2"/>
        </w:numPr>
        <w:spacing w:after="40" w:before="40"/>
      </w:pPr>
      <w:r>
        <w:rPr>
          <w:rFonts w:ascii="Arial" w:cs="Arial" w:eastAsia="Arial" w:hAnsi="Arial"/>
          <w:sz w:val="22"/>
          <w:szCs w:val="22"/>
        </w:rPr>
        <w:t xml:space="preserve">All actions and statuses are logged in pie Practice in real time</w:t>
      </w:r>
    </w:p>
    <w:p>
      <w:pPr>
        <w:pStyle w:val="Heading2"/>
        <w:spacing w:after="80" w:before="280"/>
      </w:pPr>
      <w:r>
        <w:rPr>
          <w:rFonts w:ascii="Arial" w:cs="Arial" w:eastAsia="Arial" w:hAnsi="Arial"/>
          <w:b/>
          <w:bCs/>
          <w:color w:val="2E86C1"/>
          <w:sz w:val="26"/>
          <w:szCs w:val="26"/>
        </w:rPr>
        <w:t xml:space="preserve">10.4 Quality Control</w:t>
      </w:r>
    </w:p>
    <w:p>
      <w:pPr>
        <w:spacing w:after="60" w:before="60"/>
      </w:pPr>
      <w:r>
        <w:rPr>
          <w:rFonts w:ascii="Arial" w:cs="Arial" w:eastAsia="Arial" w:hAnsi="Arial"/>
          <w:sz w:val="22"/>
          <w:szCs w:val="22"/>
        </w:rPr>
        <w:t xml:space="preserve">Quality control mechanisms include:</w:t>
      </w:r>
    </w:p>
    <w:p>
      <w:pPr>
        <w:pStyle w:val="ListParagraph"/>
        <w:numPr>
          <w:ilvl w:val="0"/>
          <w:numId w:val="2"/>
        </w:numPr>
        <w:spacing w:after="40" w:before="40"/>
      </w:pPr>
      <w:r>
        <w:rPr>
          <w:rFonts w:ascii="Arial" w:cs="Arial" w:eastAsia="Arial" w:hAnsi="Arial"/>
          <w:sz w:val="22"/>
          <w:szCs w:val="22"/>
        </w:rPr>
        <w:t xml:space="preserve">Primary source verification (PSV) of all provider credentials before submission</w:t>
      </w:r>
    </w:p>
    <w:p>
      <w:pPr>
        <w:pStyle w:val="ListParagraph"/>
        <w:numPr>
          <w:ilvl w:val="0"/>
          <w:numId w:val="2"/>
        </w:numPr>
        <w:spacing w:after="40" w:before="40"/>
      </w:pPr>
      <w:r>
        <w:rPr>
          <w:rFonts w:ascii="Arial" w:cs="Arial" w:eastAsia="Arial" w:hAnsi="Arial"/>
          <w:sz w:val="22"/>
          <w:szCs w:val="22"/>
        </w:rPr>
        <w:t xml:space="preserve">NCQA standards alignment used as the internal quality framework</w:t>
      </w:r>
    </w:p>
    <w:p>
      <w:pPr>
        <w:pStyle w:val="ListParagraph"/>
        <w:numPr>
          <w:ilvl w:val="0"/>
          <w:numId w:val="2"/>
        </w:numPr>
        <w:spacing w:after="40" w:before="40"/>
      </w:pPr>
      <w:r>
        <w:rPr>
          <w:rFonts w:ascii="Arial" w:cs="Arial" w:eastAsia="Arial" w:hAnsi="Arial"/>
          <w:sz w:val="22"/>
          <w:szCs w:val="22"/>
        </w:rPr>
        <w:t xml:space="preserve">Pre-submission cross-check: all data matches across CAQH, NPI, W-9, and payer application before anything goes out</w:t>
      </w:r>
    </w:p>
    <w:p>
      <w:pPr>
        <w:pStyle w:val="ListParagraph"/>
        <w:numPr>
          <w:ilvl w:val="0"/>
          <w:numId w:val="2"/>
        </w:numPr>
        <w:spacing w:after="40" w:before="40"/>
      </w:pPr>
      <w:r>
        <w:rPr>
          <w:rFonts w:ascii="Arial" w:cs="Arial" w:eastAsia="Arial" w:hAnsi="Arial"/>
          <w:sz w:val="22"/>
          <w:szCs w:val="22"/>
        </w:rPr>
        <w:t xml:space="preserve">Internal payor knowledge base flags known error patterns and payer-specific quirks before submission</w:t>
      </w:r>
    </w:p>
    <w:p>
      <w:pPr>
        <w:pStyle w:val="ListParagraph"/>
        <w:numPr>
          <w:ilvl w:val="0"/>
          <w:numId w:val="2"/>
        </w:numPr>
        <w:spacing w:after="40" w:before="40"/>
      </w:pPr>
      <w:r>
        <w:rPr>
          <w:rFonts w:ascii="Arial" w:cs="Arial" w:eastAsia="Arial" w:hAnsi="Arial"/>
          <w:sz w:val="22"/>
          <w:szCs w:val="22"/>
        </w:rPr>
        <w:t xml:space="preserve">Effective date verification: enrollment is not considered complete until the effective date is confirmed in writing and the directory listing is validated</w:t>
      </w:r>
    </w:p>
    <w:p>
      <w:pPr>
        <w:pStyle w:val="Heading2"/>
        <w:spacing w:after="80" w:before="280"/>
      </w:pPr>
      <w:r>
        <w:rPr>
          <w:rFonts w:ascii="Arial" w:cs="Arial" w:eastAsia="Arial" w:hAnsi="Arial"/>
          <w:b/>
          <w:bCs/>
          <w:color w:val="2E86C1"/>
          <w:sz w:val="26"/>
          <w:szCs w:val="26"/>
        </w:rPr>
        <w:t xml:space="preserve">10.5 Final Delivery</w:t>
      </w:r>
    </w:p>
    <w:p>
      <w:pPr>
        <w:spacing w:after="60" w:before="60"/>
      </w:pPr>
      <w:r>
        <w:rPr>
          <w:rFonts w:ascii="Arial" w:cs="Arial" w:eastAsia="Arial" w:hAnsi="Arial"/>
          <w:sz w:val="22"/>
          <w:szCs w:val="22"/>
        </w:rPr>
        <w:t xml:space="preserve">Service delivery is ongoing, not project-based. The credentialing relationship continues indefinitely as a maintenance portfolio. 'Delivery' milestones include:</w:t>
      </w:r>
    </w:p>
    <w:p>
      <w:pPr>
        <w:pStyle w:val="ListParagraph"/>
        <w:numPr>
          <w:ilvl w:val="0"/>
          <w:numId w:val="2"/>
        </w:numPr>
        <w:spacing w:after="40" w:before="40"/>
      </w:pPr>
      <w:r>
        <w:rPr>
          <w:rFonts w:ascii="Arial" w:cs="Arial" w:eastAsia="Arial" w:hAnsi="Arial"/>
          <w:sz w:val="22"/>
          <w:szCs w:val="22"/>
        </w:rPr>
        <w:t xml:space="preserve">Effective date confirmed and communicated to client</w:t>
      </w:r>
    </w:p>
    <w:p>
      <w:pPr>
        <w:pStyle w:val="ListParagraph"/>
        <w:numPr>
          <w:ilvl w:val="0"/>
          <w:numId w:val="2"/>
        </w:numPr>
        <w:spacing w:after="40" w:before="40"/>
      </w:pPr>
      <w:r>
        <w:rPr>
          <w:rFonts w:ascii="Arial" w:cs="Arial" w:eastAsia="Arial" w:hAnsi="Arial"/>
          <w:sz w:val="22"/>
          <w:szCs w:val="22"/>
        </w:rPr>
        <w:t xml:space="preserve">Provider listed correctly in payer directory</w:t>
      </w:r>
    </w:p>
    <w:p>
      <w:pPr>
        <w:pStyle w:val="ListParagraph"/>
        <w:numPr>
          <w:ilvl w:val="0"/>
          <w:numId w:val="2"/>
        </w:numPr>
        <w:spacing w:after="40" w:before="40"/>
      </w:pPr>
      <w:r>
        <w:rPr>
          <w:rFonts w:ascii="Arial" w:cs="Arial" w:eastAsia="Arial" w:hAnsi="Arial"/>
          <w:sz w:val="22"/>
          <w:szCs w:val="22"/>
        </w:rPr>
        <w:t xml:space="preserve">Portal updated to reflect active enrollment</w:t>
      </w:r>
    </w:p>
    <w:p>
      <w:pPr>
        <w:pStyle w:val="ListParagraph"/>
        <w:numPr>
          <w:ilvl w:val="0"/>
          <w:numId w:val="2"/>
        </w:numPr>
        <w:spacing w:after="40" w:before="40"/>
      </w:pPr>
      <w:r>
        <w:rPr>
          <w:rFonts w:ascii="Arial" w:cs="Arial" w:eastAsia="Arial" w:hAnsi="Arial"/>
          <w:sz w:val="22"/>
          <w:szCs w:val="22"/>
        </w:rPr>
        <w:t xml:space="preserve">Client notified via portal and included in next bi-monthly report</w:t>
      </w:r>
    </w:p>
    <w:p>
      <w:r>
        <w:br w:type="page"/>
      </w:r>
    </w:p>
    <w:p>
      <w:pPr>
        <w:pStyle w:val="Heading1"/>
        <w:spacing w:after="120" w:before="360"/>
      </w:pPr>
      <w:r>
        <w:rPr>
          <w:rFonts w:ascii="Arial" w:cs="Arial" w:eastAsia="Arial" w:hAnsi="Arial"/>
          <w:b/>
          <w:bCs/>
          <w:color w:val="1B4F72"/>
          <w:sz w:val="32"/>
          <w:szCs w:val="32"/>
        </w:rPr>
        <w:t xml:space="preserve">11. Customer Success</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11.1 Client Communication</w:t>
      </w:r>
    </w:p>
    <w:p>
      <w:pPr>
        <w:pStyle w:val="ListParagraph"/>
        <w:numPr>
          <w:ilvl w:val="0"/>
          <w:numId w:val="2"/>
        </w:numPr>
        <w:spacing w:after="40" w:before="40"/>
      </w:pPr>
      <w:r>
        <w:rPr>
          <w:rFonts w:ascii="Arial" w:cs="Arial" w:eastAsia="Arial" w:hAnsi="Arial"/>
          <w:sz w:val="22"/>
          <w:szCs w:val="22"/>
        </w:rPr>
        <w:t xml:space="preserve">pie Practice portal: real-time status for all providers, enrollments, and projects — accessible by the full client team 24/7</w:t>
      </w:r>
    </w:p>
    <w:p>
      <w:pPr>
        <w:pStyle w:val="ListParagraph"/>
        <w:numPr>
          <w:ilvl w:val="0"/>
          <w:numId w:val="2"/>
        </w:numPr>
        <w:spacing w:after="40" w:before="40"/>
      </w:pPr>
      <w:r>
        <w:rPr>
          <w:rFonts w:ascii="Arial" w:cs="Arial" w:eastAsia="Arial" w:hAnsi="Arial"/>
          <w:sz w:val="22"/>
          <w:szCs w:val="22"/>
        </w:rPr>
        <w:t xml:space="preserve">Twice-monthly credentialing reports: summarize recent activity, current status, upcoming deadlines</w:t>
      </w:r>
    </w:p>
    <w:p>
      <w:pPr>
        <w:pStyle w:val="ListParagraph"/>
        <w:numPr>
          <w:ilvl w:val="0"/>
          <w:numId w:val="2"/>
        </w:numPr>
        <w:spacing w:after="40" w:before="40"/>
      </w:pPr>
      <w:r>
        <w:rPr>
          <w:rFonts w:ascii="Arial" w:cs="Arial" w:eastAsia="Arial" w:hAnsi="Arial"/>
          <w:sz w:val="22"/>
          <w:szCs w:val="22"/>
        </w:rPr>
        <w:t xml:space="preserve">Monthly standing meeting: video call recorded and stored in the portal with notes and transcript</w:t>
      </w:r>
    </w:p>
    <w:p>
      <w:pPr>
        <w:pStyle w:val="ListParagraph"/>
        <w:numPr>
          <w:ilvl w:val="0"/>
          <w:numId w:val="2"/>
        </w:numPr>
        <w:spacing w:after="40" w:before="40"/>
      </w:pPr>
      <w:r>
        <w:rPr>
          <w:rFonts w:ascii="Arial" w:cs="Arial" w:eastAsia="Arial" w:hAnsi="Arial"/>
          <w:sz w:val="22"/>
          <w:szCs w:val="22"/>
        </w:rPr>
        <w:t xml:space="preserve">Ad-hoc email or phone contact for urgent issues</w:t>
      </w:r>
    </w:p>
    <w:p>
      <w:pPr>
        <w:pStyle w:val="Heading2"/>
        <w:spacing w:after="80" w:before="280"/>
      </w:pPr>
      <w:r>
        <w:rPr>
          <w:rFonts w:ascii="Arial" w:cs="Arial" w:eastAsia="Arial" w:hAnsi="Arial"/>
          <w:b/>
          <w:bCs/>
          <w:color w:val="2E86C1"/>
          <w:sz w:val="26"/>
          <w:szCs w:val="26"/>
        </w:rPr>
        <w:t xml:space="preserve">11.2 Support Channels</w:t>
      </w:r>
    </w:p>
    <w:p>
      <w:pPr>
        <w:pStyle w:val="ListParagraph"/>
        <w:numPr>
          <w:ilvl w:val="0"/>
          <w:numId w:val="2"/>
        </w:numPr>
        <w:spacing w:after="40" w:before="40"/>
      </w:pPr>
      <w:r>
        <w:rPr>
          <w:rFonts w:ascii="Arial" w:cs="Arial" w:eastAsia="Arial" w:hAnsi="Arial"/>
          <w:sz w:val="22"/>
          <w:szCs w:val="22"/>
        </w:rPr>
        <w:t xml:space="preserve">Direct email to assigned credentialing specialist</w:t>
      </w:r>
    </w:p>
    <w:p>
      <w:pPr>
        <w:pStyle w:val="ListParagraph"/>
        <w:numPr>
          <w:ilvl w:val="0"/>
          <w:numId w:val="2"/>
        </w:numPr>
        <w:spacing w:after="40" w:before="40"/>
      </w:pPr>
      <w:r>
        <w:rPr>
          <w:rFonts w:ascii="Arial" w:cs="Arial" w:eastAsia="Arial" w:hAnsi="Arial"/>
          <w:sz w:val="22"/>
          <w:szCs w:val="22"/>
        </w:rPr>
        <w:t xml:space="preserve">Phone: 800-799-3859 (toll-free) | Fax: 678-609-9421</w:t>
      </w:r>
    </w:p>
    <w:p>
      <w:pPr>
        <w:pStyle w:val="ListParagraph"/>
        <w:numPr>
          <w:ilvl w:val="0"/>
          <w:numId w:val="2"/>
        </w:numPr>
        <w:spacing w:after="40" w:before="40"/>
      </w:pPr>
      <w:r>
        <w:rPr>
          <w:rFonts w:ascii="Arial" w:cs="Arial" w:eastAsia="Arial" w:hAnsi="Arial"/>
          <w:sz w:val="22"/>
          <w:szCs w:val="22"/>
        </w:rPr>
        <w:t xml:space="preserve">pie Health Help Center (piehealthusa.com/resources): FAQs, walkthroughs, guides</w:t>
      </w:r>
    </w:p>
    <w:p>
      <w:pPr>
        <w:pStyle w:val="ListParagraph"/>
        <w:numPr>
          <w:ilvl w:val="0"/>
          <w:numId w:val="2"/>
        </w:numPr>
        <w:spacing w:after="40" w:before="40"/>
      </w:pPr>
      <w:r>
        <w:rPr>
          <w:rFonts w:ascii="Arial" w:cs="Arial" w:eastAsia="Arial" w:hAnsi="Arial"/>
          <w:sz w:val="22"/>
          <w:szCs w:val="22"/>
        </w:rPr>
        <w:t xml:space="preserve">pie Practice portal: submit requests and track progress</w:t>
      </w:r>
    </w:p>
    <w:p>
      <w:pPr>
        <w:pStyle w:val="Heading2"/>
        <w:spacing w:after="80" w:before="280"/>
      </w:pPr>
      <w:r>
        <w:rPr>
          <w:rFonts w:ascii="Arial" w:cs="Arial" w:eastAsia="Arial" w:hAnsi="Arial"/>
          <w:b/>
          <w:bCs/>
          <w:color w:val="2E86C1"/>
          <w:sz w:val="26"/>
          <w:szCs w:val="26"/>
        </w:rPr>
        <w:t xml:space="preserve">11.3 Issue Resolution</w:t>
      </w:r>
    </w:p>
    <w:p>
      <w:pPr>
        <w:spacing w:after="60" w:before="60"/>
      </w:pPr>
      <w:r>
        <w:rPr>
          <w:rFonts w:ascii="Arial" w:cs="Arial" w:eastAsia="Arial" w:hAnsi="Arial"/>
          <w:sz w:val="22"/>
          <w:szCs w:val="22"/>
        </w:rPr>
        <w:t xml:space="preserve">pie positions itself as the first point of contact for any credentialing problem. When an issue arises — denial, missed deadline, CAQH lapse, directory error — pie investigates the root cause, communicates clearly with the client, and takes action directly with the payer. pie advocates on behalf of clients when payer phone systems and portals create barriers (see: published blog post on Wisconsin Medicaid and Carelon phone loop incidents).</w:t>
      </w:r>
    </w:p>
    <w:p>
      <w:pPr>
        <w:pStyle w:val="Heading2"/>
        <w:spacing w:after="80" w:before="280"/>
      </w:pPr>
      <w:r>
        <w:rPr>
          <w:rFonts w:ascii="Arial" w:cs="Arial" w:eastAsia="Arial" w:hAnsi="Arial"/>
          <w:b/>
          <w:bCs/>
          <w:color w:val="2E86C1"/>
          <w:sz w:val="26"/>
          <w:szCs w:val="26"/>
        </w:rPr>
        <w:t xml:space="preserve">11.4 Long-Term Account Management</w:t>
      </w:r>
    </w:p>
    <w:p>
      <w:pPr>
        <w:spacing w:after="60" w:before="60"/>
      </w:pPr>
      <w:r>
        <w:rPr>
          <w:rFonts w:ascii="Arial" w:cs="Arial" w:eastAsia="Arial" w:hAnsi="Arial"/>
          <w:sz w:val="22"/>
          <w:szCs w:val="22"/>
        </w:rPr>
        <w:t xml:space="preserve">Accounts are managed as ongoing portfolio relationships. pie does not treat credentialing as a one-time project. Long-term account management includes:</w:t>
      </w:r>
    </w:p>
    <w:p>
      <w:pPr>
        <w:pStyle w:val="ListParagraph"/>
        <w:numPr>
          <w:ilvl w:val="0"/>
          <w:numId w:val="2"/>
        </w:numPr>
        <w:spacing w:after="40" w:before="40"/>
      </w:pPr>
      <w:r>
        <w:rPr>
          <w:rFonts w:ascii="Arial" w:cs="Arial" w:eastAsia="Arial" w:hAnsi="Arial"/>
          <w:sz w:val="22"/>
          <w:szCs w:val="22"/>
        </w:rPr>
        <w:t xml:space="preserve">Continuous CAQH attestation and profile maintenance</w:t>
      </w:r>
    </w:p>
    <w:p>
      <w:pPr>
        <w:pStyle w:val="ListParagraph"/>
        <w:numPr>
          <w:ilvl w:val="0"/>
          <w:numId w:val="2"/>
        </w:numPr>
        <w:spacing w:after="40" w:before="40"/>
      </w:pPr>
      <w:r>
        <w:rPr>
          <w:rFonts w:ascii="Arial" w:cs="Arial" w:eastAsia="Arial" w:hAnsi="Arial"/>
          <w:sz w:val="22"/>
          <w:szCs w:val="22"/>
        </w:rPr>
        <w:t xml:space="preserve">Active recredentialing and revalidation cycle management</w:t>
      </w:r>
    </w:p>
    <w:p>
      <w:pPr>
        <w:pStyle w:val="ListParagraph"/>
        <w:numPr>
          <w:ilvl w:val="0"/>
          <w:numId w:val="2"/>
        </w:numPr>
        <w:spacing w:after="40" w:before="40"/>
      </w:pPr>
      <w:r>
        <w:rPr>
          <w:rFonts w:ascii="Arial" w:cs="Arial" w:eastAsia="Arial" w:hAnsi="Arial"/>
          <w:sz w:val="22"/>
          <w:szCs w:val="22"/>
        </w:rPr>
        <w:t xml:space="preserve">Directory and demographic update management</w:t>
      </w:r>
    </w:p>
    <w:p>
      <w:pPr>
        <w:pStyle w:val="ListParagraph"/>
        <w:numPr>
          <w:ilvl w:val="0"/>
          <w:numId w:val="2"/>
        </w:numPr>
        <w:spacing w:after="40" w:before="40"/>
      </w:pPr>
      <w:r>
        <w:rPr>
          <w:rFonts w:ascii="Arial" w:cs="Arial" w:eastAsia="Arial" w:hAnsi="Arial"/>
          <w:sz w:val="22"/>
          <w:szCs w:val="22"/>
        </w:rPr>
        <w:t xml:space="preserve">License, malpractice, and expirable tracking with advance notice</w:t>
      </w:r>
    </w:p>
    <w:p>
      <w:pPr>
        <w:pStyle w:val="ListParagraph"/>
        <w:numPr>
          <w:ilvl w:val="0"/>
          <w:numId w:val="2"/>
        </w:numPr>
        <w:spacing w:after="40" w:before="40"/>
      </w:pPr>
      <w:r>
        <w:rPr>
          <w:rFonts w:ascii="Arial" w:cs="Arial" w:eastAsia="Arial" w:hAnsi="Arial"/>
          <w:sz w:val="22"/>
          <w:szCs w:val="22"/>
        </w:rPr>
        <w:t xml:space="preserve">Proactive outreach when regulatory changes affect a client's enrollments (e.g., CAQH ownership change, CMS prior auth rules)</w:t>
      </w:r>
    </w:p>
    <w:p>
      <w:pPr>
        <w:pStyle w:val="ListParagraph"/>
        <w:numPr>
          <w:ilvl w:val="0"/>
          <w:numId w:val="2"/>
        </w:numPr>
        <w:spacing w:after="40" w:before="40"/>
      </w:pPr>
      <w:r>
        <w:rPr>
          <w:rFonts w:ascii="Arial" w:cs="Arial" w:eastAsia="Arial" w:hAnsi="Arial"/>
          <w:sz w:val="22"/>
          <w:szCs w:val="22"/>
        </w:rPr>
        <w:t xml:space="preserve">Upsell conversations as the client grows (new providers, new states, new specialties)</w:t>
      </w:r>
    </w:p>
    <w:p>
      <w:r>
        <w:br w:type="page"/>
      </w:r>
    </w:p>
    <w:p>
      <w:pPr>
        <w:pStyle w:val="Heading1"/>
        <w:spacing w:after="120" w:before="360"/>
      </w:pPr>
      <w:r>
        <w:rPr>
          <w:rFonts w:ascii="Arial" w:cs="Arial" w:eastAsia="Arial" w:hAnsi="Arial"/>
          <w:b/>
          <w:bCs/>
          <w:color w:val="1B4F72"/>
          <w:sz w:val="32"/>
          <w:szCs w:val="32"/>
        </w:rPr>
        <w:t xml:space="preserve">12. Key Metrics</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12.1 Sales Metrics</w:t>
      </w:r>
    </w:p>
    <w:p>
      <w:pPr>
        <w:pStyle w:val="ListParagraph"/>
        <w:numPr>
          <w:ilvl w:val="0"/>
          <w:numId w:val="2"/>
        </w:numPr>
        <w:spacing w:after="40" w:before="40"/>
      </w:pPr>
      <w:r>
        <w:rPr>
          <w:rFonts w:ascii="Arial" w:cs="Arial" w:eastAsia="Arial" w:hAnsi="Arial"/>
          <w:sz w:val="22"/>
          <w:szCs w:val="22"/>
        </w:rPr>
        <w:t xml:space="preserve">Number of free consultations booked per month</w:t>
      </w:r>
    </w:p>
    <w:p>
      <w:pPr>
        <w:pStyle w:val="ListParagraph"/>
        <w:numPr>
          <w:ilvl w:val="0"/>
          <w:numId w:val="2"/>
        </w:numPr>
        <w:spacing w:after="40" w:before="40"/>
      </w:pPr>
      <w:r>
        <w:rPr>
          <w:rFonts w:ascii="Arial" w:cs="Arial" w:eastAsia="Arial" w:hAnsi="Arial"/>
          <w:sz w:val="22"/>
          <w:szCs w:val="22"/>
        </w:rPr>
        <w:t xml:space="preserve">Consultation-to-close conversion rate</w:t>
      </w:r>
    </w:p>
    <w:p>
      <w:pPr>
        <w:pStyle w:val="ListParagraph"/>
        <w:numPr>
          <w:ilvl w:val="0"/>
          <w:numId w:val="2"/>
        </w:numPr>
        <w:spacing w:after="40" w:before="40"/>
      </w:pPr>
      <w:r>
        <w:rPr>
          <w:rFonts w:ascii="Arial" w:cs="Arial" w:eastAsia="Arial" w:hAnsi="Arial"/>
          <w:sz w:val="22"/>
          <w:szCs w:val="22"/>
        </w:rPr>
        <w:t xml:space="preserve">Average monthly recurring revenue per client</w:t>
      </w:r>
    </w:p>
    <w:p>
      <w:pPr>
        <w:pStyle w:val="ListParagraph"/>
        <w:numPr>
          <w:ilvl w:val="0"/>
          <w:numId w:val="2"/>
        </w:numPr>
        <w:spacing w:after="40" w:before="40"/>
      </w:pPr>
      <w:r>
        <w:rPr>
          <w:rFonts w:ascii="Arial" w:cs="Arial" w:eastAsia="Arial" w:hAnsi="Arial"/>
          <w:sz w:val="22"/>
          <w:szCs w:val="22"/>
        </w:rPr>
        <w:t xml:space="preserve">Client acquisition by specialty and geography</w:t>
      </w:r>
    </w:p>
    <w:p>
      <w:pPr>
        <w:pStyle w:val="ListParagraph"/>
        <w:numPr>
          <w:ilvl w:val="0"/>
          <w:numId w:val="2"/>
        </w:numPr>
        <w:spacing w:after="40" w:before="40"/>
      </w:pPr>
      <w:r>
        <w:rPr>
          <w:rFonts w:ascii="Arial" w:cs="Arial" w:eastAsia="Arial" w:hAnsi="Arial"/>
          <w:sz w:val="22"/>
          <w:szCs w:val="22"/>
        </w:rPr>
        <w:t xml:space="preserve">Referral source attribution (blog, LinkedIn, word-of-mouth, partner)</w:t>
      </w:r>
    </w:p>
    <w:p>
      <w:pPr>
        <w:pStyle w:val="Heading2"/>
        <w:spacing w:after="80" w:before="280"/>
      </w:pPr>
      <w:r>
        <w:rPr>
          <w:rFonts w:ascii="Arial" w:cs="Arial" w:eastAsia="Arial" w:hAnsi="Arial"/>
          <w:b/>
          <w:bCs/>
          <w:color w:val="2E86C1"/>
          <w:sz w:val="26"/>
          <w:szCs w:val="26"/>
        </w:rPr>
        <w:t xml:space="preserve">12.2 Marketing Metrics</w:t>
      </w:r>
    </w:p>
    <w:p>
      <w:pPr>
        <w:pStyle w:val="ListParagraph"/>
        <w:numPr>
          <w:ilvl w:val="0"/>
          <w:numId w:val="2"/>
        </w:numPr>
        <w:spacing w:after="40" w:before="40"/>
      </w:pPr>
      <w:r>
        <w:rPr>
          <w:rFonts w:ascii="Arial" w:cs="Arial" w:eastAsia="Arial" w:hAnsi="Arial"/>
          <w:sz w:val="22"/>
          <w:szCs w:val="22"/>
        </w:rPr>
        <w:t xml:space="preserve">Organic traffic to piehealthusa.com</w:t>
      </w:r>
    </w:p>
    <w:p>
      <w:pPr>
        <w:pStyle w:val="ListParagraph"/>
        <w:numPr>
          <w:ilvl w:val="0"/>
          <w:numId w:val="2"/>
        </w:numPr>
        <w:spacing w:after="40" w:before="40"/>
      </w:pPr>
      <w:r>
        <w:rPr>
          <w:rFonts w:ascii="Arial" w:cs="Arial" w:eastAsia="Arial" w:hAnsi="Arial"/>
          <w:sz w:val="22"/>
          <w:szCs w:val="22"/>
        </w:rPr>
        <w:t xml:space="preserve">Blog post rankings for target keywords</w:t>
      </w:r>
    </w:p>
    <w:p>
      <w:pPr>
        <w:pStyle w:val="ListParagraph"/>
        <w:numPr>
          <w:ilvl w:val="0"/>
          <w:numId w:val="2"/>
        </w:numPr>
        <w:spacing w:after="40" w:before="40"/>
      </w:pPr>
      <w:r>
        <w:rPr>
          <w:rFonts w:ascii="Arial" w:cs="Arial" w:eastAsia="Arial" w:hAnsi="Arial"/>
          <w:sz w:val="22"/>
          <w:szCs w:val="22"/>
        </w:rPr>
        <w:t xml:space="preserve">LinkedIn follower growth and post engagement rate</w:t>
      </w:r>
    </w:p>
    <w:p>
      <w:pPr>
        <w:pStyle w:val="ListParagraph"/>
        <w:numPr>
          <w:ilvl w:val="0"/>
          <w:numId w:val="2"/>
        </w:numPr>
        <w:spacing w:after="40" w:before="40"/>
      </w:pPr>
      <w:r>
        <w:rPr>
          <w:rFonts w:ascii="Arial" w:cs="Arial" w:eastAsia="Arial" w:hAnsi="Arial"/>
          <w:sz w:val="22"/>
          <w:szCs w:val="22"/>
        </w:rPr>
        <w:t xml:space="preserve">Consultation booking rate from website visitors</w:t>
      </w:r>
    </w:p>
    <w:p>
      <w:pPr>
        <w:pStyle w:val="ListParagraph"/>
        <w:numPr>
          <w:ilvl w:val="0"/>
          <w:numId w:val="2"/>
        </w:numPr>
        <w:spacing w:after="40" w:before="40"/>
      </w:pPr>
      <w:r>
        <w:rPr>
          <w:rFonts w:ascii="Arial" w:cs="Arial" w:eastAsia="Arial" w:hAnsi="Arial"/>
          <w:sz w:val="22"/>
          <w:szCs w:val="22"/>
        </w:rPr>
        <w:t xml:space="preserve">Content-to-lead attribution</w:t>
      </w:r>
    </w:p>
    <w:p>
      <w:pPr>
        <w:pStyle w:val="Heading2"/>
        <w:spacing w:after="80" w:before="280"/>
      </w:pPr>
      <w:r>
        <w:rPr>
          <w:rFonts w:ascii="Arial" w:cs="Arial" w:eastAsia="Arial" w:hAnsi="Arial"/>
          <w:b/>
          <w:bCs/>
          <w:color w:val="2E86C1"/>
          <w:sz w:val="26"/>
          <w:szCs w:val="26"/>
        </w:rPr>
        <w:t xml:space="preserve">12.3 Operational Metrics</w:t>
      </w:r>
    </w:p>
    <w:p>
      <w:pPr>
        <w:pStyle w:val="ListParagraph"/>
        <w:numPr>
          <w:ilvl w:val="0"/>
          <w:numId w:val="2"/>
        </w:numPr>
        <w:spacing w:after="40" w:before="40"/>
      </w:pPr>
      <w:r>
        <w:rPr>
          <w:rFonts w:ascii="Arial" w:cs="Arial" w:eastAsia="Arial" w:hAnsi="Arial"/>
          <w:sz w:val="22"/>
          <w:szCs w:val="22"/>
        </w:rPr>
        <w:t xml:space="preserve">Average time from application submission to effective date (by payer type)</w:t>
      </w:r>
    </w:p>
    <w:p>
      <w:pPr>
        <w:pStyle w:val="ListParagraph"/>
        <w:numPr>
          <w:ilvl w:val="0"/>
          <w:numId w:val="2"/>
        </w:numPr>
        <w:spacing w:after="40" w:before="40"/>
      </w:pPr>
      <w:r>
        <w:rPr>
          <w:rFonts w:ascii="Arial" w:cs="Arial" w:eastAsia="Arial" w:hAnsi="Arial"/>
          <w:sz w:val="22"/>
          <w:szCs w:val="22"/>
        </w:rPr>
        <w:t xml:space="preserve">Number of open applications per specialist</w:t>
      </w:r>
    </w:p>
    <w:p>
      <w:pPr>
        <w:pStyle w:val="ListParagraph"/>
        <w:numPr>
          <w:ilvl w:val="0"/>
          <w:numId w:val="2"/>
        </w:numPr>
        <w:spacing w:after="40" w:before="40"/>
      </w:pPr>
      <w:r>
        <w:rPr>
          <w:rFonts w:ascii="Arial" w:cs="Arial" w:eastAsia="Arial" w:hAnsi="Arial"/>
          <w:sz w:val="22"/>
          <w:szCs w:val="22"/>
        </w:rPr>
        <w:t xml:space="preserve">Application error rate / rework rate</w:t>
      </w:r>
    </w:p>
    <w:p>
      <w:pPr>
        <w:pStyle w:val="ListParagraph"/>
        <w:numPr>
          <w:ilvl w:val="0"/>
          <w:numId w:val="2"/>
        </w:numPr>
        <w:spacing w:after="40" w:before="40"/>
      </w:pPr>
      <w:r>
        <w:rPr>
          <w:rFonts w:ascii="Arial" w:cs="Arial" w:eastAsia="Arial" w:hAnsi="Arial"/>
          <w:sz w:val="22"/>
          <w:szCs w:val="22"/>
        </w:rPr>
        <w:t xml:space="preserve">CAQH re-attestation compliance rate across portfolio</w:t>
      </w:r>
    </w:p>
    <w:p>
      <w:pPr>
        <w:pStyle w:val="ListParagraph"/>
        <w:numPr>
          <w:ilvl w:val="0"/>
          <w:numId w:val="2"/>
        </w:numPr>
        <w:spacing w:after="40" w:before="40"/>
      </w:pPr>
      <w:r>
        <w:rPr>
          <w:rFonts w:ascii="Arial" w:cs="Arial" w:eastAsia="Arial" w:hAnsi="Arial"/>
          <w:sz w:val="22"/>
          <w:szCs w:val="22"/>
        </w:rPr>
        <w:t xml:space="preserve">Percentage of providers with complete, current profiles across all systems</w:t>
      </w:r>
    </w:p>
    <w:p>
      <w:pPr>
        <w:pStyle w:val="ListParagraph"/>
        <w:numPr>
          <w:ilvl w:val="0"/>
          <w:numId w:val="2"/>
        </w:numPr>
        <w:spacing w:after="40" w:before="40"/>
      </w:pPr>
      <w:r>
        <w:rPr>
          <w:rFonts w:ascii="Arial" w:cs="Arial" w:eastAsia="Arial" w:hAnsi="Arial"/>
          <w:sz w:val="22"/>
          <w:szCs w:val="22"/>
        </w:rPr>
        <w:t xml:space="preserve">Turnaround time for new client onboarding (baseline to first submission)</w:t>
      </w:r>
    </w:p>
    <w:p>
      <w:pPr>
        <w:pStyle w:val="Heading2"/>
        <w:spacing w:after="80" w:before="280"/>
      </w:pPr>
      <w:r>
        <w:rPr>
          <w:rFonts w:ascii="Arial" w:cs="Arial" w:eastAsia="Arial" w:hAnsi="Arial"/>
          <w:b/>
          <w:bCs/>
          <w:color w:val="2E86C1"/>
          <w:sz w:val="26"/>
          <w:szCs w:val="26"/>
        </w:rPr>
        <w:t xml:space="preserve">12.4 Customer Success Metrics</w:t>
      </w:r>
    </w:p>
    <w:p>
      <w:pPr>
        <w:pStyle w:val="ListParagraph"/>
        <w:numPr>
          <w:ilvl w:val="0"/>
          <w:numId w:val="2"/>
        </w:numPr>
        <w:spacing w:after="40" w:before="40"/>
      </w:pPr>
      <w:r>
        <w:rPr>
          <w:rFonts w:ascii="Arial" w:cs="Arial" w:eastAsia="Arial" w:hAnsi="Arial"/>
          <w:sz w:val="22"/>
          <w:szCs w:val="22"/>
        </w:rPr>
        <w:t xml:space="preserve">Client retention rate (recurring maintenance contracts)</w:t>
      </w:r>
    </w:p>
    <w:p>
      <w:pPr>
        <w:pStyle w:val="ListParagraph"/>
        <w:numPr>
          <w:ilvl w:val="0"/>
          <w:numId w:val="2"/>
        </w:numPr>
        <w:spacing w:after="40" w:before="40"/>
      </w:pPr>
      <w:r>
        <w:rPr>
          <w:rFonts w:ascii="Arial" w:cs="Arial" w:eastAsia="Arial" w:hAnsi="Arial"/>
          <w:sz w:val="22"/>
          <w:szCs w:val="22"/>
        </w:rPr>
        <w:t xml:space="preserve">Credentialing-related claim denial rate for active clients</w:t>
      </w:r>
    </w:p>
    <w:p>
      <w:pPr>
        <w:pStyle w:val="ListParagraph"/>
        <w:numPr>
          <w:ilvl w:val="0"/>
          <w:numId w:val="2"/>
        </w:numPr>
        <w:spacing w:after="40" w:before="40"/>
      </w:pPr>
      <w:r>
        <w:rPr>
          <w:rFonts w:ascii="Arial" w:cs="Arial" w:eastAsia="Arial" w:hAnsi="Arial"/>
          <w:sz w:val="22"/>
          <w:szCs w:val="22"/>
        </w:rPr>
        <w:t xml:space="preserve">Number of missed recredentialing deadlines across portfolio</w:t>
      </w:r>
    </w:p>
    <w:p>
      <w:pPr>
        <w:pStyle w:val="ListParagraph"/>
        <w:numPr>
          <w:ilvl w:val="0"/>
          <w:numId w:val="2"/>
        </w:numPr>
        <w:spacing w:after="40" w:before="40"/>
      </w:pPr>
      <w:r>
        <w:rPr>
          <w:rFonts w:ascii="Arial" w:cs="Arial" w:eastAsia="Arial" w:hAnsi="Arial"/>
          <w:sz w:val="22"/>
          <w:szCs w:val="22"/>
        </w:rPr>
        <w:t xml:space="preserve">Client satisfaction (NPS or qualitative feedback)</w:t>
      </w:r>
    </w:p>
    <w:p>
      <w:pPr>
        <w:pStyle w:val="ListParagraph"/>
        <w:numPr>
          <w:ilvl w:val="0"/>
          <w:numId w:val="2"/>
        </w:numPr>
        <w:spacing w:after="40" w:before="40"/>
      </w:pPr>
      <w:r>
        <w:rPr>
          <w:rFonts w:ascii="Arial" w:cs="Arial" w:eastAsia="Arial" w:hAnsi="Arial"/>
          <w:sz w:val="22"/>
          <w:szCs w:val="22"/>
        </w:rPr>
        <w:t xml:space="preserve">Effective date achievement rate within projected timeline</w:t>
      </w:r>
    </w:p>
    <w:p>
      <w:pPr>
        <w:pStyle w:val="ListParagraph"/>
        <w:numPr>
          <w:ilvl w:val="0"/>
          <w:numId w:val="2"/>
        </w:numPr>
        <w:spacing w:after="40" w:before="40"/>
      </w:pPr>
      <w:r>
        <w:rPr>
          <w:rFonts w:ascii="Arial" w:cs="Arial" w:eastAsia="Arial" w:hAnsi="Arial"/>
          <w:sz w:val="22"/>
          <w:szCs w:val="22"/>
        </w:rPr>
        <w:t xml:space="preserve">Directory accuracy rate across enrolled providers</w:t>
      </w:r>
    </w:p>
    <w:p>
      <w:r>
        <w:br w:type="page"/>
      </w:r>
    </w:p>
    <w:p>
      <w:pPr>
        <w:pStyle w:val="Heading1"/>
        <w:spacing w:after="120" w:before="360"/>
      </w:pPr>
      <w:r>
        <w:rPr>
          <w:rFonts w:ascii="Arial" w:cs="Arial" w:eastAsia="Arial" w:hAnsi="Arial"/>
          <w:b/>
          <w:bCs/>
          <w:color w:val="1B4F72"/>
          <w:sz w:val="32"/>
          <w:szCs w:val="32"/>
        </w:rPr>
        <w:t xml:space="preserve">13. Opportunities for B2B Service Providers</w:t>
      </w:r>
    </w:p>
    <w:p>
      <w:pPr>
        <w:pBdr>
          <w:bottom w:val="single" w:color="2E86C1" w:sz="4" w:space="1"/>
        </w:pBdr>
        <w:spacing w:after="120" w:before="120"/>
      </w:pPr>
    </w:p>
    <w:p>
      <w:pPr>
        <w:pStyle w:val="Heading2"/>
        <w:spacing w:after="80" w:before="280"/>
      </w:pPr>
      <w:r>
        <w:rPr>
          <w:rFonts w:ascii="Arial" w:cs="Arial" w:eastAsia="Arial" w:hAnsi="Arial"/>
          <w:b/>
          <w:bCs/>
          <w:color w:val="2E86C1"/>
          <w:sz w:val="26"/>
          <w:szCs w:val="26"/>
        </w:rPr>
        <w:t xml:space="preserve">13.1 Sales Partnerships</w:t>
      </w:r>
    </w:p>
    <w:p>
      <w:pPr>
        <w:spacing w:after="60" w:before="60"/>
      </w:pPr>
      <w:r>
        <w:rPr>
          <w:rFonts w:ascii="Arial" w:cs="Arial" w:eastAsia="Arial" w:hAnsi="Arial"/>
          <w:sz w:val="22"/>
          <w:szCs w:val="22"/>
        </w:rPr>
        <w:t xml:space="preserve">BDR and sales partnership opportunities:</w:t>
      </w:r>
    </w:p>
    <w:p>
      <w:pPr>
        <w:pStyle w:val="ListParagraph"/>
        <w:numPr>
          <w:ilvl w:val="0"/>
          <w:numId w:val="2"/>
        </w:numPr>
        <w:spacing w:after="40" w:before="40"/>
      </w:pPr>
      <w:r>
        <w:rPr>
          <w:rFonts w:ascii="Arial" w:cs="Arial" w:eastAsia="Arial" w:hAnsi="Arial"/>
          <w:sz w:val="22"/>
          <w:szCs w:val="22"/>
        </w:rPr>
        <w:t xml:space="preserve">Referral partnership: billing companies, healthcare attorneys, practice management consultants, and EHR vendors can refer clients to pie in exchange for a referral fee or co-marketing arrangement</w:t>
      </w:r>
    </w:p>
    <w:p>
      <w:pPr>
        <w:pStyle w:val="ListParagraph"/>
        <w:numPr>
          <w:ilvl w:val="0"/>
          <w:numId w:val="2"/>
        </w:numPr>
        <w:spacing w:after="40" w:before="40"/>
      </w:pPr>
      <w:r>
        <w:rPr>
          <w:rFonts w:ascii="Arial" w:cs="Arial" w:eastAsia="Arial" w:hAnsi="Arial"/>
          <w:sz w:val="22"/>
          <w:szCs w:val="22"/>
        </w:rPr>
        <w:t xml:space="preserve">Healthcare staffing agencies placing new providers can refer those providers' practices to pie for credentialing support at the moment of hire</w:t>
      </w:r>
    </w:p>
    <w:p>
      <w:pPr>
        <w:pStyle w:val="ListParagraph"/>
        <w:numPr>
          <w:ilvl w:val="0"/>
          <w:numId w:val="2"/>
        </w:numPr>
        <w:spacing w:after="40" w:before="40"/>
      </w:pPr>
      <w:r>
        <w:rPr>
          <w:rFonts w:ascii="Arial" w:cs="Arial" w:eastAsia="Arial" w:hAnsi="Arial"/>
          <w:sz w:val="22"/>
          <w:szCs w:val="22"/>
        </w:rPr>
        <w:t xml:space="preserve">Home health / hospice consultants advising agencies on Texas HHSC compliance or CHOW transactions can bundle pie credentialing as part of their service</w:t>
      </w:r>
    </w:p>
    <w:p>
      <w:pPr>
        <w:pStyle w:val="ListParagraph"/>
        <w:numPr>
          <w:ilvl w:val="0"/>
          <w:numId w:val="2"/>
        </w:numPr>
        <w:spacing w:after="40" w:before="40"/>
      </w:pPr>
      <w:r>
        <w:rPr>
          <w:rFonts w:ascii="Arial" w:cs="Arial" w:eastAsia="Arial" w:hAnsi="Arial"/>
          <w:sz w:val="22"/>
          <w:szCs w:val="22"/>
        </w:rPr>
        <w:t xml:space="preserve">Digital health and telehealth platform vendors whose users need insurance panel access</w:t>
      </w:r>
    </w:p>
    <w:p>
      <w:pPr>
        <w:pStyle w:val="Heading2"/>
        <w:spacing w:after="80" w:before="280"/>
      </w:pPr>
      <w:r>
        <w:rPr>
          <w:rFonts w:ascii="Arial" w:cs="Arial" w:eastAsia="Arial" w:hAnsi="Arial"/>
          <w:b/>
          <w:bCs/>
          <w:color w:val="2E86C1"/>
          <w:sz w:val="26"/>
          <w:szCs w:val="26"/>
        </w:rPr>
        <w:t xml:space="preserve">13.2 Marketing Partnerships</w:t>
      </w:r>
    </w:p>
    <w:p>
      <w:pPr>
        <w:spacing w:after="60" w:before="60"/>
      </w:pPr>
      <w:r>
        <w:rPr>
          <w:rFonts w:ascii="Arial" w:cs="Arial" w:eastAsia="Arial" w:hAnsi="Arial"/>
          <w:sz w:val="22"/>
          <w:szCs w:val="22"/>
        </w:rPr>
        <w:t xml:space="preserve">Co-marketing opportunities:</w:t>
      </w:r>
    </w:p>
    <w:p>
      <w:pPr>
        <w:pStyle w:val="ListParagraph"/>
        <w:numPr>
          <w:ilvl w:val="0"/>
          <w:numId w:val="2"/>
        </w:numPr>
        <w:spacing w:after="40" w:before="40"/>
      </w:pPr>
      <w:r>
        <w:rPr>
          <w:rFonts w:ascii="Arial" w:cs="Arial" w:eastAsia="Arial" w:hAnsi="Arial"/>
          <w:sz w:val="22"/>
          <w:szCs w:val="22"/>
        </w:rPr>
        <w:t xml:space="preserve">Content co-authorship on credentialing and billing intersection topics (billing companies, RCM firms)</w:t>
      </w:r>
    </w:p>
    <w:p>
      <w:pPr>
        <w:pStyle w:val="ListParagraph"/>
        <w:numPr>
          <w:ilvl w:val="0"/>
          <w:numId w:val="2"/>
        </w:numPr>
        <w:spacing w:after="40" w:before="40"/>
      </w:pPr>
      <w:r>
        <w:rPr>
          <w:rFonts w:ascii="Arial" w:cs="Arial" w:eastAsia="Arial" w:hAnsi="Arial"/>
          <w:sz w:val="22"/>
          <w:szCs w:val="22"/>
        </w:rPr>
        <w:t xml:space="preserve">Webinar partnerships targeting practice owners and healthcare administrators</w:t>
      </w:r>
    </w:p>
    <w:p>
      <w:pPr>
        <w:pStyle w:val="ListParagraph"/>
        <w:numPr>
          <w:ilvl w:val="0"/>
          <w:numId w:val="2"/>
        </w:numPr>
        <w:spacing w:after="40" w:before="40"/>
      </w:pPr>
      <w:r>
        <w:rPr>
          <w:rFonts w:ascii="Arial" w:cs="Arial" w:eastAsia="Arial" w:hAnsi="Arial"/>
          <w:sz w:val="22"/>
          <w:szCs w:val="22"/>
        </w:rPr>
        <w:t xml:space="preserve">Email list co-promotion with adjacent healthcare service providers</w:t>
      </w:r>
    </w:p>
    <w:p>
      <w:pPr>
        <w:pStyle w:val="ListParagraph"/>
        <w:numPr>
          <w:ilvl w:val="0"/>
          <w:numId w:val="2"/>
        </w:numPr>
        <w:spacing w:after="40" w:before="40"/>
      </w:pPr>
      <w:r>
        <w:rPr>
          <w:rFonts w:ascii="Arial" w:cs="Arial" w:eastAsia="Arial" w:hAnsi="Arial"/>
          <w:sz w:val="22"/>
          <w:szCs w:val="22"/>
        </w:rPr>
        <w:t xml:space="preserve">LinkedIn content amplification through partners who serve the same audience</w:t>
      </w:r>
    </w:p>
    <w:p>
      <w:pPr>
        <w:pStyle w:val="ListParagraph"/>
        <w:numPr>
          <w:ilvl w:val="0"/>
          <w:numId w:val="2"/>
        </w:numPr>
        <w:spacing w:after="40" w:before="40"/>
      </w:pPr>
      <w:r>
        <w:rPr>
          <w:rFonts w:ascii="Arial" w:cs="Arial" w:eastAsia="Arial" w:hAnsi="Arial"/>
          <w:sz w:val="22"/>
          <w:szCs w:val="22"/>
        </w:rPr>
        <w:t xml:space="preserve">Co-branded checklists, guides, or templates distributed through partner channels</w:t>
      </w:r>
    </w:p>
    <w:p>
      <w:pPr>
        <w:pStyle w:val="Heading2"/>
        <w:spacing w:after="80" w:before="280"/>
      </w:pPr>
      <w:r>
        <w:rPr>
          <w:rFonts w:ascii="Arial" w:cs="Arial" w:eastAsia="Arial" w:hAnsi="Arial"/>
          <w:b/>
          <w:bCs/>
          <w:color w:val="2E86C1"/>
          <w:sz w:val="26"/>
          <w:szCs w:val="26"/>
        </w:rPr>
        <w:t xml:space="preserve">13.3 Technology Integrations</w:t>
      </w:r>
    </w:p>
    <w:p>
      <w:pPr>
        <w:spacing w:after="60" w:before="60"/>
      </w:pPr>
      <w:r>
        <w:rPr>
          <w:rFonts w:ascii="Arial" w:cs="Arial" w:eastAsia="Arial" w:hAnsi="Arial"/>
          <w:sz w:val="22"/>
          <w:szCs w:val="22"/>
        </w:rPr>
        <w:t xml:space="preserve">Technology integration opportunities identified from job postings and operations data:</w:t>
      </w:r>
    </w:p>
    <w:p>
      <w:pPr>
        <w:pStyle w:val="ListParagraph"/>
        <w:numPr>
          <w:ilvl w:val="0"/>
          <w:numId w:val="2"/>
        </w:numPr>
        <w:spacing w:after="40" w:before="40"/>
      </w:pPr>
      <w:r>
        <w:rPr>
          <w:rFonts w:ascii="Arial" w:cs="Arial" w:eastAsia="Arial" w:hAnsi="Arial"/>
          <w:sz w:val="22"/>
          <w:szCs w:val="22"/>
        </w:rPr>
        <w:t xml:space="preserve">Healthie Enterprise: pie is actively seeking an architect to configure Healthie for multi-location home health and hospice workflows in Texas — a paid contract opportunity for Healthie specialists</w:t>
      </w:r>
    </w:p>
    <w:p>
      <w:pPr>
        <w:pStyle w:val="ListParagraph"/>
        <w:numPr>
          <w:ilvl w:val="0"/>
          <w:numId w:val="2"/>
        </w:numPr>
        <w:spacing w:after="40" w:before="40"/>
      </w:pPr>
      <w:r>
        <w:rPr>
          <w:rFonts w:ascii="Arial" w:cs="Arial" w:eastAsia="Arial" w:hAnsi="Arial"/>
          <w:sz w:val="22"/>
          <w:szCs w:val="22"/>
        </w:rPr>
        <w:t xml:space="preserve">Automation engines: Assured, MedTrainer, or Andros — for routing provider profiles to TMHP PEMS and private payer portals</w:t>
      </w:r>
    </w:p>
    <w:p>
      <w:pPr>
        <w:pStyle w:val="ListParagraph"/>
        <w:numPr>
          <w:ilvl w:val="0"/>
          <w:numId w:val="2"/>
        </w:numPr>
        <w:spacing w:after="40" w:before="40"/>
      </w:pPr>
      <w:r>
        <w:rPr>
          <w:rFonts w:ascii="Arial" w:cs="Arial" w:eastAsia="Arial" w:hAnsi="Arial"/>
          <w:sz w:val="22"/>
          <w:szCs w:val="22"/>
        </w:rPr>
        <w:t xml:space="preserve">EHR systems (TherapyNotes, SimplePractice, Kareo): data exchange for provider roster synchronization</w:t>
      </w:r>
    </w:p>
    <w:p>
      <w:pPr>
        <w:pStyle w:val="ListParagraph"/>
        <w:numPr>
          <w:ilvl w:val="0"/>
          <w:numId w:val="2"/>
        </w:numPr>
        <w:spacing w:after="40" w:before="40"/>
      </w:pPr>
      <w:r>
        <w:rPr>
          <w:rFonts w:ascii="Arial" w:cs="Arial" w:eastAsia="Arial" w:hAnsi="Arial"/>
          <w:sz w:val="22"/>
          <w:szCs w:val="22"/>
        </w:rPr>
        <w:t xml:space="preserve">Practice management software: enrollment status API integrations for billing system alignment</w:t>
      </w:r>
    </w:p>
    <w:p>
      <w:pPr>
        <w:pStyle w:val="ListParagraph"/>
        <w:numPr>
          <w:ilvl w:val="0"/>
          <w:numId w:val="2"/>
        </w:numPr>
        <w:spacing w:after="40" w:before="40"/>
      </w:pPr>
      <w:r>
        <w:rPr>
          <w:rFonts w:ascii="Arial" w:cs="Arial" w:eastAsia="Arial" w:hAnsi="Arial"/>
          <w:sz w:val="22"/>
          <w:szCs w:val="22"/>
        </w:rPr>
        <w:t xml:space="preserve">CAQH ProView API: enhanced data synchronization tools</w:t>
      </w:r>
    </w:p>
    <w:p>
      <w:pPr>
        <w:pStyle w:val="ListParagraph"/>
        <w:numPr>
          <w:ilvl w:val="0"/>
          <w:numId w:val="2"/>
        </w:numPr>
        <w:spacing w:after="40" w:before="40"/>
      </w:pPr>
      <w:r>
        <w:rPr>
          <w:rFonts w:ascii="Arial" w:cs="Arial" w:eastAsia="Arial" w:hAnsi="Arial"/>
          <w:sz w:val="22"/>
          <w:szCs w:val="22"/>
        </w:rPr>
        <w:t xml:space="preserve">Notification/alerting systems: 60/30/15-day expiration alert infrastructure</w:t>
      </w:r>
    </w:p>
    <w:p>
      <w:pPr>
        <w:pStyle w:val="Heading2"/>
        <w:spacing w:after="80" w:before="280"/>
      </w:pPr>
      <w:r>
        <w:rPr>
          <w:rFonts w:ascii="Arial" w:cs="Arial" w:eastAsia="Arial" w:hAnsi="Arial"/>
          <w:b/>
          <w:bCs/>
          <w:color w:val="2E86C1"/>
          <w:sz w:val="26"/>
          <w:szCs w:val="26"/>
        </w:rPr>
        <w:t xml:space="preserve">13.4 Outsourcing Opportunities</w:t>
      </w:r>
    </w:p>
    <w:p>
      <w:pPr>
        <w:spacing w:after="60" w:before="60"/>
      </w:pPr>
      <w:r>
        <w:rPr>
          <w:rFonts w:ascii="Arial" w:cs="Arial" w:eastAsia="Arial" w:hAnsi="Arial"/>
          <w:sz w:val="22"/>
          <w:szCs w:val="22"/>
        </w:rPr>
        <w:t xml:space="preserve">Areas where pie may contract or subcontract external specialists:</w:t>
      </w:r>
    </w:p>
    <w:p>
      <w:pPr>
        <w:pStyle w:val="ListParagraph"/>
        <w:numPr>
          <w:ilvl w:val="0"/>
          <w:numId w:val="2"/>
        </w:numPr>
        <w:spacing w:after="40" w:before="40"/>
      </w:pPr>
      <w:r>
        <w:rPr>
          <w:rFonts w:ascii="Arial" w:cs="Arial" w:eastAsia="Arial" w:hAnsi="Arial"/>
          <w:sz w:val="22"/>
          <w:szCs w:val="22"/>
        </w:rPr>
        <w:t xml:space="preserve">Technical roles: Systems architects familiar with Healthie Enterprise, TMHP PEMS, TULIP, and Availity</w:t>
      </w:r>
    </w:p>
    <w:p>
      <w:pPr>
        <w:pStyle w:val="ListParagraph"/>
        <w:numPr>
          <w:ilvl w:val="0"/>
          <w:numId w:val="2"/>
        </w:numPr>
        <w:spacing w:after="40" w:before="40"/>
      </w:pPr>
      <w:r>
        <w:rPr>
          <w:rFonts w:ascii="Arial" w:cs="Arial" w:eastAsia="Arial" w:hAnsi="Arial"/>
          <w:sz w:val="22"/>
          <w:szCs w:val="22"/>
        </w:rPr>
        <w:t xml:space="preserve">Credentialing specialists: experienced in specific states or specialties to handle surge capacity</w:t>
      </w:r>
    </w:p>
    <w:p>
      <w:pPr>
        <w:pStyle w:val="ListParagraph"/>
        <w:numPr>
          <w:ilvl w:val="0"/>
          <w:numId w:val="2"/>
        </w:numPr>
        <w:spacing w:after="40" w:before="40"/>
      </w:pPr>
      <w:r>
        <w:rPr>
          <w:rFonts w:ascii="Arial" w:cs="Arial" w:eastAsia="Arial" w:hAnsi="Arial"/>
          <w:sz w:val="22"/>
          <w:szCs w:val="22"/>
        </w:rPr>
        <w:t xml:space="preserve">Content and SEO: blog writing, keyword research, state-specific content expansion</w:t>
      </w:r>
    </w:p>
    <w:p>
      <w:pPr>
        <w:pStyle w:val="ListParagraph"/>
        <w:numPr>
          <w:ilvl w:val="0"/>
          <w:numId w:val="2"/>
        </w:numPr>
        <w:spacing w:after="40" w:before="40"/>
      </w:pPr>
      <w:r>
        <w:rPr>
          <w:rFonts w:ascii="Arial" w:cs="Arial" w:eastAsia="Arial" w:hAnsi="Arial"/>
          <w:sz w:val="22"/>
          <w:szCs w:val="22"/>
        </w:rPr>
        <w:t xml:space="preserve">Automation engineering: workflow builders for payer portal notification systems and roster management tools</w:t>
      </w:r>
    </w:p>
    <w:p>
      <w:pPr>
        <w:pStyle w:val="ListParagraph"/>
        <w:numPr>
          <w:ilvl w:val="0"/>
          <w:numId w:val="2"/>
        </w:numPr>
        <w:spacing w:after="40" w:before="40"/>
      </w:pPr>
      <w:r>
        <w:rPr>
          <w:rFonts w:ascii="Arial" w:cs="Arial" w:eastAsia="Arial" w:hAnsi="Arial"/>
          <w:sz w:val="22"/>
          <w:szCs w:val="22"/>
        </w:rPr>
        <w:t xml:space="preserve">Legal support: healthcare compliance attorneys for contract review and HHSC regulatory guidance</w:t>
      </w:r>
    </w:p>
    <w:p>
      <w:pPr>
        <w:pStyle w:val="ListParagraph"/>
        <w:numPr>
          <w:ilvl w:val="0"/>
          <w:numId w:val="2"/>
        </w:numPr>
        <w:spacing w:after="40" w:before="40"/>
      </w:pPr>
      <w:r>
        <w:rPr>
          <w:rFonts w:ascii="Arial" w:cs="Arial" w:eastAsia="Arial" w:hAnsi="Arial"/>
          <w:sz w:val="22"/>
          <w:szCs w:val="22"/>
        </w:rPr>
        <w:t xml:space="preserve">Accounting / bookkeeping: financial operations support for a growing SMB</w:t>
      </w:r>
    </w:p>
    <w:p>
      <w:r>
        <w:br w:type="page"/>
      </w:r>
    </w:p>
    <w:p>
      <w:pPr>
        <w:pStyle w:val="Heading1"/>
        <w:spacing w:after="120" w:before="360"/>
      </w:pPr>
      <w:r>
        <w:rPr>
          <w:rFonts w:ascii="Arial" w:cs="Arial" w:eastAsia="Arial" w:hAnsi="Arial"/>
          <w:b/>
          <w:bCs/>
          <w:color w:val="1B4F72"/>
          <w:sz w:val="32"/>
          <w:szCs w:val="32"/>
        </w:rPr>
        <w:t xml:space="preserve">14. Summary of Business Operations</w:t>
      </w:r>
    </w:p>
    <w:p>
      <w:pPr>
        <w:pBdr>
          <w:bottom w:val="single" w:color="2E86C1" w:sz="4" w:space="1"/>
        </w:pBdr>
        <w:spacing w:after="120" w:before="120"/>
      </w:pPr>
    </w:p>
    <w:p>
      <w:pPr>
        <w:spacing w:after="60" w:before="60"/>
      </w:pPr>
      <w:r>
        <w:rPr>
          <w:rFonts w:ascii="Arial" w:cs="Arial" w:eastAsia="Arial" w:hAnsi="Arial"/>
          <w:sz w:val="22"/>
          <w:szCs w:val="22"/>
        </w:rPr>
        <w:t xml:space="preserve">pie Health is a U.S.-based, fully remote credentialing and payer enrollment company founded in 2021 and headquartered in Georgetown, Texas (with an office in Broken Arrow, Oklahoma). It has approximately 7 employees.</w:t>
      </w:r>
    </w:p>
    <w:p>
      <w:pPr>
        <w:spacing w:before="100"/>
      </w:pPr>
    </w:p>
    <w:p>
      <w:pPr>
        <w:spacing w:after="60" w:before="60"/>
      </w:pPr>
      <w:r>
        <w:rPr>
          <w:rFonts w:ascii="Arial" w:cs="Arial" w:eastAsia="Arial" w:hAnsi="Arial"/>
          <w:b/>
          <w:bCs/>
          <w:sz w:val="22"/>
          <w:szCs w:val="22"/>
        </w:rPr>
        <w:t xml:space="preserve">What it does: </w:t>
      </w:r>
      <w:r>
        <w:rPr>
          <w:rFonts w:ascii="Arial" w:cs="Arial" w:eastAsia="Arial" w:hAnsi="Arial"/>
          <w:sz w:val="22"/>
          <w:szCs w:val="22"/>
        </w:rPr>
        <w:t xml:space="preserve">pie handles the full process of getting healthcare providers officially recognized by insurance companies. This includes submitting applications, tracking progress, managing ongoing renewals, and maintaining accurate records so that providers can legally bill insurance and get paid.</w:t>
      </w:r>
    </w:p>
    <w:p>
      <w:pPr>
        <w:spacing w:before="60"/>
      </w:pPr>
    </w:p>
    <w:p>
      <w:pPr>
        <w:spacing w:after="60" w:before="60"/>
      </w:pPr>
      <w:r>
        <w:rPr>
          <w:rFonts w:ascii="Arial" w:cs="Arial" w:eastAsia="Arial" w:hAnsi="Arial"/>
          <w:b/>
          <w:bCs/>
          <w:sz w:val="22"/>
          <w:szCs w:val="22"/>
        </w:rPr>
        <w:t xml:space="preserve">How it works: </w:t>
      </w:r>
      <w:r>
        <w:rPr>
          <w:rFonts w:ascii="Arial" w:cs="Arial" w:eastAsia="Arial" w:hAnsi="Arial"/>
          <w:sz w:val="22"/>
          <w:szCs w:val="22"/>
        </w:rPr>
        <w:t xml:space="preserve">A client (a practice, group, or facility) signs a service agreement. pie runs a digital onboarding assessment to understand what is already enrolled, what is missing, and what is expiring. Then pie submits applications, follows up with payers, confirms effective dates, and manages the entire relationship on an ongoing monthly basis. Clients see everything in real time through the pie Practice portal.</w:t>
      </w:r>
    </w:p>
    <w:p>
      <w:pPr>
        <w:spacing w:before="60"/>
      </w:pPr>
    </w:p>
    <w:p>
      <w:pPr>
        <w:spacing w:after="60" w:before="60"/>
      </w:pPr>
      <w:r>
        <w:rPr>
          <w:rFonts w:ascii="Arial" w:cs="Arial" w:eastAsia="Arial" w:hAnsi="Arial"/>
          <w:b/>
          <w:bCs/>
          <w:sz w:val="22"/>
          <w:szCs w:val="22"/>
        </w:rPr>
        <w:t xml:space="preserve">How it earns money: </w:t>
      </w:r>
      <w:r>
        <w:rPr>
          <w:rFonts w:ascii="Arial" w:cs="Arial" w:eastAsia="Arial" w:hAnsi="Arial"/>
          <w:sz w:val="22"/>
          <w:szCs w:val="22"/>
        </w:rPr>
        <w:t xml:space="preserve">Flat monthly per-provider maintenance fees. Third-party costs are passed through at cost. One-time project fees apply to defined scopes like launch plans, payor discovery, or vendor transitions.</w:t>
      </w:r>
    </w:p>
    <w:p>
      <w:pPr>
        <w:spacing w:before="60"/>
      </w:pPr>
    </w:p>
    <w:p>
      <w:pPr>
        <w:spacing w:after="60" w:before="60"/>
      </w:pPr>
      <w:r>
        <w:rPr>
          <w:rFonts w:ascii="Arial" w:cs="Arial" w:eastAsia="Arial" w:hAnsi="Arial"/>
          <w:b/>
          <w:bCs/>
          <w:sz w:val="22"/>
          <w:szCs w:val="22"/>
        </w:rPr>
        <w:t xml:space="preserve">Who it serves: </w:t>
      </w:r>
      <w:r>
        <w:rPr>
          <w:rFonts w:ascii="Arial" w:cs="Arial" w:eastAsia="Arial" w:hAnsi="Arial"/>
          <w:sz w:val="22"/>
          <w:szCs w:val="22"/>
        </w:rPr>
        <w:t xml:space="preserve">Healthcare practices across every major specialty — from solo behavioral health providers to 100+ provider multi-site groups. Strong focus on behavioral health, home health and hospice, physical therapy, primary care, eye care, and dental. Increasingly active in Texas home health and hospice agency credentialing.</w:t>
      </w:r>
    </w:p>
    <w:p>
      <w:pPr>
        <w:spacing w:before="60"/>
      </w:pPr>
    </w:p>
    <w:p>
      <w:pPr>
        <w:spacing w:after="60" w:before="60"/>
      </w:pPr>
      <w:r>
        <w:rPr>
          <w:rFonts w:ascii="Arial" w:cs="Arial" w:eastAsia="Arial" w:hAnsi="Arial"/>
          <w:b/>
          <w:bCs/>
          <w:sz w:val="22"/>
          <w:szCs w:val="22"/>
        </w:rPr>
        <w:t xml:space="preserve">What makes it different: </w:t>
      </w:r>
      <w:r>
        <w:rPr>
          <w:rFonts w:ascii="Arial" w:cs="Arial" w:eastAsia="Arial" w:hAnsi="Arial"/>
          <w:sz w:val="22"/>
          <w:szCs w:val="22"/>
        </w:rPr>
        <w:t xml:space="preserve">U.S.-based team. Real-time transparent portal. Flat pricing with no hidden markups. NCQA standards alignment. Educational content that builds trust before a prospect ever contacts pie. Honest communication about timelines — pie tells clients what is realistic, not just what they want to hear.</w:t>
      </w:r>
    </w:p>
    <w:p>
      <w:pPr>
        <w:spacing w:before="60"/>
      </w:pPr>
    </w:p>
    <w:p>
      <w:pPr>
        <w:spacing w:after="60" w:before="60"/>
      </w:pPr>
      <w:r>
        <w:rPr>
          <w:rFonts w:ascii="Arial" w:cs="Arial" w:eastAsia="Arial" w:hAnsi="Arial"/>
          <w:b/>
          <w:bCs/>
          <w:sz w:val="22"/>
          <w:szCs w:val="22"/>
        </w:rPr>
        <w:t xml:space="preserve">Where it is headed: </w:t>
      </w:r>
      <w:r>
        <w:rPr>
          <w:rFonts w:ascii="Arial" w:cs="Arial" w:eastAsia="Arial" w:hAnsi="Arial"/>
          <w:sz w:val="22"/>
          <w:szCs w:val="22"/>
        </w:rPr>
        <w:t xml:space="preserve">Expanding its technology platform to automate more payer portal interactions, expiration alerts, and roster management. Pursuing NCQA CVO accreditation. Actively hiring senior credentialing leadership. Building automation infrastructure for the Texas home health and hospice market in response to the May 2026 CMS enrollment moratorium and the June 2026 TMHP IAMOnline MFA cutover.</w:t>
      </w:r>
    </w:p>
    <w:p>
      <w:pPr>
        <w:spacing w:before="60"/>
      </w:pPr>
    </w:p>
    <w:p>
      <w:pPr>
        <w:spacing w:after="60" w:before="60"/>
      </w:pPr>
      <w:r>
        <w:rPr>
          <w:rFonts w:ascii="Arial" w:cs="Arial" w:eastAsia="Arial" w:hAnsi="Arial"/>
          <w:b/>
          <w:bCs/>
          <w:sz w:val="22"/>
          <w:szCs w:val="22"/>
        </w:rPr>
        <w:t xml:space="preserve">Best opportunities for external partners: </w:t>
      </w:r>
      <w:r>
        <w:rPr>
          <w:rFonts w:ascii="Arial" w:cs="Arial" w:eastAsia="Arial" w:hAnsi="Arial"/>
          <w:sz w:val="22"/>
          <w:szCs w:val="22"/>
        </w:rPr>
        <w:t xml:space="preserve">Referral partnerships (billing companies, practice consultants, EHR vendors); technology integrations (Healthie Enterprise, TMHP PEMS automation, EHR data sync); content and SEO support; specialist credentialing contractors for surge capacity; and automation engineering for notification and roster management systems.</w:t>
      </w:r>
    </w:p>
    <w:p>
      <w:pPr>
        <w:spacing w:before="300"/>
      </w:pPr>
    </w:p>
    <w:p>
      <w:pPr>
        <w:jc w:val="center"/>
      </w:pPr>
      <w:r>
        <w:rPr>
          <w:rFonts w:ascii="Arial" w:cs="Arial" w:eastAsia="Arial" w:hAnsi="Arial"/>
          <w:i/>
          <w:iCs/>
          <w:color w:val="888888"/>
          <w:sz w:val="20"/>
          <w:szCs w:val="20"/>
        </w:rPr>
        <w:t xml:space="preserve">— End of Document —</w:t>
      </w:r>
    </w:p>
    <w:p>
      <w:pPr>
        <w:spacing w:before="80"/>
        <w:jc w:val="center"/>
      </w:pPr>
      <w:r>
        <w:rPr>
          <w:rFonts w:ascii="Arial" w:cs="Arial" w:eastAsia="Arial" w:hAnsi="Arial"/>
          <w:color w:val="2E86C1"/>
          <w:sz w:val="18"/>
          <w:szCs w:val="18"/>
        </w:rPr>
        <w:t xml:space="preserve">piehealthusa.com  |  800-799-3859  |  Georgetown, TX  |  Broken Arrow, 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2026-05-25T10:26:55.389Z</dcterms:created>
  <dcterms:modified xsi:type="dcterms:W3CDTF">2026-05-25T10:26:55.389Z</dcterms:modified>
</cp:coreProperties>
</file>

<file path=docProps/custom.xml><?xml version="1.0" encoding="utf-8"?>
<Properties xmlns="http://schemas.openxmlformats.org/officeDocument/2006/custom-properties" xmlns:vt="http://schemas.openxmlformats.org/officeDocument/2006/docPropsVTypes"/>
</file>