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strike w:val="false"/>
          <w:color w:val="1F4E78"/>
        </w:rPr>
        <w:t xml:space="preserve">Control de Inventario — Pixel Burger</w:t>
      </w:r>
    </w:p>
    <w:p>
      <w:pPr>
        <w:spacing w:after="200"/>
      </w:pPr>
      <w:r>
        <w:rPr>
          <w:rFonts w:ascii="Calibri" w:cs="Calibri" w:eastAsia="Calibri" w:hAnsi="Calibri"/>
          <w:i/>
          <w:iCs/>
          <w:strike w:val="false"/>
          <w:color w:val="595959"/>
          <w:sz w:val="20"/>
          <w:szCs w:val="20"/>
        </w:rPr>
        <w:t xml:space="preserve">Versión 1 — borrador de trabajo, 2026-09-15. Se ajusta con datos reales una vez el negocio esté operando (ver Etapa 1 del Documento Maestro).</w:t>
      </w:r>
    </w:p>
    <w:p>
      <w:pPr>
        <w:pStyle w:val="Heading1"/>
        <w:pBdr>
          <w:bottom w:val="single" w:color="1F4E78" w:sz="6" w:space="4"/>
        </w:pBdr>
        <w:spacing w:after="120" w:before="300"/>
      </w:pPr>
      <w:r>
        <w:rPr>
          <w:rFonts w:ascii="Calibri" w:cs="Calibri" w:eastAsia="Calibri" w:hAnsi="Calibri"/>
          <w:b/>
          <w:bCs/>
          <w:strike w:val="false"/>
          <w:color w:val="1F4E78"/>
        </w:rPr>
        <w:t xml:space="preserve">0. Propósito y principio rector</w:t>
      </w:r>
    </w:p>
    <w:p>
      <w:pPr>
        <w:spacing w:after="160"/>
        <w:jc w:val="left"/>
      </w:pPr>
      <w:r>
        <w:rPr>
          <w:rFonts w:ascii="Calibri" w:cs="Calibri" w:eastAsia="Calibri" w:hAnsi="Calibri"/>
          <w:strike w:val="false"/>
        </w:rPr>
        <w:t xml:space="preserve">El control de inventario existe para responder cuatro preguntas todos los días: ¿qué hay?, ¿qué debería haber?, ¿por qué no coinciden?, y ¿qué hago con esa diferencia? Sin esto, el Food Cost del Excel y la Política de Compras son solo teoría — el control de inventario es lo que confirma (o corrige) esa teoría con la realidad del negocio.</w:t>
      </w:r>
    </w:p>
    <w:p>
      <w:pPr>
        <w:spacing w:after="160"/>
        <w:jc w:val="left"/>
      </w:pPr>
      <w:r>
        <w:rPr>
          <w:rFonts w:ascii="Calibri" w:cs="Calibri" w:eastAsia="Calibri" w:hAnsi="Calibri"/>
          <w:strike w:val="false"/>
        </w:rPr>
        <w:t xml:space="preserve">Se apoya en tres documentos ya existentes: el </w:t>
      </w:r>
      <w:r>
        <w:rPr>
          <w:rFonts w:ascii="Calibri" w:cs="Calibri" w:eastAsia="Calibri" w:hAnsi="Calibri"/>
          <w:b/>
          <w:bCs/>
          <w:strike w:val="false"/>
        </w:rPr>
        <w:t xml:space="preserve">Manual de Apertura/Cierre</w:t>
      </w:r>
      <w:r>
        <w:rPr>
          <w:rFonts w:ascii="Calibri" w:cs="Calibri" w:eastAsia="Calibri" w:hAnsi="Calibri"/>
          <w:strike w:val="false"/>
        </w:rPr>
        <w:t xml:space="preserve"> (que ya pide revisar inventario crítico cada día), la </w:t>
      </w:r>
      <w:r>
        <w:rPr>
          <w:rFonts w:ascii="Calibri" w:cs="Calibri" w:eastAsia="Calibri" w:hAnsi="Calibri"/>
          <w:b/>
          <w:bCs/>
          <w:strike w:val="false"/>
        </w:rPr>
        <w:t xml:space="preserve">Política de Compras</w:t>
      </w:r>
      <w:r>
        <w:rPr>
          <w:rFonts w:ascii="Calibri" w:cs="Calibri" w:eastAsia="Calibri" w:hAnsi="Calibri"/>
          <w:strike w:val="false"/>
        </w:rPr>
        <w:t xml:space="preserve"> (que clasifica los insumos por perecibilidad) y el Excel (Compras Mensuales y Food Cost, que dicen cuánto debería consumirse por hamburguesa vendida).</w:t>
      </w:r>
    </w:p>
    <w:p>
      <w:pPr>
        <w:pStyle w:val="Heading1"/>
        <w:pBdr>
          <w:bottom w:val="single" w:color="1F4E78" w:sz="6" w:space="4"/>
        </w:pBdr>
        <w:spacing w:after="120" w:before="300"/>
      </w:pPr>
      <w:r>
        <w:rPr>
          <w:rFonts w:ascii="Calibri" w:cs="Calibri" w:eastAsia="Calibri" w:hAnsi="Calibri"/>
          <w:b/>
          <w:bCs/>
          <w:strike w:val="false"/>
          <w:color w:val="1F4E78"/>
        </w:rPr>
        <w:t xml:space="preserve">1. Qué se cuenta</w:t>
      </w:r>
    </w:p>
    <w:p>
      <w:pPr>
        <w:spacing w:after="160"/>
        <w:jc w:val="left"/>
      </w:pPr>
      <w:r>
        <w:rPr>
          <w:rFonts w:ascii="Calibri" w:cs="Calibri" w:eastAsia="Calibri" w:hAnsi="Calibri"/>
          <w:strike w:val="false"/>
        </w:rPr>
        <w:t xml:space="preserve">Se cuenta todo lo que ya está clasificado en la Política de Compras, más las recetas base preparadas:</w:t>
      </w:r>
    </w:p>
    <w:p>
      <w:pPr>
        <w:pStyle w:val="ListParagraph"/>
        <w:numPr>
          <w:ilvl w:val="0"/>
          <w:numId w:val="1"/>
        </w:numPr>
        <w:spacing w:after="60"/>
      </w:pPr>
      <w:r>
        <w:rPr>
          <w:rFonts w:ascii="Calibri" w:cs="Calibri" w:eastAsia="Calibri" w:hAnsi="Calibri"/>
          <w:b/>
          <w:bCs/>
          <w:strike w:val="false"/>
        </w:rPr>
        <w:t xml:space="preserve">Ingredientes crudos</w:t>
      </w:r>
      <w:r>
        <w:rPr>
          <w:rFonts w:ascii="Calibri" w:cs="Calibri" w:eastAsia="Calibri" w:hAnsi="Calibri"/>
          <w:strike w:val="false"/>
        </w:rPr>
        <w:t xml:space="preserve">: carne, pan, quesos, tomate, lechuga, cilantro, chorizo.</w:t>
      </w:r>
    </w:p>
    <w:p>
      <w:pPr>
        <w:pStyle w:val="ListParagraph"/>
        <w:numPr>
          <w:ilvl w:val="0"/>
          <w:numId w:val="1"/>
        </w:numPr>
        <w:spacing w:after="60"/>
      </w:pPr>
      <w:r>
        <w:rPr>
          <w:rFonts w:ascii="Calibri" w:cs="Calibri" w:eastAsia="Calibri" w:hAnsi="Calibri"/>
          <w:b/>
          <w:bCs/>
          <w:strike w:val="false"/>
        </w:rPr>
        <w:t xml:space="preserve">Recetas base ya preparadas</w:t>
      </w:r>
      <w:r>
        <w:rPr>
          <w:rFonts w:ascii="Calibri" w:cs="Calibri" w:eastAsia="Calibri" w:hAnsi="Calibri"/>
          <w:strike w:val="false"/>
        </w:rPr>
        <w:t xml:space="preserve">: carne preparada, cebolla caramelizada, hogao, salsas (BBQ, dulce). Estas se cuentan aparte porque ya tienen trabajo/costo invertido — perderlas es más caro que perder el ingrediente crudo.</w:t>
      </w:r>
    </w:p>
    <w:p>
      <w:pPr>
        <w:pStyle w:val="ListParagraph"/>
        <w:numPr>
          <w:ilvl w:val="0"/>
          <w:numId w:val="1"/>
        </w:numPr>
        <w:spacing w:after="60"/>
      </w:pPr>
      <w:r>
        <w:rPr>
          <w:rFonts w:ascii="Calibri" w:cs="Calibri" w:eastAsia="Calibri" w:hAnsi="Calibri"/>
          <w:b/>
          <w:bCs/>
          <w:strike w:val="false"/>
        </w:rPr>
        <w:t xml:space="preserve">Consumibles</w:t>
      </w:r>
      <w:r>
        <w:rPr>
          <w:rFonts w:ascii="Calibri" w:cs="Calibri" w:eastAsia="Calibri" w:hAnsi="Calibri"/>
          <w:strike w:val="false"/>
        </w:rPr>
        <w:t xml:space="preserve">: cajas, papel encerado, servilletas, bolsas, bolsa kraft.</w:t>
      </w:r>
    </w:p>
    <w:p>
      <w:pPr>
        <w:pStyle w:val="Heading1"/>
        <w:pBdr>
          <w:bottom w:val="single" w:color="1F4E78" w:sz="6" w:space="4"/>
        </w:pBdr>
        <w:spacing w:after="120" w:before="300"/>
      </w:pPr>
      <w:r>
        <w:rPr>
          <w:rFonts w:ascii="Calibri" w:cs="Calibri" w:eastAsia="Calibri" w:hAnsi="Calibri"/>
          <w:b/>
          <w:bCs/>
          <w:strike w:val="false"/>
          <w:color w:val="1F4E78"/>
        </w:rPr>
        <w:t xml:space="preserve">2. Frecuencia de conteo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Qué</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Frecuencia</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Quién / cuándo</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Insumos críticos (carne, pan, queso, empaques principales)</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Diario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Parte del cierre diario (Manual de Apertura/Cierre, paso 3.1)</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Resto de perecederos y semi-perecederos</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Semanal</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Un día fijo de la semana (idealmente el de menor venta)</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Consumibles no perecederos</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Quincenal o mensual</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Junto con la revisión de compras por volumen</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Conteo físico total (cuadre completo)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Mensual</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Comparar inventario físico contra el inventario teórico calculado</w:t>
            </w:r>
          </w:p>
        </w:tc>
      </w:tr>
    </w:tbl>
    <w:p>
      <w:pPr>
        <w:spacing w:after="200"/>
      </w:pPr>
    </w:p>
    <w:p>
      <w:pPr>
        <w:pStyle w:val="Heading1"/>
        <w:pBdr>
          <w:bottom w:val="single" w:color="1F4E78" w:sz="6" w:space="4"/>
        </w:pBdr>
        <w:spacing w:after="120" w:before="300"/>
      </w:pPr>
      <w:r>
        <w:rPr>
          <w:rFonts w:ascii="Calibri" w:cs="Calibri" w:eastAsia="Calibri" w:hAnsi="Calibri"/>
          <w:b/>
          <w:bCs/>
          <w:strike w:val="false"/>
          <w:color w:val="1F4E78"/>
        </w:rPr>
        <w:t xml:space="preserve">3. Cómo se cuenta</w:t>
      </w:r>
    </w:p>
    <w:p>
      <w:pPr>
        <w:pStyle w:val="ListParagraph"/>
        <w:numPr>
          <w:ilvl w:val="0"/>
          <w:numId w:val="1"/>
        </w:numPr>
        <w:spacing w:after="60"/>
      </w:pPr>
      <w:r>
        <w:rPr>
          <w:rFonts w:ascii="Calibri" w:cs="Calibri" w:eastAsia="Calibri" w:hAnsi="Calibri"/>
          <w:strike w:val="false"/>
        </w:rPr>
        <w:t xml:space="preserve">Se cuenta en la misma unidad en la que se compra (kg, unidades, lonchas, porciones, gramos) — las mismas unidades que ya usa la Política de Compras y la hoja Compras Mensuales del Excel, para que los números se puedan comparar directamente.</w:t>
      </w:r>
    </w:p>
    <w:p>
      <w:pPr>
        <w:pStyle w:val="ListParagraph"/>
        <w:numPr>
          <w:ilvl w:val="0"/>
          <w:numId w:val="1"/>
        </w:numPr>
        <w:spacing w:after="60"/>
      </w:pPr>
      <w:r>
        <w:rPr>
          <w:rFonts w:ascii="Calibri" w:cs="Calibri" w:eastAsia="Calibri" w:hAnsi="Calibri"/>
          <w:strike w:val="false"/>
        </w:rPr>
        <w:t xml:space="preserve">Las recetas base preparadas (carne preparada, cebolla caramelizada, hogao) se cuentan en porciones o gramos, igual que en la hoja Recetas Base.</w:t>
      </w:r>
    </w:p>
    <w:p>
      <w:pPr>
        <w:pStyle w:val="ListParagraph"/>
        <w:numPr>
          <w:ilvl w:val="0"/>
          <w:numId w:val="1"/>
        </w:numPr>
        <w:spacing w:after="60"/>
      </w:pPr>
      <w:r>
        <w:rPr>
          <w:rFonts w:ascii="Calibri" w:cs="Calibri" w:eastAsia="Calibri" w:hAnsi="Calibri"/>
          <w:strike w:val="false"/>
        </w:rPr>
        <w:t xml:space="preserve">Se usa siempre la misma plantilla de conteo (sección 6) para que los datos de una semana se puedan comparar con la anterior.</w:t>
      </w:r>
    </w:p>
    <w:p>
      <w:pPr>
        <w:pStyle w:val="Heading1"/>
        <w:pBdr>
          <w:bottom w:val="single" w:color="1F4E78" w:sz="6" w:space="4"/>
        </w:pBdr>
        <w:spacing w:after="120" w:before="300"/>
      </w:pPr>
      <w:r>
        <w:rPr>
          <w:rFonts w:ascii="Calibri" w:cs="Calibri" w:eastAsia="Calibri" w:hAnsi="Calibri"/>
          <w:b/>
          <w:bCs/>
          <w:strike w:val="false"/>
          <w:color w:val="1F4E78"/>
        </w:rPr>
        <w:t xml:space="preserve">4. Inventario teórico vs. inventario real</w:t>
      </w:r>
    </w:p>
    <w:p>
      <w:pPr>
        <w:spacing w:after="160"/>
        <w:jc w:val="left"/>
      </w:pPr>
      <w:r>
        <w:rPr>
          <w:rFonts w:ascii="Calibri" w:cs="Calibri" w:eastAsia="Calibri" w:hAnsi="Calibri"/>
          <w:b/>
          <w:bCs/>
          <w:strike w:val="false"/>
        </w:rPr>
        <w:t xml:space="preserve">Inventario teórico</w:t>
      </w:r>
      <w:r>
        <w:rPr>
          <w:rFonts w:ascii="Calibri" w:cs="Calibri" w:eastAsia="Calibri" w:hAnsi="Calibri"/>
          <w:strike w:val="false"/>
        </w:rPr>
        <w:t xml:space="preserve"> = lo que debería quedar según la fórmula:</w:t>
      </w:r>
    </w:p>
    <w:p>
      <w:pPr>
        <w:spacing w:after="100" w:before="100"/>
        <w:ind w:left="431"/>
      </w:pPr>
      <w:r>
        <w:rPr>
          <w:rFonts w:ascii="Calibri" w:cs="Calibri" w:eastAsia="Calibri" w:hAnsi="Calibri"/>
          <w:i/>
          <w:iCs/>
          <w:strike w:val="false"/>
        </w:rPr>
        <w:t xml:space="preserve">Inventario inicial del período + Compras del período − Consumo esperado según las ventas registradas (usando las cantidades de la hoja Food Cost / Recetas Base)</w:t>
      </w:r>
    </w:p>
    <w:p>
      <w:pPr>
        <w:spacing w:after="160"/>
        <w:jc w:val="left"/>
      </w:pPr>
      <w:r>
        <w:rPr>
          <w:rFonts w:ascii="Calibri" w:cs="Calibri" w:eastAsia="Calibri" w:hAnsi="Calibri"/>
          <w:b/>
          <w:bCs/>
          <w:strike w:val="false"/>
        </w:rPr>
        <w:t xml:space="preserve">Inventario real</w:t>
      </w:r>
      <w:r>
        <w:rPr>
          <w:rFonts w:ascii="Calibri" w:cs="Calibri" w:eastAsia="Calibri" w:hAnsi="Calibri"/>
          <w:strike w:val="false"/>
        </w:rPr>
        <w:t xml:space="preserve"> = lo que efectivamente se cuenta físicamente.</w:t>
      </w:r>
    </w:p>
    <w:p>
      <w:pPr>
        <w:spacing w:after="160"/>
        <w:jc w:val="left"/>
      </w:pPr>
      <w:r>
        <w:rPr>
          <w:rFonts w:ascii="Calibri" w:cs="Calibri" w:eastAsia="Calibri" w:hAnsi="Calibri"/>
          <w:b/>
          <w:bCs/>
          <w:strike w:val="false"/>
        </w:rPr>
        <w:t xml:space="preserve">Merma</w:t>
      </w:r>
      <w:r>
        <w:rPr>
          <w:rFonts w:ascii="Calibri" w:cs="Calibri" w:eastAsia="Calibri" w:hAnsi="Calibri"/>
          <w:strike w:val="false"/>
        </w:rPr>
        <w:t xml:space="preserve"> = Inventario teórico − Inventario real. Si es positiva, se perdió más de lo esperado (desperdicio, error de receta, robo). Si es negativa, se vendió con menos cantidad de la que dice la receta (o hubo un error de conteo) — también hay que revisarlo, no solo las mermas positivas.</w:t>
      </w:r>
    </w:p>
    <w:p>
      <w:pPr>
        <w:spacing w:after="160"/>
        <w:jc w:val="left"/>
      </w:pPr>
      <w:r>
        <w:rPr>
          <w:rFonts w:ascii="Calibri" w:cs="Calibri" w:eastAsia="Calibri" w:hAnsi="Calibri"/>
          <w:b/>
          <w:bCs/>
          <w:strike w:val="false"/>
        </w:rPr>
        <w:t xml:space="preserve">% de merma</w:t>
      </w:r>
      <w:r>
        <w:rPr>
          <w:rFonts w:ascii="Calibri" w:cs="Calibri" w:eastAsia="Calibri" w:hAnsi="Calibri"/>
          <w:strike w:val="false"/>
        </w:rPr>
        <w:t xml:space="preserve"> = Merma ÷ Consumo esperado. Meta inicial provisional (a validar con datos reales): menos de 3-5% en perecederos, cercano a 0% en consumibles.</w:t>
      </w:r>
    </w:p>
    <w:p>
      <w:pPr>
        <w:pStyle w:val="Heading1"/>
        <w:pBdr>
          <w:bottom w:val="single" w:color="1F4E78" w:sz="6" w:space="4"/>
        </w:pBdr>
        <w:spacing w:after="120" w:before="300"/>
      </w:pPr>
      <w:r>
        <w:rPr>
          <w:rFonts w:ascii="Calibri" w:cs="Calibri" w:eastAsia="Calibri" w:hAnsi="Calibri"/>
          <w:b/>
          <w:bCs/>
          <w:strike w:val="false"/>
          <w:color w:val="1F4E78"/>
        </w:rPr>
        <w:t xml:space="preserve">5. Merma normal vs. merma anormal</w:t>
      </w:r>
    </w:p>
    <w:p>
      <w:pPr>
        <w:pStyle w:val="ListParagraph"/>
        <w:numPr>
          <w:ilvl w:val="0"/>
          <w:numId w:val="1"/>
        </w:numPr>
        <w:spacing w:after="60"/>
      </w:pPr>
      <w:r>
        <w:rPr>
          <w:rFonts w:ascii="Calibri" w:cs="Calibri" w:eastAsia="Calibri" w:hAnsi="Calibri"/>
          <w:b/>
          <w:bCs/>
          <w:strike w:val="false"/>
        </w:rPr>
        <w:t xml:space="preserve">Merma normal</w:t>
      </w:r>
      <w:r>
        <w:rPr>
          <w:rFonts w:ascii="Calibri" w:cs="Calibri" w:eastAsia="Calibri" w:hAnsi="Calibri"/>
          <w:strike w:val="false"/>
        </w:rPr>
        <w:t xml:space="preserve"> (esperada): recortes de vegetales al preparar, evaporación/cocción de la carne, pequeñas variaciones de porción. No requiere investigación individual, solo debe mantenerse dentro de la meta de la sección 4.</w:t>
      </w:r>
    </w:p>
    <w:p>
      <w:pPr>
        <w:pStyle w:val="ListParagraph"/>
        <w:numPr>
          <w:ilvl w:val="0"/>
          <w:numId w:val="1"/>
        </w:numPr>
        <w:spacing w:after="60"/>
      </w:pPr>
      <w:r>
        <w:rPr>
          <w:rFonts w:ascii="Calibri" w:cs="Calibri" w:eastAsia="Calibri" w:hAnsi="Calibri"/>
          <w:b/>
          <w:bCs/>
          <w:strike w:val="false"/>
        </w:rPr>
        <w:t xml:space="preserve">Merma anormal</w:t>
      </w:r>
      <w:r>
        <w:rPr>
          <w:rFonts w:ascii="Calibri" w:cs="Calibri" w:eastAsia="Calibri" w:hAnsi="Calibri"/>
          <w:strike w:val="false"/>
        </w:rPr>
        <w:t xml:space="preserve"> (no esperada): algo se dañó por mal almacenamiento, se botó por error, se preparó de más y no se vendió, o hay una diferencia que no se explica por ninguna de las anteriores. Esto </w:t>
      </w:r>
      <w:r>
        <w:rPr>
          <w:rFonts w:ascii="Calibri" w:cs="Calibri" w:eastAsia="Calibri" w:hAnsi="Calibri"/>
          <w:b/>
          <w:bCs/>
          <w:strike w:val="false"/>
        </w:rPr>
        <w:t xml:space="preserve">sí</w:t>
      </w:r>
      <w:r>
        <w:rPr>
          <w:rFonts w:ascii="Calibri" w:cs="Calibri" w:eastAsia="Calibri" w:hAnsi="Calibri"/>
          <w:strike w:val="false"/>
        </w:rPr>
        <w:t xml:space="preserve"> se investiga y se registra como incidencia (Manual de Apertura/Cierre, sección 3.5).</w:t>
      </w:r>
    </w:p>
    <w:p>
      <w:pPr>
        <w:spacing w:after="160"/>
        <w:jc w:val="left"/>
      </w:pPr>
      <w:r>
        <w:rPr>
          <w:rFonts w:ascii="Calibri" w:cs="Calibri" w:eastAsia="Calibri" w:hAnsi="Calibri"/>
          <w:strike w:val="false"/>
        </w:rPr>
        <w:t xml:space="preserve">Cuando la merma anormal se repite en el mismo insumo, es una señal de que algo está mal en la receta, en la compra, o en el proceso — no se ignora ni se vuelve "normal" por costumbre.</w:t>
      </w:r>
    </w:p>
    <w:p>
      <w:pPr>
        <w:pStyle w:val="Heading1"/>
        <w:pBdr>
          <w:bottom w:val="single" w:color="1F4E78" w:sz="6" w:space="4"/>
        </w:pBdr>
        <w:spacing w:after="120" w:before="300"/>
      </w:pPr>
      <w:r>
        <w:rPr>
          <w:rFonts w:ascii="Calibri" w:cs="Calibri" w:eastAsia="Calibri" w:hAnsi="Calibri"/>
          <w:b/>
          <w:bCs/>
          <w:strike w:val="false"/>
          <w:color w:val="1F4E78"/>
        </w:rPr>
        <w:t xml:space="preserve">6. Plantilla de conteo (usar cada vez que se cuenta)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000"/>
        <w:gridCol w:w="1000"/>
        <w:gridCol w:w="1000"/>
        <w:gridCol w:w="1000"/>
      </w:tblGrid>
      <w:tr>
        <w:trPr>
          <w:cantSplit/>
          <w:tblHeader/>
        </w:trPr>
        <w:tc>
          <w:tcPr>
            <w:tcW w:type="dxa" w:w="1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Insumo</w:t>
            </w:r>
          </w:p>
        </w:tc>
        <w:tc>
          <w:tcPr>
            <w:tcW w:type="dxa" w:w="1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Unidad</w:t>
            </w:r>
          </w:p>
        </w:tc>
        <w:tc>
          <w:tcPr>
            <w:tcW w:type="dxa" w:w="1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Inventario inicial</w:t>
            </w:r>
          </w:p>
        </w:tc>
        <w:tc>
          <w:tcPr>
            <w:tcW w:type="dxa" w:w="1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Compras del período</w:t>
            </w:r>
          </w:p>
        </w:tc>
        <w:tc>
          <w:tcPr>
            <w:tcW w:type="dxa" w:w="1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Consumo teórico (según ventas)</w:t>
            </w:r>
          </w:p>
        </w:tc>
        <w:tc>
          <w:tcPr>
            <w:tcW w:type="dxa" w:w="1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Inventario real contado</w:t>
            </w:r>
          </w:p>
        </w:tc>
        <w:tc>
          <w:tcPr>
            <w:tcW w:type="dxa" w:w="1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Merma</w:t>
            </w:r>
          </w:p>
        </w:tc>
        <w:tc>
          <w:tcPr>
            <w:tcW w:type="dxa" w:w="1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 merma</w:t>
            </w:r>
          </w:p>
        </w:tc>
        <w:tc>
          <w:tcPr>
            <w:tcW w:type="dxa" w:w="1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Nota</w:t>
            </w:r>
          </w:p>
        </w:tc>
      </w:tr>
      <w:tr>
        <w:trPr>
          <w:cantSplit/>
        </w:trPr>
        <w:tc>
          <w:tcPr>
            <w:tcW w:type="dxa" w:w="1000"/>
            <w:tcMar>
              <w:top w:type="dxa" w:w="80"/>
              <w:left w:type="dxa" w:w="100"/>
              <w:bottom w:type="dxa" w:w="80"/>
              <w:right w:type="dxa" w:w="100"/>
            </w:tcMar>
          </w:tcPr>
          <w:p>
            <w:r>
              <w:rPr>
                <w:rFonts w:ascii="Calibri" w:cs="Calibri" w:eastAsia="Calibri" w:hAnsi="Calibri"/>
                <w:strike w:val="false"/>
                <w:sz w:val="20"/>
                <w:szCs w:val="20"/>
              </w:rPr>
              <w:t xml:space="preserve">(ejemplo) Carne preparada</w:t>
            </w:r>
          </w:p>
        </w:tc>
        <w:tc>
          <w:tcPr>
            <w:tcW w:type="dxa" w:w="1000"/>
            <w:tcMar>
              <w:top w:type="dxa" w:w="80"/>
              <w:left w:type="dxa" w:w="100"/>
              <w:bottom w:type="dxa" w:w="80"/>
              <w:right w:type="dxa" w:w="100"/>
            </w:tcMar>
          </w:tcPr>
          <w:p>
            <w:r>
              <w:rPr>
                <w:rFonts w:ascii="Calibri" w:cs="Calibri" w:eastAsia="Calibri" w:hAnsi="Calibri"/>
                <w:strike w:val="false"/>
                <w:sz w:val="20"/>
                <w:szCs w:val="20"/>
              </w:rPr>
              <w:t xml:space="preserve">g</w:t>
            </w:r>
          </w:p>
        </w:tc>
        <w:tc>
          <w:tcPr>
            <w:tcW w:type="dxa" w:w="1000"/>
            <w:tcMar>
              <w:top w:type="dxa" w:w="80"/>
              <w:left w:type="dxa" w:w="100"/>
              <w:bottom w:type="dxa" w:w="80"/>
              <w:right w:type="dxa" w:w="100"/>
            </w:tcMar>
          </w:tcPr>
          <w:p>
            <w:r>
              <w:rPr>
                <w:rFonts w:ascii="Calibri" w:cs="Calibri" w:eastAsia="Calibri" w:hAnsi="Calibri"/>
                <w:strike w:val="false"/>
                <w:sz w:val="20"/>
                <w:szCs w:val="20"/>
              </w:rPr>
              <w:t xml:space="preserve"/>
            </w:r>
          </w:p>
        </w:tc>
        <w:tc>
          <w:tcPr>
            <w:tcW w:type="dxa" w:w="1000"/>
            <w:tcMar>
              <w:top w:type="dxa" w:w="80"/>
              <w:left w:type="dxa" w:w="100"/>
              <w:bottom w:type="dxa" w:w="80"/>
              <w:right w:type="dxa" w:w="100"/>
            </w:tcMar>
          </w:tcPr>
          <w:p>
            <w:r>
              <w:rPr>
                <w:rFonts w:ascii="Calibri" w:cs="Calibri" w:eastAsia="Calibri" w:hAnsi="Calibri"/>
                <w:strike w:val="false"/>
                <w:sz w:val="20"/>
                <w:szCs w:val="20"/>
              </w:rPr>
              <w:t xml:space="preserve"/>
            </w:r>
          </w:p>
        </w:tc>
        <w:tc>
          <w:tcPr>
            <w:tcW w:type="dxa" w:w="1000"/>
            <w:tcMar>
              <w:top w:type="dxa" w:w="80"/>
              <w:left w:type="dxa" w:w="100"/>
              <w:bottom w:type="dxa" w:w="80"/>
              <w:right w:type="dxa" w:w="100"/>
            </w:tcMar>
          </w:tcPr>
          <w:p>
            <w:r>
              <w:rPr>
                <w:rFonts w:ascii="Calibri" w:cs="Calibri" w:eastAsia="Calibri" w:hAnsi="Calibri"/>
                <w:strike w:val="false"/>
                <w:sz w:val="20"/>
                <w:szCs w:val="20"/>
              </w:rPr>
              <w:t xml:space="preserve"/>
            </w:r>
          </w:p>
        </w:tc>
        <w:tc>
          <w:tcPr>
            <w:tcW w:type="dxa" w:w="1000"/>
            <w:tcMar>
              <w:top w:type="dxa" w:w="80"/>
              <w:left w:type="dxa" w:w="100"/>
              <w:bottom w:type="dxa" w:w="80"/>
              <w:right w:type="dxa" w:w="100"/>
            </w:tcMar>
          </w:tcPr>
          <w:p>
            <w:r>
              <w:rPr>
                <w:rFonts w:ascii="Calibri" w:cs="Calibri" w:eastAsia="Calibri" w:hAnsi="Calibri"/>
                <w:strike w:val="false"/>
                <w:sz w:val="20"/>
                <w:szCs w:val="20"/>
              </w:rPr>
              <w:t xml:space="preserve"/>
            </w:r>
          </w:p>
        </w:tc>
        <w:tc>
          <w:tcPr>
            <w:tcW w:type="dxa" w:w="1000"/>
            <w:tcMar>
              <w:top w:type="dxa" w:w="80"/>
              <w:left w:type="dxa" w:w="100"/>
              <w:bottom w:type="dxa" w:w="80"/>
              <w:right w:type="dxa" w:w="100"/>
            </w:tcMar>
          </w:tcPr>
          <w:p>
            <w:r>
              <w:rPr>
                <w:rFonts w:ascii="Calibri" w:cs="Calibri" w:eastAsia="Calibri" w:hAnsi="Calibri"/>
                <w:strike w:val="false"/>
                <w:sz w:val="20"/>
                <w:szCs w:val="20"/>
              </w:rPr>
              <w:t xml:space="preserve"/>
            </w:r>
          </w:p>
        </w:tc>
        <w:tc>
          <w:tcPr>
            <w:tcW w:type="dxa" w:w="1000"/>
            <w:tcMar>
              <w:top w:type="dxa" w:w="80"/>
              <w:left w:type="dxa" w:w="100"/>
              <w:bottom w:type="dxa" w:w="80"/>
              <w:right w:type="dxa" w:w="100"/>
            </w:tcMar>
          </w:tcPr>
          <w:p>
            <w:r>
              <w:rPr>
                <w:rFonts w:ascii="Calibri" w:cs="Calibri" w:eastAsia="Calibri" w:hAnsi="Calibri"/>
                <w:strike w:val="false"/>
                <w:sz w:val="20"/>
                <w:szCs w:val="20"/>
              </w:rPr>
              <w:t xml:space="preserve"/>
            </w:r>
          </w:p>
        </w:tc>
        <w:tc>
          <w:tcPr>
            <w:tcW w:type="dxa" w:w="1000"/>
            <w:tcMar>
              <w:top w:type="dxa" w:w="80"/>
              <w:left w:type="dxa" w:w="100"/>
              <w:bottom w:type="dxa" w:w="80"/>
              <w:right w:type="dxa" w:w="100"/>
            </w:tcMar>
          </w:tcPr>
          <w:p>
            <w:r>
              <w:rPr>
                <w:rFonts w:ascii="Calibri" w:cs="Calibri" w:eastAsia="Calibri" w:hAnsi="Calibri"/>
                <w:strike w:val="false"/>
                <w:sz w:val="20"/>
                <w:szCs w:val="20"/>
              </w:rPr>
              <w:t xml:space="preserve"/>
            </w:r>
          </w:p>
        </w:tc>
      </w:tr>
    </w:tbl>
    <w:p>
      <w:pPr>
        <w:spacing w:after="200"/>
      </w:pPr>
    </w:p>
    <w:p>
      <w:pPr>
        <w:spacing w:after="160"/>
        <w:jc w:val="left"/>
      </w:pPr>
      <w:r>
        <w:rPr>
          <w:rFonts w:ascii="Calibri" w:cs="Calibri" w:eastAsia="Calibri" w:hAnsi="Calibri"/>
          <w:strike w:val="false"/>
        </w:rPr>
        <w:t xml:space="preserve">El "consumo teórico" se calcula multiplicando las hamburguesas vendidas de cada tipo (registradas en el cierre diario) por la cantidad de ese insumo según la hoja Food Cost del Excel — el mismo cálculo que ya usa Compras Mensuales, pero con ventas reales en vez del escenario de 520/mes.</w:t>
      </w:r>
    </w:p>
    <w:p>
      <w:pPr>
        <w:pStyle w:val="Heading1"/>
        <w:pBdr>
          <w:bottom w:val="single" w:color="1F4E78" w:sz="6" w:space="4"/>
        </w:pBdr>
        <w:spacing w:after="120" w:before="300"/>
      </w:pPr>
      <w:r>
        <w:rPr>
          <w:rFonts w:ascii="Calibri" w:cs="Calibri" w:eastAsia="Calibri" w:hAnsi="Calibri"/>
          <w:b/>
          <w:bCs/>
          <w:strike w:val="false"/>
          <w:color w:val="1F4E78"/>
        </w:rPr>
        <w:t xml:space="preserve">7. Quién cuenta y verifica</w:t>
      </w:r>
    </w:p>
    <w:p>
      <w:pPr>
        <w:spacing w:after="160"/>
        <w:jc w:val="left"/>
      </w:pPr>
      <w:r>
        <w:rPr>
          <w:rFonts w:ascii="Calibri" w:cs="Calibri" w:eastAsia="Calibri" w:hAnsi="Calibri"/>
          <w:strike w:val="false"/>
        </w:rPr>
        <w:t xml:space="preserve">Mientras el negocio sea de un solo responsable, Diego cuenta y registra. Cuando haya personal de cocina o de compras, se recomienda que </w:t>
      </w:r>
      <w:r>
        <w:rPr>
          <w:rFonts w:ascii="Calibri" w:cs="Calibri" w:eastAsia="Calibri" w:hAnsi="Calibri"/>
          <w:b/>
          <w:bCs/>
          <w:strike w:val="false"/>
        </w:rPr>
        <w:t xml:space="preserve">quien compra no sea la misma persona que cuenta el inventario</w:t>
      </w:r>
      <w:r>
        <w:rPr>
          <w:rFonts w:ascii="Calibri" w:cs="Calibri" w:eastAsia="Calibri" w:hAnsi="Calibri"/>
          <w:strike w:val="false"/>
        </w:rPr>
        <w:t xml:space="preserve"> (control cruzado) — no por desconfianza automática, sino porque es la forma estándar de detectar errores o fugas a tiempo, en cualquier negocio.</w:t>
      </w:r>
    </w:p>
    <w:p>
      <w:pPr>
        <w:pStyle w:val="Heading1"/>
        <w:pBdr>
          <w:bottom w:val="single" w:color="1F4E78" w:sz="6" w:space="4"/>
        </w:pBdr>
        <w:spacing w:after="120" w:before="300"/>
      </w:pPr>
      <w:r>
        <w:rPr>
          <w:rFonts w:ascii="Calibri" w:cs="Calibri" w:eastAsia="Calibri" w:hAnsi="Calibri"/>
          <w:b/>
          <w:bCs/>
          <w:strike w:val="false"/>
          <w:color w:val="1F4E78"/>
        </w:rPr>
        <w:t xml:space="preserve">8. Qué hacer con las alertas de inventario</w:t>
      </w:r>
    </w:p>
    <w:p>
      <w:pPr>
        <w:pStyle w:val="ListParagraph"/>
        <w:numPr>
          <w:ilvl w:val="0"/>
          <w:numId w:val="1"/>
        </w:numPr>
        <w:spacing w:after="60"/>
      </w:pPr>
      <w:r>
        <w:rPr>
          <w:rFonts w:ascii="Calibri" w:cs="Calibri" w:eastAsia="Calibri" w:hAnsi="Calibri"/>
          <w:b/>
          <w:bCs/>
          <w:strike w:val="false"/>
        </w:rPr>
        <w:t xml:space="preserve">Faltante recurrente</w:t>
      </w:r>
      <w:r>
        <w:rPr>
          <w:rFonts w:ascii="Calibri" w:cs="Calibri" w:eastAsia="Calibri" w:hAnsi="Calibri"/>
          <w:strike w:val="false"/>
        </w:rPr>
        <w:t xml:space="preserve"> (inventario real siempre por debajo del teórico en el mismo insumo): revisar si las porciones que se están sirviendo son más grandes que la receta, si hay error de registro de ventas, o si hay una fuga. Se aplica también a lo que ya se corrigió una vez en el Excel (cebolla caramelizada) — si vuelve a faltar, la receta base sigue mal calibrada.</w:t>
      </w:r>
    </w:p>
    <w:p>
      <w:pPr>
        <w:pStyle w:val="ListParagraph"/>
        <w:numPr>
          <w:ilvl w:val="0"/>
          <w:numId w:val="1"/>
        </w:numPr>
        <w:spacing w:after="60"/>
      </w:pPr>
      <w:r>
        <w:rPr>
          <w:rFonts w:ascii="Calibri" w:cs="Calibri" w:eastAsia="Calibri" w:hAnsi="Calibri"/>
          <w:b/>
          <w:bCs/>
          <w:strike w:val="false"/>
        </w:rPr>
        <w:t xml:space="preserve">Sobrante recurrente</w:t>
      </w:r>
      <w:r>
        <w:rPr>
          <w:rFonts w:ascii="Calibri" w:cs="Calibri" w:eastAsia="Calibri" w:hAnsi="Calibri"/>
          <w:strike w:val="false"/>
        </w:rPr>
        <w:t xml:space="preserve"> (inventario real siempre por encima del teórico): probablemente se está comprando de más — revisar la Política de Compras (frecuencia y cantidad mínima) antes de seguir comprando igual.</w:t>
      </w:r>
    </w:p>
    <w:p>
      <w:pPr>
        <w:pStyle w:val="ListParagraph"/>
        <w:numPr>
          <w:ilvl w:val="0"/>
          <w:numId w:val="1"/>
        </w:numPr>
        <w:spacing w:after="60"/>
      </w:pPr>
      <w:r>
        <w:rPr>
          <w:rFonts w:ascii="Calibri" w:cs="Calibri" w:eastAsia="Calibri" w:hAnsi="Calibri"/>
          <w:b/>
          <w:bCs/>
          <w:strike w:val="false"/>
        </w:rPr>
        <w:t xml:space="preserve">Insumo crítico bajo mínimos</w:t>
      </w:r>
      <w:r>
        <w:rPr>
          <w:rFonts w:ascii="Calibri" w:cs="Calibri" w:eastAsia="Calibri" w:hAnsi="Calibri"/>
          <w:strike w:val="false"/>
        </w:rPr>
        <w:t xml:space="preserve">: se activa la regla de la Política de Compras (sección 3): si queda para menos de 2 días de servicio, se compra ese mismo día.</w:t>
      </w:r>
    </w:p>
    <w:p>
      <w:pPr>
        <w:pStyle w:val="Heading1"/>
        <w:pBdr>
          <w:bottom w:val="single" w:color="1F4E78" w:sz="6" w:space="4"/>
        </w:pBdr>
        <w:spacing w:after="120" w:before="300"/>
      </w:pPr>
      <w:r>
        <w:rPr>
          <w:rFonts w:ascii="Calibri" w:cs="Calibri" w:eastAsia="Calibri" w:hAnsi="Calibri"/>
          <w:b/>
          <w:bCs/>
          <w:strike w:val="false"/>
          <w:color w:val="1F4E78"/>
        </w:rPr>
        <w:t xml:space="preserve">9. Revisión de este documento</w:t>
      </w:r>
    </w:p>
    <w:p>
      <w:pPr>
        <w:spacing w:after="160"/>
        <w:jc w:val="left"/>
      </w:pPr>
      <w:r>
        <w:rPr>
          <w:rFonts w:ascii="Calibri" w:cs="Calibri" w:eastAsia="Calibri" w:hAnsi="Calibri"/>
          <w:strike w:val="false"/>
        </w:rPr>
        <w:t xml:space="preserve">Esta es la versión 1, construida antes de tener datos reales de operación. Debe revisarse formalmente después de las primeras 4 semanas de venta real, cuando ya existan datos reales de merma por insumo — igual que la Política de Compras, la Política de Distribución del Dinero y el Manual de Apertura/Cierre.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Pixel Burger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Control de Inventario — Pixel Burger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2026-09-15T03:53:44.556Z</dcterms:created>
  <dcterms:modified xsi:type="dcterms:W3CDTF">2026-09-15T03:53:44.556Z</dcterms:modified>
</cp:coreProperties>
</file>

<file path=docProps/custom.xml><?xml version="1.0" encoding="utf-8"?>
<Properties xmlns="http://schemas.openxmlformats.org/officeDocument/2006/custom-properties" xmlns:vt="http://schemas.openxmlformats.org/officeDocument/2006/docPropsVTypes"/>
</file>