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strike w:val="false"/>
          <w:color w:val="1F4E78"/>
        </w:rPr>
        <w:t xml:space="preserve">Domicilios — Pixel Burger</w:t>
      </w:r>
    </w:p>
    <w:p>
      <w:pPr>
        <w:spacing w:after="200"/>
      </w:pPr>
      <w:r>
        <w:rPr>
          <w:rFonts w:ascii="Calibri" w:cs="Calibri" w:eastAsia="Calibri" w:hAnsi="Calibri"/>
          <w:i/>
          <w:iCs/>
          <w:strike w:val="false"/>
          <w:color w:val="595959"/>
          <w:sz w:val="20"/>
          <w:szCs w:val="20"/>
        </w:rPr>
        <w:t xml:space="preserve">Versión 1 — borrador de trabajo, 2026-09-15. Se ajusta con datos reales una vez el negocio esté operando (ver Etapa 1 del Documento Maestro). No repite lo que ya está definido en Estándares de Servicio (flujo general de un pedido a domicilio, tiempos objetivo, toma de pedido, manejo de quejas) ni en Manejo de Caja (cómo se cobra y se cuadra el efectivo del domiciliario): este documento cubre lo específico de operar la moto y la ruta — zonificación, coordinación en horas pico, y qué hacer cuando algo falla.</w:t>
      </w:r>
    </w:p>
    <w:p>
      <w:pPr>
        <w:pStyle w:val="Heading1"/>
        <w:pBdr>
          <w:bottom w:val="single" w:color="1F4E78" w:sz="6" w:space="4"/>
        </w:pBdr>
        <w:spacing w:after="120" w:before="300"/>
      </w:pPr>
      <w:r>
        <w:rPr>
          <w:rFonts w:ascii="Calibri" w:cs="Calibri" w:eastAsia="Calibri" w:hAnsi="Calibri"/>
          <w:b/>
          <w:bCs/>
          <w:strike w:val="false"/>
          <w:color w:val="1F4E78"/>
        </w:rPr>
        <w:t xml:space="preserve">0. Propósito y alcance</w:t>
      </w:r>
    </w:p>
    <w:p>
      <w:pPr>
        <w:spacing w:after="160"/>
        <w:jc w:val="left"/>
      </w:pPr>
      <w:r>
        <w:rPr>
          <w:rFonts w:ascii="Calibri" w:cs="Calibri" w:eastAsia="Calibri" w:hAnsi="Calibri"/>
          <w:strike w:val="false"/>
        </w:rPr>
        <w:t xml:space="preserve">El negocio se apalanca principalmente en domicilios (Documento Maestro, sección 1): existe una parrilla dedicada y se está comprando una moto para esto. Ese canal necesita reglas propias de operación, más allá del estándar de servicio (qué tan bien se atiende) y del manejo de caja (cómo se cobra): cuánto territorio cubrir, cómo se organiza la cocina cuando hay varios domicilios y clientes de mostrador al tiempo, y qué se hace cuando la moto, el domiciliario o el tiempo de entrega no cooperan.</w:t>
      </w:r>
    </w:p>
    <w:p>
      <w:pPr>
        <w:pStyle w:val="Heading1"/>
        <w:pBdr>
          <w:bottom w:val="single" w:color="1F4E78" w:sz="6" w:space="4"/>
        </w:pBdr>
        <w:spacing w:after="120" w:before="300"/>
      </w:pPr>
      <w:r>
        <w:rPr>
          <w:rFonts w:ascii="Calibri" w:cs="Calibri" w:eastAsia="Calibri" w:hAnsi="Calibri"/>
          <w:b/>
          <w:bCs/>
          <w:strike w:val="false"/>
          <w:color w:val="1F4E78"/>
        </w:rPr>
        <w:t xml:space="preserve">1. Radio de cobertura y zonificación</w:t>
      </w:r>
    </w:p>
    <w:p>
      <w:pPr>
        <w:pStyle w:val="ListParagraph"/>
        <w:numPr>
          <w:ilvl w:val="0"/>
          <w:numId w:val="1"/>
        </w:numPr>
        <w:spacing w:after="60"/>
      </w:pPr>
      <w:r>
        <w:rPr>
          <w:rFonts w:ascii="Calibri" w:cs="Calibri" w:eastAsia="Calibri" w:hAnsi="Calibri"/>
          <w:strike w:val="false"/>
        </w:rPr>
        <w:t xml:space="preserve">Estándares de Servicio (sección 1.1) ya señaló el problema: prometer una zona más grande de la que la moto puede cubrir en un tiempo razonable genera quejas por demora. Este documento es donde se fija esa zona en concreto.</w:t>
      </w:r>
    </w:p>
    <w:p>
      <w:pPr>
        <w:pStyle w:val="ListParagraph"/>
        <w:numPr>
          <w:ilvl w:val="0"/>
          <w:numId w:val="1"/>
        </w:numPr>
        <w:spacing w:after="60"/>
      </w:pPr>
      <w:r>
        <w:rPr>
          <w:rFonts w:ascii="Calibri" w:cs="Calibri" w:eastAsia="Calibri" w:hAnsi="Calibri"/>
          <w:b/>
          <w:bCs/>
          <w:strike w:val="false"/>
        </w:rPr>
        <w:t xml:space="preserve">[Pendiente de definir]</w:t>
      </w:r>
      <w:r>
        <w:rPr>
          <w:rFonts w:ascii="Calibri" w:cs="Calibri" w:eastAsia="Calibri" w:hAnsi="Calibri"/>
          <w:strike w:val="false"/>
        </w:rPr>
        <w:t xml:space="preserve">: el radio de cobertura exacto (por distancia, por barrio, o por tiempo estimado de trayecto). Conviene arrancar con una zona conservadora — la que la moto pueda cubrir con margen incluso en hora pico — y ampliarla después con datos reales de cuántos domicilios se están rechazando o demorando por estar en el límite.</w:t>
      </w:r>
    </w:p>
    <w:p>
      <w:pPr>
        <w:pStyle w:val="ListParagraph"/>
        <w:numPr>
          <w:ilvl w:val="0"/>
          <w:numId w:val="1"/>
        </w:numPr>
        <w:spacing w:after="60"/>
      </w:pPr>
      <w:r>
        <w:rPr>
          <w:rFonts w:ascii="Calibri" w:cs="Calibri" w:eastAsia="Calibri" w:hAnsi="Calibri"/>
          <w:b/>
          <w:bCs/>
          <w:strike w:val="false"/>
        </w:rPr>
        <w:t xml:space="preserve">[Pendiente de definir]</w:t>
      </w:r>
      <w:r>
        <w:rPr>
          <w:rFonts w:ascii="Calibri" w:cs="Calibri" w:eastAsia="Calibri" w:hAnsi="Calibri"/>
          <w:strike w:val="false"/>
        </w:rPr>
        <w:t xml:space="preserve">: si se acepta un domicilio fuera del radio normal cuando no hay más pedidos pendientes (criterio flexible) o si el radio es una regla fija sin excepciones. Se decide una vez haya un radio base fijado.</w:t>
      </w:r>
    </w:p>
    <w:p>
      <w:pPr>
        <w:pStyle w:val="ListParagraph"/>
        <w:numPr>
          <w:ilvl w:val="0"/>
          <w:numId w:val="1"/>
        </w:numPr>
        <w:spacing w:after="60"/>
      </w:pPr>
      <w:r>
        <w:rPr>
          <w:rFonts w:ascii="Calibri" w:cs="Calibri" w:eastAsia="Calibri" w:hAnsi="Calibri"/>
          <w:strike w:val="false"/>
        </w:rPr>
        <w:t xml:space="preserve">Una vez definida, la zona se debe poder comunicar de forma simple al cliente (ej. un mapa de referencia o una lista de barrios cubiertos) para no prometer una entrega que no se puede cumplir.</w:t>
      </w:r>
    </w:p>
    <w:p>
      <w:pPr>
        <w:pStyle w:val="Heading1"/>
        <w:pBdr>
          <w:bottom w:val="single" w:color="1F4E78" w:sz="6" w:space="4"/>
        </w:pBdr>
        <w:spacing w:after="120" w:before="300"/>
      </w:pPr>
      <w:r>
        <w:rPr>
          <w:rFonts w:ascii="Calibri" w:cs="Calibri" w:eastAsia="Calibri" w:hAnsi="Calibri"/>
          <w:b/>
          <w:bCs/>
          <w:strike w:val="false"/>
          <w:color w:val="1F4E78"/>
        </w:rPr>
        <w:t xml:space="preserve">2. Flujo operativo de un pedido a domicilio</w:t>
      </w:r>
    </w:p>
    <w:p>
      <w:pPr>
        <w:spacing w:after="160"/>
        <w:jc w:val="left"/>
      </w:pPr>
      <w:r>
        <w:rPr>
          <w:rFonts w:ascii="Calibri" w:cs="Calibri" w:eastAsia="Calibri" w:hAnsi="Calibri"/>
          <w:strike w:val="false"/>
        </w:rPr>
        <w:t xml:space="preserve">El flujo cliente-a-cliente ya está en Estándares de Servicio (secciones 1.1, 3 y 4.1): toma de pedido → confirmación → preparación → entrega → cobro/confirmación. Aquí se detalla la coordinación </w:t>
      </w:r>
      <w:r>
        <w:rPr>
          <w:rFonts w:ascii="Calibri" w:cs="Calibri" w:eastAsia="Calibri" w:hAnsi="Calibri"/>
          <w:b/>
          <w:bCs/>
          <w:strike w:val="false"/>
        </w:rPr>
        <w:t xml:space="preserve">interna</w:t>
      </w:r>
      <w:r>
        <w:rPr>
          <w:rFonts w:ascii="Calibri" w:cs="Calibri" w:eastAsia="Calibri" w:hAnsi="Calibri"/>
          <w:strike w:val="false"/>
        </w:rPr>
        <w:t xml:space="preserve"> entre cocina y domiciliario:</w:t>
      </w:r>
    </w:p>
    <w:p>
      <w:pPr>
        <w:pStyle w:val="ListParagraph"/>
        <w:numPr>
          <w:ilvl w:val="0"/>
          <w:numId w:val="2"/>
        </w:numPr>
        <w:spacing w:after="60"/>
      </w:pPr>
      <w:r>
        <w:rPr>
          <w:rFonts w:ascii="Calibri" w:cs="Calibri" w:eastAsia="Calibri" w:hAnsi="Calibri"/>
          <w:strike w:val="false"/>
        </w:rPr>
        <w:t xml:space="preserve">En cuanto se toma el pedido, se le informa a cocina (verbalmente o por el medio que se use para tomar pedidos) para que empiece a preparar sin esperar a que el domiciliario esté libre — el tiempo de preparación y el tiempo de la moto no tienen que ser secuenciales si el domiciliario está ocupado con otra entrega.</w:t>
      </w:r>
    </w:p>
    <w:p>
      <w:pPr>
        <w:pStyle w:val="ListParagraph"/>
        <w:numPr>
          <w:ilvl w:val="0"/>
          <w:numId w:val="2"/>
        </w:numPr>
        <w:spacing w:after="60"/>
      </w:pPr>
      <w:r>
        <w:rPr>
          <w:rFonts w:ascii="Calibri" w:cs="Calibri" w:eastAsia="Calibri" w:hAnsi="Calibri"/>
          <w:strike w:val="false"/>
        </w:rPr>
        <w:t xml:space="preserve">Cocina avisa cuando el pedido está listo para salir — no se debe hacer esperar al domiciliario ya listo, ni sacar el pedido antes de que esté completo y verificado (Estándares de Servicio, sección 4.1: "verificar que el pedido esté completo... antes de que el domiciliario salga").</w:t>
      </w:r>
    </w:p>
    <w:p>
      <w:pPr>
        <w:pStyle w:val="ListParagraph"/>
        <w:numPr>
          <w:ilvl w:val="0"/>
          <w:numId w:val="2"/>
        </w:numPr>
        <w:spacing w:after="60"/>
      </w:pPr>
      <w:r>
        <w:rPr>
          <w:rFonts w:ascii="Calibri" w:cs="Calibri" w:eastAsia="Calibri" w:hAnsi="Calibri"/>
          <w:strike w:val="false"/>
        </w:rPr>
        <w:t xml:space="preserve">El domiciliario confirma la dirección y el medio de pago antes de salir (ya cubierto en Estándares de Servicio y Manejo de Caja) — no se sale a confirmar esos datos en el camino.</w:t>
      </w:r>
    </w:p>
    <w:p>
      <w:pPr>
        <w:pStyle w:val="ListParagraph"/>
        <w:numPr>
          <w:ilvl w:val="0"/>
          <w:numId w:val="2"/>
        </w:numPr>
        <w:spacing w:after="60"/>
      </w:pPr>
      <w:r>
        <w:rPr>
          <w:rFonts w:ascii="Calibri" w:cs="Calibri" w:eastAsia="Calibri" w:hAnsi="Calibri"/>
          <w:strike w:val="false"/>
        </w:rPr>
        <w:t xml:space="preserve">Al volver, el domiciliario entrega el dinero cobrado (si fue en efectivo) de inmediato al lugar designado de caja (Manejo de Caja, sección 2.1) — no se queda circulando fuera de caja hasta el cierre.</w:t>
      </w:r>
    </w:p>
    <w:p>
      <w:pPr>
        <w:pStyle w:val="Heading1"/>
        <w:pBdr>
          <w:bottom w:val="single" w:color="1F4E78" w:sz="6" w:space="4"/>
        </w:pBdr>
        <w:spacing w:after="120" w:before="300"/>
      </w:pPr>
      <w:r>
        <w:rPr>
          <w:rFonts w:ascii="Calibri" w:cs="Calibri" w:eastAsia="Calibri" w:hAnsi="Calibri"/>
          <w:b/>
          <w:bCs/>
          <w:strike w:val="false"/>
          <w:color w:val="1F4E78"/>
        </w:rPr>
        <w:t xml:space="preserve">3. Coordinación en horas pico (varios domicilios + mostrador al tiempo)</w:t>
      </w:r>
    </w:p>
    <w:p>
      <w:pPr>
        <w:pStyle w:val="ListParagraph"/>
        <w:numPr>
          <w:ilvl w:val="0"/>
          <w:numId w:val="1"/>
        </w:numPr>
        <w:spacing w:after="60"/>
      </w:pPr>
      <w:r>
        <w:rPr>
          <w:rFonts w:ascii="Calibri" w:cs="Calibri" w:eastAsia="Calibri" w:hAnsi="Calibri"/>
          <w:strike w:val="false"/>
        </w:rPr>
        <w:t xml:space="preserve">Con un solo domiciliario y una sola moto, en horas pico puede haber más pedidos de domicilio de los que la moto puede entregar de inmediato, además de clientes en el mostrador (Documento Maestro, sección 1 y Estándares de Servicio, sección 1.2: el local no se cierra a atender clientes que llegan directamente).</w:t>
      </w:r>
    </w:p>
    <w:p>
      <w:pPr>
        <w:pStyle w:val="ListParagraph"/>
        <w:numPr>
          <w:ilvl w:val="0"/>
          <w:numId w:val="1"/>
        </w:numPr>
        <w:spacing w:after="60"/>
      </w:pPr>
      <w:r>
        <w:rPr>
          <w:rFonts w:ascii="Calibri" w:cs="Calibri" w:eastAsia="Calibri" w:hAnsi="Calibri"/>
          <w:strike w:val="false"/>
        </w:rPr>
        <w:t xml:space="preserve">Regla base: </w:t>
      </w:r>
      <w:r>
        <w:rPr>
          <w:rFonts w:ascii="Calibri" w:cs="Calibri" w:eastAsia="Calibri" w:hAnsi="Calibri"/>
          <w:b/>
          <w:bCs/>
          <w:strike w:val="false"/>
        </w:rPr>
        <w:t xml:space="preserve">no se sacrifica la calidad ni el tiempo de un canal por atender al otro sin avisar</w:t>
      </w:r>
      <w:r>
        <w:rPr>
          <w:rFonts w:ascii="Calibri" w:cs="Calibri" w:eastAsia="Calibri" w:hAnsi="Calibri"/>
          <w:strike w:val="false"/>
        </w:rPr>
        <w:t xml:space="preserve"> — si un domicilio se va a demorar más porque hay varios pedidos en cola, se le avisa al cliente proactivamente (Estándares de Servicio, sección 7), en vez de dejar que lo note por la demora.</w:t>
      </w:r>
    </w:p>
    <w:p>
      <w:pPr>
        <w:pStyle w:val="ListParagraph"/>
        <w:numPr>
          <w:ilvl w:val="0"/>
          <w:numId w:val="1"/>
        </w:numPr>
        <w:spacing w:after="60"/>
      </w:pPr>
      <w:r>
        <w:rPr>
          <w:rFonts w:ascii="Calibri" w:cs="Calibri" w:eastAsia="Calibri" w:hAnsi="Calibri"/>
          <w:b/>
          <w:bCs/>
          <w:strike w:val="false"/>
        </w:rPr>
        <w:t xml:space="preserve">[Pendiente de definir]</w:t>
      </w:r>
      <w:r>
        <w:rPr>
          <w:rFonts w:ascii="Calibri" w:cs="Calibri" w:eastAsia="Calibri" w:hAnsi="Calibri"/>
          <w:strike w:val="false"/>
        </w:rPr>
        <w:t xml:space="preserve">: si en hora pico se agrupan varios domicilios en una sola salida de la moto (ruta con más de una entrega) cuando las direcciones son cercanas, o si cada domicilio sale por separado. Agrupar ahorra tiempo total de moto, pero alarga el tiempo de entrega del primer pedido de la ruta — se decide con datos reales de cuántos pedidos simultáneos son normales en hora pico.</w:t>
      </w:r>
    </w:p>
    <w:p>
      <w:pPr>
        <w:pStyle w:val="ListParagraph"/>
        <w:numPr>
          <w:ilvl w:val="0"/>
          <w:numId w:val="1"/>
        </w:numPr>
        <w:spacing w:after="60"/>
      </w:pPr>
      <w:r>
        <w:rPr>
          <w:rFonts w:ascii="Calibri" w:cs="Calibri" w:eastAsia="Calibri" w:hAnsi="Calibri"/>
          <w:strike w:val="false"/>
        </w:rPr>
        <w:t xml:space="preserve">Si cocina tiene pedidos de mostrador y de domicilio en cola al mismo tiempo, se preparan en el orden en que llegaron, salvo que uno esté a punto de vencer su tiempo estimado prometido — no hay un canal que salte la fila por defecto.</w:t>
      </w:r>
    </w:p>
    <w:p>
      <w:pPr>
        <w:pStyle w:val="Heading1"/>
        <w:pBdr>
          <w:bottom w:val="single" w:color="1F4E78" w:sz="6" w:space="4"/>
        </w:pBdr>
        <w:spacing w:after="120" w:before="300"/>
      </w:pPr>
      <w:r>
        <w:rPr>
          <w:rFonts w:ascii="Calibri" w:cs="Calibri" w:eastAsia="Calibri" w:hAnsi="Calibri"/>
          <w:b/>
          <w:bCs/>
          <w:strike w:val="false"/>
          <w:color w:val="1F4E78"/>
        </w:rPr>
        <w:t xml:space="preserve">4. Protocolo si la moto falla o se demora</w:t>
      </w:r>
    </w:p>
    <w:p>
      <w:pPr>
        <w:pStyle w:val="ListParagraph"/>
        <w:numPr>
          <w:ilvl w:val="0"/>
          <w:numId w:val="1"/>
        </w:numPr>
        <w:spacing w:after="60"/>
      </w:pPr>
      <w:r>
        <w:rPr>
          <w:rFonts w:ascii="Calibri" w:cs="Calibri" w:eastAsia="Calibri" w:hAnsi="Calibri"/>
          <w:b/>
          <w:bCs/>
          <w:strike w:val="false"/>
        </w:rPr>
        <w:t xml:space="preserve">Falla mecánica o pinchazo en ruta</w:t>
      </w:r>
      <w:r>
        <w:rPr>
          <w:rFonts w:ascii="Calibri" w:cs="Calibri" w:eastAsia="Calibri" w:hAnsi="Calibri"/>
          <w:strike w:val="false"/>
        </w:rPr>
        <w:t xml:space="preserve">: el domiciliario avisa de inmediato (no espera a resolverlo solo) para que el local pueda informarle al cliente que habrá una demora, en vez de que el cliente llame primero a preguntar.</w:t>
      </w:r>
    </w:p>
    <w:p>
      <w:pPr>
        <w:pStyle w:val="ListParagraph"/>
        <w:numPr>
          <w:ilvl w:val="0"/>
          <w:numId w:val="1"/>
        </w:numPr>
        <w:spacing w:after="60"/>
      </w:pPr>
      <w:r>
        <w:rPr>
          <w:rFonts w:ascii="Calibri" w:cs="Calibri" w:eastAsia="Calibri" w:hAnsi="Calibri"/>
          <w:b/>
          <w:bCs/>
          <w:strike w:val="false"/>
        </w:rPr>
        <w:t xml:space="preserve">[Pendiente de definir]</w:t>
      </w:r>
      <w:r>
        <w:rPr>
          <w:rFonts w:ascii="Calibri" w:cs="Calibri" w:eastAsia="Calibri" w:hAnsi="Calibri"/>
          <w:strike w:val="false"/>
        </w:rPr>
        <w:t xml:space="preserve">: un plan alterno de entrega mientras la moto está fuera de servicio (por ejemplo, un domicilio a pie/bicicleta para distancias cortas, un taxi/mototaxi ocasional para un pedido puntual, o simplemente pausar temporalmente los domicilios y avisar a los clientes en espera). Se define según qué tan seguido ocurra esto en la operación real.</w:t>
      </w:r>
    </w:p>
    <w:p>
      <w:pPr>
        <w:pStyle w:val="ListParagraph"/>
        <w:numPr>
          <w:ilvl w:val="0"/>
          <w:numId w:val="1"/>
        </w:numPr>
        <w:spacing w:after="60"/>
      </w:pPr>
      <w:r>
        <w:rPr>
          <w:rFonts w:ascii="Calibri" w:cs="Calibri" w:eastAsia="Calibri" w:hAnsi="Calibri"/>
          <w:b/>
          <w:bCs/>
          <w:strike w:val="false"/>
        </w:rPr>
        <w:t xml:space="preserve">Mantenimiento correctivo mayor</w:t>
      </w:r>
      <w:r>
        <w:rPr>
          <w:rFonts w:ascii="Calibri" w:cs="Calibri" w:eastAsia="Calibri" w:hAnsi="Calibri"/>
          <w:strike w:val="false"/>
        </w:rPr>
        <w:t xml:space="preserve"> (la moto queda fuera de servicio por más de un día): se cubre con el </w:t>
      </w:r>
      <w:r>
        <w:rPr>
          <w:rFonts w:ascii="Calibri" w:cs="Calibri" w:eastAsia="Calibri" w:hAnsi="Calibri"/>
          <w:b/>
          <w:bCs/>
          <w:strike w:val="false"/>
        </w:rPr>
        <w:t xml:space="preserve">Fondo de Mantenimiento</w:t>
      </w:r>
      <w:r>
        <w:rPr>
          <w:rFonts w:ascii="Calibri" w:cs="Calibri" w:eastAsia="Calibri" w:hAnsi="Calibri"/>
          <w:strike w:val="false"/>
        </w:rPr>
        <w:t xml:space="preserve"> (Política de Distribución del Dinero, sección 3 — $150.000/mes, con montos de referencia de reparaciones de moto de hasta $600.000). No se paga de la caja del día ni de la utilidad acumulada sin registrarlo como uso del fondo.</w:t>
      </w:r>
    </w:p>
    <w:p>
      <w:pPr>
        <w:pStyle w:val="ListParagraph"/>
        <w:numPr>
          <w:ilvl w:val="0"/>
          <w:numId w:val="1"/>
        </w:numPr>
        <w:spacing w:after="60"/>
      </w:pPr>
      <w:r>
        <w:rPr>
          <w:rFonts w:ascii="Calibri" w:cs="Calibri" w:eastAsia="Calibri" w:hAnsi="Calibri"/>
          <w:b/>
          <w:bCs/>
          <w:strike w:val="false"/>
        </w:rPr>
        <w:t xml:space="preserve">Mantenimiento preventivo</w:t>
      </w:r>
      <w:r>
        <w:rPr>
          <w:rFonts w:ascii="Calibri" w:cs="Calibri" w:eastAsia="Calibri" w:hAnsi="Calibri"/>
          <w:strike w:val="false"/>
        </w:rPr>
        <w:t xml:space="preserve"> (cambio de aceite, revisión de frenos, llantas): se programa con una frecuencia regular en vez de esperar a que falle — </w:t>
      </w:r>
      <w:r>
        <w:rPr>
          <w:rFonts w:ascii="Calibri" w:cs="Calibri" w:eastAsia="Calibri" w:hAnsi="Calibri"/>
          <w:b/>
          <w:bCs/>
          <w:strike w:val="false"/>
        </w:rPr>
        <w:t xml:space="preserve">[pendiente de definir]</w:t>
      </w:r>
      <w:r>
        <w:rPr>
          <w:rFonts w:ascii="Calibri" w:cs="Calibri" w:eastAsia="Calibri" w:hAnsi="Calibri"/>
          <w:strike w:val="false"/>
        </w:rPr>
        <w:t xml:space="preserve"> la frecuencia exacta, que depende del uso real (kilómetros recorridos por semana) una vez el negocio esté operando.</w:t>
      </w:r>
    </w:p>
    <w:p>
      <w:pPr>
        <w:pStyle w:val="ListParagraph"/>
        <w:numPr>
          <w:ilvl w:val="0"/>
          <w:numId w:val="1"/>
        </w:numPr>
        <w:spacing w:after="60"/>
      </w:pPr>
      <w:r>
        <w:rPr>
          <w:rFonts w:ascii="Calibri" w:cs="Calibri" w:eastAsia="Calibri" w:hAnsi="Calibri"/>
          <w:strike w:val="false"/>
        </w:rPr>
        <w:t xml:space="preserve">Cualquier incidente con la moto (falla, accidente, demora significativa) se anota como incidencia del día, igual que las demás (Manual de Apertura/Cierre, sección 3.5).</w:t>
      </w:r>
    </w:p>
    <w:p>
      <w:pPr>
        <w:pStyle w:val="Heading1"/>
        <w:pBdr>
          <w:bottom w:val="single" w:color="1F4E78" w:sz="6" w:space="4"/>
        </w:pBdr>
        <w:spacing w:after="120" w:before="300"/>
      </w:pPr>
      <w:r>
        <w:rPr>
          <w:rFonts w:ascii="Calibri" w:cs="Calibri" w:eastAsia="Calibri" w:hAnsi="Calibri"/>
          <w:b/>
          <w:bCs/>
          <w:strike w:val="false"/>
          <w:color w:val="1F4E78"/>
        </w:rPr>
        <w:t xml:space="preserve">5. Seguridad del domiciliario</w:t>
      </w:r>
    </w:p>
    <w:p>
      <w:pPr>
        <w:pStyle w:val="ListParagraph"/>
        <w:numPr>
          <w:ilvl w:val="0"/>
          <w:numId w:val="1"/>
        </w:numPr>
        <w:spacing w:after="60"/>
      </w:pPr>
      <w:r>
        <w:rPr>
          <w:rFonts w:ascii="Calibri" w:cs="Calibri" w:eastAsia="Calibri" w:hAnsi="Calibri"/>
          <w:strike w:val="false"/>
        </w:rPr>
        <w:t xml:space="preserve">Antes de salir cada día: casco y elementos de seguridad revisados (ya cubierto en Manual de Apertura/Cierre, sección 1.5).</w:t>
      </w:r>
    </w:p>
    <w:p>
      <w:pPr>
        <w:pStyle w:val="ListParagraph"/>
        <w:numPr>
          <w:ilvl w:val="0"/>
          <w:numId w:val="1"/>
        </w:numPr>
        <w:spacing w:after="60"/>
      </w:pPr>
      <w:r>
        <w:rPr>
          <w:rFonts w:ascii="Calibri" w:cs="Calibri" w:eastAsia="Calibri" w:hAnsi="Calibri"/>
          <w:b/>
          <w:bCs/>
          <w:strike w:val="false"/>
        </w:rPr>
        <w:t xml:space="preserve">[Pendiente de definir]</w:t>
      </w:r>
      <w:r>
        <w:rPr>
          <w:rFonts w:ascii="Calibri" w:cs="Calibri" w:eastAsia="Calibri" w:hAnsi="Calibri"/>
          <w:strike w:val="false"/>
        </w:rPr>
        <w:t xml:space="preserve">: si se establece un horario límite de domicilios nocturnos por seguridad del domiciliario (zonas o horas que se prefieren evitar), y si se dota al domiciliario de algún elemento adicional de seguridad o comunicación (por ejemplo, poder avisar si algo no está bien en una dirección).</w:t>
      </w:r>
    </w:p>
    <w:p>
      <w:pPr>
        <w:pStyle w:val="ListParagraph"/>
        <w:numPr>
          <w:ilvl w:val="0"/>
          <w:numId w:val="1"/>
        </w:numPr>
        <w:spacing w:after="60"/>
      </w:pPr>
      <w:r>
        <w:rPr>
          <w:rFonts w:ascii="Calibri" w:cs="Calibri" w:eastAsia="Calibri" w:hAnsi="Calibri"/>
          <w:strike w:val="false"/>
        </w:rPr>
        <w:t xml:space="preserve">El domiciliario no está obligado a completar una entrega si percibe una situación de riesgo (dirección insegura, clima extremo, etc.) — se avisa al local y se decide cómo proceder (reprogramar, cancelar con reembolso, u otra solución), en vez de forzar la entrega.</w:t>
      </w:r>
    </w:p>
    <w:p>
      <w:pPr>
        <w:pStyle w:val="Heading1"/>
        <w:pBdr>
          <w:bottom w:val="single" w:color="1F4E78" w:sz="6" w:space="4"/>
        </w:pBdr>
        <w:spacing w:after="120" w:before="300"/>
      </w:pPr>
      <w:r>
        <w:rPr>
          <w:rFonts w:ascii="Calibri" w:cs="Calibri" w:eastAsia="Calibri" w:hAnsi="Calibri"/>
          <w:b/>
          <w:bCs/>
          <w:strike w:val="false"/>
          <w:color w:val="1F4E78"/>
        </w:rPr>
        <w:t xml:space="preserve">6. Comunicación con el cliente durante el domicilio</w:t>
      </w:r>
    </w:p>
    <w:p>
      <w:pPr>
        <w:pStyle w:val="ListParagraph"/>
        <w:numPr>
          <w:ilvl w:val="0"/>
          <w:numId w:val="1"/>
        </w:numPr>
        <w:spacing w:after="60"/>
      </w:pPr>
      <w:r>
        <w:rPr>
          <w:rFonts w:ascii="Calibri" w:cs="Calibri" w:eastAsia="Calibri" w:hAnsi="Calibri"/>
          <w:strike w:val="false"/>
        </w:rPr>
        <w:t xml:space="preserve">Si el tiempo estimado de entrega se va a superar por cualquier razón (ruta, tráfico, varios domicilios en cola, falla de moto), se avisa proactivamente — este principio ya está en Estándares de Servicio (sección 7) y aplica igual aquí.</w:t>
      </w:r>
    </w:p>
    <w:p>
      <w:pPr>
        <w:pStyle w:val="ListParagraph"/>
        <w:numPr>
          <w:ilvl w:val="0"/>
          <w:numId w:val="1"/>
        </w:numPr>
        <w:spacing w:after="60"/>
      </w:pPr>
      <w:r>
        <w:rPr>
          <w:rFonts w:ascii="Calibri" w:cs="Calibri" w:eastAsia="Calibri" w:hAnsi="Calibri"/>
          <w:b/>
          <w:bCs/>
          <w:strike w:val="false"/>
        </w:rPr>
        <w:t xml:space="preserve">[Pendiente de definir]</w:t>
      </w:r>
      <w:r>
        <w:rPr>
          <w:rFonts w:ascii="Calibri" w:cs="Calibri" w:eastAsia="Calibri" w:hAnsi="Calibri"/>
          <w:strike w:val="false"/>
        </w:rPr>
        <w:t xml:space="preserve">: si se ofrece algún tipo de seguimiento del pedido al cliente (ej. un mensaje de "tu domicilio va en camino") o si la comunicación es solo reactiva ante demoras. Depende del canal de pedidos que se defina (Estándares de Servicio, sección 1.1).</w:t>
      </w:r>
    </w:p>
    <w:p>
      <w:pPr>
        <w:pStyle w:val="Heading1"/>
        <w:pBdr>
          <w:bottom w:val="single" w:color="1F4E78" w:sz="6" w:space="4"/>
        </w:pBdr>
        <w:spacing w:after="120" w:before="300"/>
      </w:pPr>
      <w:r>
        <w:rPr>
          <w:rFonts w:ascii="Calibri" w:cs="Calibri" w:eastAsia="Calibri" w:hAnsi="Calibri"/>
          <w:b/>
          <w:bCs/>
          <w:strike w:val="false"/>
          <w:color w:val="1F4E78"/>
        </w:rPr>
        <w:t xml:space="preserve">7. Métricas específicas de domicilios</w:t>
      </w:r>
    </w:p>
    <w:p>
      <w:pPr>
        <w:spacing w:after="160"/>
        <w:jc w:val="left"/>
      </w:pPr>
      <w:r>
        <w:rPr>
          <w:rFonts w:ascii="Calibri" w:cs="Calibri" w:eastAsia="Calibri" w:hAnsi="Calibri"/>
          <w:strike w:val="false"/>
        </w:rPr>
        <w:t xml:space="preserve">Estas se suman a las métricas generales de servicio (Estándares de Servicio, sección 8) y de operación (Documento Maestro, sección 26):</w:t>
      </w:r>
    </w:p>
    <w:p>
      <w:pPr>
        <w:pStyle w:val="ListParagraph"/>
        <w:numPr>
          <w:ilvl w:val="0"/>
          <w:numId w:val="1"/>
        </w:numPr>
        <w:spacing w:after="60"/>
      </w:pPr>
      <w:r>
        <w:rPr>
          <w:rFonts w:ascii="Calibri" w:cs="Calibri" w:eastAsia="Calibri" w:hAnsi="Calibri"/>
          <w:strike w:val="false"/>
        </w:rPr>
        <w:t xml:space="preserve">Tiempo de trayecto real vs. estimado, por zona — para ajustar el radio de cobertura (sección 1) con datos reales.</w:t>
      </w:r>
    </w:p>
    <w:p>
      <w:pPr>
        <w:pStyle w:val="ListParagraph"/>
        <w:numPr>
          <w:ilvl w:val="0"/>
          <w:numId w:val="1"/>
        </w:numPr>
        <w:spacing w:after="60"/>
      </w:pPr>
      <w:r>
        <w:rPr>
          <w:rFonts w:ascii="Calibri" w:cs="Calibri" w:eastAsia="Calibri" w:hAnsi="Calibri"/>
          <w:strike w:val="false"/>
        </w:rPr>
        <w:t xml:space="preserve">Número de domicilios simultáneos en hora pico — para decidir si se necesita una segunda moto/domiciliario más adelante (Etapa 3/4, Documento Maestro sección 3).</w:t>
      </w:r>
    </w:p>
    <w:p>
      <w:pPr>
        <w:pStyle w:val="ListParagraph"/>
        <w:numPr>
          <w:ilvl w:val="0"/>
          <w:numId w:val="1"/>
        </w:numPr>
        <w:spacing w:after="60"/>
      </w:pPr>
      <w:r>
        <w:rPr>
          <w:rFonts w:ascii="Calibri" w:cs="Calibri" w:eastAsia="Calibri" w:hAnsi="Calibri"/>
          <w:strike w:val="false"/>
        </w:rPr>
        <w:t xml:space="preserve">Incidentes de moto (fallas, demoras por mantenimiento) y su frecuencia — para calibrar el fondo de mantenimiento y la frecuencia de mantenimiento preventivo (sección 4).</w:t>
      </w:r>
    </w:p>
    <w:p>
      <w:pPr>
        <w:pStyle w:val="ListParagraph"/>
        <w:numPr>
          <w:ilvl w:val="0"/>
          <w:numId w:val="1"/>
        </w:numPr>
        <w:spacing w:after="60"/>
      </w:pPr>
      <w:r>
        <w:rPr>
          <w:rFonts w:ascii="Calibri" w:cs="Calibri" w:eastAsia="Calibri" w:hAnsi="Calibri"/>
          <w:strike w:val="false"/>
        </w:rPr>
        <w:t xml:space="preserve">Quejas específicas de domicilio vs. de mostrador — ya se separa así en Estándares de Servicio (sección 8), se reutiliza el mismo registro.</w:t>
      </w:r>
    </w:p>
    <w:p>
      <w:pPr>
        <w:pStyle w:val="Heading1"/>
        <w:pBdr>
          <w:bottom w:val="single" w:color="1F4E78" w:sz="6" w:space="4"/>
        </w:pBdr>
        <w:spacing w:after="120" w:before="300"/>
      </w:pPr>
      <w:r>
        <w:rPr>
          <w:rFonts w:ascii="Calibri" w:cs="Calibri" w:eastAsia="Calibri" w:hAnsi="Calibri"/>
          <w:b/>
          <w:bCs/>
          <w:strike w:val="false"/>
          <w:color w:val="1F4E78"/>
        </w:rPr>
        <w:t xml:space="preserve">8. Revisión de este documento</w:t>
      </w:r>
    </w:p>
    <w:p>
      <w:pPr>
        <w:spacing w:after="160"/>
        <w:jc w:val="left"/>
      </w:pPr>
      <w:r>
        <w:rPr>
          <w:rFonts w:ascii="Calibri" w:cs="Calibri" w:eastAsia="Calibri" w:hAnsi="Calibri"/>
          <w:strike w:val="false"/>
        </w:rPr>
        <w:t xml:space="preserve">Esta es la versión 1, construida antes de tener datos reales de operación. Las partes pendientes (radio de cobertura exacto, plan alterno si la moto falla, frecuencia de mantenimiento preventivo, reglas de horario/seguridad nocturna) se completan con la experiencia de las primeras semanas reales de domicilios. Revisar formalmente después de las primeras 4 semanas de operación real, igual que los demás documentos de FASE B.</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Pixel Burger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Domicilios — Pixel Burger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2026-09-15T04:16:01.782Z</dcterms:created>
  <dcterms:modified xsi:type="dcterms:W3CDTF">2026-09-15T04:16:01.782Z</dcterms:modified>
</cp:coreProperties>
</file>

<file path=docProps/custom.xml><?xml version="1.0" encoding="utf-8"?>
<Properties xmlns="http://schemas.openxmlformats.org/officeDocument/2006/custom-properties" xmlns:vt="http://schemas.openxmlformats.org/officeDocument/2006/docPropsVTypes"/>
</file>